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Aušra Bilotienė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1CE99A1F"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(II)</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teiktinų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pirkimo sąlygų 1 priede (pridedama excel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034BF9C8"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7A1B9C">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 xml:space="preserve">(kvazisubtiekėjas)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051B3F31" w14:textId="248C4BA9" w:rsidR="00965DC6" w:rsidRPr="00965DC6" w:rsidRDefault="009F236C" w:rsidP="00965DC6">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6F220C84"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r w:rsidRPr="00013DE4">
        <w:rPr>
          <w:rFonts w:ascii="Times New Roman" w:hAnsi="Times New Roman" w:cs="Times New Roman"/>
          <w:i/>
          <w:iCs/>
          <w:sz w:val="24"/>
          <w:szCs w:val="24"/>
        </w:rPr>
        <w:t>In vitro</w:t>
      </w:r>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p>
    <w:p w14:paraId="6EC5AA1D" w14:textId="7F56C437" w:rsidR="00013DE4" w:rsidRPr="007A1B9C"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1B9C">
        <w:rPr>
          <w:rFonts w:ascii="Times New Roman" w:eastAsia="Calibri" w:hAnsi="Times New Roman" w:cs="Times New Roman"/>
          <w:sz w:val="24"/>
          <w:szCs w:val="24"/>
          <w:lang w:eastAsia="en-US"/>
        </w:rPr>
        <w:t xml:space="preserve">perkančiosios organizacijos prašymu, tiekėjas privalės per 5 (penkias) darbo dienas pateikti </w:t>
      </w:r>
      <w:r w:rsidR="00305388" w:rsidRPr="007A1B9C">
        <w:rPr>
          <w:rFonts w:ascii="Times New Roman" w:eastAsia="Calibri" w:hAnsi="Times New Roman" w:cs="Times New Roman"/>
          <w:sz w:val="24"/>
          <w:szCs w:val="24"/>
          <w:lang w:eastAsia="en-US"/>
        </w:rPr>
        <w:t>1</w:t>
      </w:r>
      <w:r w:rsidR="007A1B9C" w:rsidRPr="007A1B9C">
        <w:rPr>
          <w:rFonts w:ascii="Times New Roman" w:eastAsia="Calibri" w:hAnsi="Times New Roman" w:cs="Times New Roman"/>
          <w:sz w:val="24"/>
          <w:szCs w:val="24"/>
          <w:lang w:eastAsia="en-US"/>
        </w:rPr>
        <w:t>2</w:t>
      </w:r>
      <w:r w:rsidR="00372662" w:rsidRPr="007A1B9C">
        <w:rPr>
          <w:rFonts w:ascii="Times New Roman" w:eastAsia="Calibri" w:hAnsi="Times New Roman" w:cs="Times New Roman"/>
          <w:sz w:val="24"/>
          <w:szCs w:val="24"/>
          <w:lang w:eastAsia="en-US"/>
        </w:rPr>
        <w:t xml:space="preserve"> pirkimo objekto dali</w:t>
      </w:r>
      <w:r w:rsidR="00305388" w:rsidRPr="007A1B9C">
        <w:rPr>
          <w:rFonts w:ascii="Times New Roman" w:eastAsia="Calibri" w:hAnsi="Times New Roman" w:cs="Times New Roman"/>
          <w:sz w:val="24"/>
          <w:szCs w:val="24"/>
          <w:lang w:eastAsia="en-US"/>
        </w:rPr>
        <w:t>ai</w:t>
      </w:r>
      <w:r w:rsidR="00E837CE" w:rsidRPr="007A1B9C">
        <w:rPr>
          <w:rFonts w:ascii="Times New Roman" w:eastAsia="Calibri" w:hAnsi="Times New Roman" w:cs="Times New Roman"/>
          <w:sz w:val="24"/>
          <w:szCs w:val="24"/>
          <w:lang w:eastAsia="en-US"/>
        </w:rPr>
        <w:t xml:space="preserve"> </w:t>
      </w:r>
      <w:r w:rsidRPr="007A1B9C">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(-ius)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B808" w14:textId="77777777" w:rsidR="002318DD" w:rsidRDefault="002318DD" w:rsidP="00191CC4">
      <w:pPr>
        <w:spacing w:after="0" w:line="240" w:lineRule="auto"/>
      </w:pPr>
      <w:r>
        <w:separator/>
      </w:r>
    </w:p>
  </w:endnote>
  <w:endnote w:type="continuationSeparator" w:id="0">
    <w:p w14:paraId="1505BF5F" w14:textId="77777777" w:rsidR="002318DD" w:rsidRDefault="002318DD" w:rsidP="00191CC4">
      <w:pPr>
        <w:spacing w:after="0" w:line="240" w:lineRule="auto"/>
      </w:pPr>
      <w:r>
        <w:continuationSeparator/>
      </w:r>
    </w:p>
  </w:endnote>
  <w:endnote w:type="continuationNotice" w:id="1">
    <w:p w14:paraId="358273FF" w14:textId="77777777" w:rsidR="002318DD" w:rsidRDefault="00231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C76E" w14:textId="77777777" w:rsidR="008F0859" w:rsidRDefault="008F08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7A1" w14:textId="77777777" w:rsidR="008F0859" w:rsidRDefault="008F08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C81E" w14:textId="77777777" w:rsidR="008F0859" w:rsidRDefault="008F08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A704" w14:textId="77777777" w:rsidR="002318DD" w:rsidRDefault="002318DD" w:rsidP="00191CC4">
      <w:pPr>
        <w:spacing w:after="0" w:line="240" w:lineRule="auto"/>
      </w:pPr>
      <w:r>
        <w:separator/>
      </w:r>
    </w:p>
  </w:footnote>
  <w:footnote w:type="continuationSeparator" w:id="0">
    <w:p w14:paraId="62EE7C9F" w14:textId="77777777" w:rsidR="002318DD" w:rsidRDefault="002318DD" w:rsidP="00191CC4">
      <w:pPr>
        <w:spacing w:after="0" w:line="240" w:lineRule="auto"/>
      </w:pPr>
      <w:r>
        <w:continuationSeparator/>
      </w:r>
    </w:p>
  </w:footnote>
  <w:footnote w:type="continuationNotice" w:id="1">
    <w:p w14:paraId="2BBF3CD1" w14:textId="77777777" w:rsidR="002318DD" w:rsidRDefault="002318DD">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3E66" w14:textId="4ADEC51F" w:rsidR="008F0859" w:rsidRDefault="008F0859">
    <w:pPr>
      <w:pStyle w:val="Antrats"/>
    </w:pPr>
    <w:r>
      <w:rPr>
        <w:noProof/>
      </w:rPr>
      <w:pict w14:anchorId="228B0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0469"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5FDF4AC" w:rsidR="001009B4" w:rsidRDefault="008F0859">
    <w:pPr>
      <w:pStyle w:val="Antrats"/>
      <w:jc w:val="center"/>
    </w:pPr>
    <w:r>
      <w:rPr>
        <w:noProof/>
      </w:rPr>
      <w:pict w14:anchorId="42774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0470"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960" w14:textId="6B7C49F0" w:rsidR="008F0859" w:rsidRDefault="008F0859">
    <w:pPr>
      <w:pStyle w:val="Antrats"/>
    </w:pPr>
    <w:r>
      <w:rPr>
        <w:noProof/>
      </w:rPr>
      <w:pict w14:anchorId="7A997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0468"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3FA3"/>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8DD"/>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1B9C"/>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0859"/>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705"/>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0AD8"/>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06A7E"/>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17</Pages>
  <Words>35105</Words>
  <Characters>20011</Characters>
  <Application>Microsoft Office Word</Application>
  <DocSecurity>0</DocSecurity>
  <Lines>166</Lines>
  <Paragraphs>110</Paragraphs>
  <ScaleCrop>false</ScaleCrop>
  <Company/>
  <LinksUpToDate>false</LinksUpToDate>
  <CharactersWithSpaces>55006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378</cp:revision>
  <cp:lastPrinted>2019-03-04T13:54:00Z</cp:lastPrinted>
  <dcterms:created xsi:type="dcterms:W3CDTF">2024-10-09T04:56:00Z</dcterms:created>
  <dcterms:modified xsi:type="dcterms:W3CDTF">2025-01-23T06:57:00Z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