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8ABA56C" w14:textId="77777777" w:rsidR="00BE7BE6" w:rsidRDefault="00BE7BE6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D87AFB6" w14:textId="1BE339F2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DĖ</w:t>
      </w:r>
      <w:r w:rsidR="005D781E">
        <w:rPr>
          <w:rFonts w:ascii="Times New Roman" w:eastAsia="Calibri" w:hAnsi="Times New Roman" w:cs="Times New Roman"/>
          <w:b/>
        </w:rPr>
        <w:t xml:space="preserve">L </w:t>
      </w:r>
      <w:r w:rsidR="00E8482F">
        <w:rPr>
          <w:rFonts w:ascii="Times New Roman" w:eastAsia="Calibri" w:hAnsi="Times New Roman" w:cs="Times New Roman"/>
          <w:b/>
        </w:rPr>
        <w:t>SMEGENŲ ŽIEVĖS OKSIGENACIJOS MATAVIMO MODULIO</w:t>
      </w:r>
      <w:r w:rsidR="004339D2">
        <w:rPr>
          <w:rFonts w:ascii="Times New Roman" w:eastAsia="Calibri" w:hAnsi="Times New Roman" w:cs="Times New Roman"/>
          <w:b/>
        </w:rPr>
        <w:t xml:space="preserve"> </w:t>
      </w:r>
      <w:r w:rsidR="009777B9">
        <w:rPr>
          <w:rFonts w:ascii="Times New Roman" w:eastAsia="Calibri" w:hAnsi="Times New Roman" w:cs="Times New Roman"/>
          <w:b/>
        </w:rPr>
        <w:t>PI</w:t>
      </w:r>
      <w:r w:rsidRPr="00FE052B">
        <w:rPr>
          <w:rFonts w:ascii="Times New Roman" w:eastAsia="Calibri" w:hAnsi="Times New Roman" w:cs="Times New Roman"/>
          <w:b/>
        </w:rPr>
        <w:t>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7D53DFC3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įsigyti</w:t>
      </w:r>
      <w:r w:rsidR="00E8482F">
        <w:rPr>
          <w:rStyle w:val="CharStyle7"/>
          <w:rFonts w:eastAsiaTheme="minorHAnsi"/>
          <w:b w:val="0"/>
          <w:bCs w:val="0"/>
          <w:sz w:val="22"/>
          <w:szCs w:val="22"/>
        </w:rPr>
        <w:t xml:space="preserve"> smegenų žievės oksigenacijos matavimo modulį.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64B27BBB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</w:t>
            </w:r>
            <w:r w:rsidR="00E8482F">
              <w:rPr>
                <w:rFonts w:ascii="Times New Roman" w:hAnsi="Times New Roman" w:cs="Times New Roman"/>
              </w:rPr>
              <w:t xml:space="preserve"> (kainos ir kokybės)</w:t>
            </w:r>
            <w:r w:rsidRPr="00A617EF">
              <w:rPr>
                <w:rFonts w:ascii="Times New Roman" w:hAnsi="Times New Roman" w:cs="Times New Roman"/>
              </w:rPr>
              <w:t>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2AC6" w14:textId="77777777" w:rsidR="001451F7" w:rsidRDefault="001451F7" w:rsidP="002E77B6">
      <w:pPr>
        <w:spacing w:after="0" w:line="240" w:lineRule="auto"/>
      </w:pPr>
      <w:r>
        <w:separator/>
      </w:r>
    </w:p>
  </w:endnote>
  <w:endnote w:type="continuationSeparator" w:id="0">
    <w:p w14:paraId="4A02A126" w14:textId="77777777" w:rsidR="001451F7" w:rsidRDefault="001451F7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C913" w14:textId="77777777" w:rsidR="001451F7" w:rsidRDefault="001451F7" w:rsidP="002E77B6">
      <w:pPr>
        <w:spacing w:after="0" w:line="240" w:lineRule="auto"/>
      </w:pPr>
      <w:r>
        <w:separator/>
      </w:r>
    </w:p>
  </w:footnote>
  <w:footnote w:type="continuationSeparator" w:id="0">
    <w:p w14:paraId="22D33EEA" w14:textId="77777777" w:rsidR="001451F7" w:rsidRDefault="001451F7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072506"/>
    <w:rsid w:val="000B682B"/>
    <w:rsid w:val="0011765B"/>
    <w:rsid w:val="001451F7"/>
    <w:rsid w:val="00157553"/>
    <w:rsid w:val="00170C9F"/>
    <w:rsid w:val="001C2E34"/>
    <w:rsid w:val="001E142B"/>
    <w:rsid w:val="00272AA3"/>
    <w:rsid w:val="0029163C"/>
    <w:rsid w:val="002A55AD"/>
    <w:rsid w:val="002D5FB4"/>
    <w:rsid w:val="002E77B6"/>
    <w:rsid w:val="002F04C6"/>
    <w:rsid w:val="002F0834"/>
    <w:rsid w:val="003110A9"/>
    <w:rsid w:val="003137EE"/>
    <w:rsid w:val="00343D89"/>
    <w:rsid w:val="00346652"/>
    <w:rsid w:val="003812F5"/>
    <w:rsid w:val="0038773D"/>
    <w:rsid w:val="003C42B9"/>
    <w:rsid w:val="003C7440"/>
    <w:rsid w:val="003E4629"/>
    <w:rsid w:val="003F3DB1"/>
    <w:rsid w:val="00404EE8"/>
    <w:rsid w:val="00415654"/>
    <w:rsid w:val="004257A1"/>
    <w:rsid w:val="004339D2"/>
    <w:rsid w:val="00460F02"/>
    <w:rsid w:val="00470872"/>
    <w:rsid w:val="004745DE"/>
    <w:rsid w:val="004773FF"/>
    <w:rsid w:val="004A3802"/>
    <w:rsid w:val="004B1246"/>
    <w:rsid w:val="004B3BCA"/>
    <w:rsid w:val="004F5AA2"/>
    <w:rsid w:val="00507D3B"/>
    <w:rsid w:val="00522A5D"/>
    <w:rsid w:val="0057300D"/>
    <w:rsid w:val="00575E52"/>
    <w:rsid w:val="00586678"/>
    <w:rsid w:val="00593A5C"/>
    <w:rsid w:val="00594E33"/>
    <w:rsid w:val="005A71A9"/>
    <w:rsid w:val="005C185B"/>
    <w:rsid w:val="005D781E"/>
    <w:rsid w:val="00606A83"/>
    <w:rsid w:val="0064241B"/>
    <w:rsid w:val="0067173E"/>
    <w:rsid w:val="00674543"/>
    <w:rsid w:val="006932DB"/>
    <w:rsid w:val="006D3928"/>
    <w:rsid w:val="00747961"/>
    <w:rsid w:val="007518FD"/>
    <w:rsid w:val="00765EF9"/>
    <w:rsid w:val="007740B3"/>
    <w:rsid w:val="00783CD2"/>
    <w:rsid w:val="00783FF2"/>
    <w:rsid w:val="007C1072"/>
    <w:rsid w:val="0080741A"/>
    <w:rsid w:val="00866E62"/>
    <w:rsid w:val="00897627"/>
    <w:rsid w:val="008A2C00"/>
    <w:rsid w:val="008B1CF8"/>
    <w:rsid w:val="008D5E6C"/>
    <w:rsid w:val="008F0FF2"/>
    <w:rsid w:val="00903FA8"/>
    <w:rsid w:val="009372E6"/>
    <w:rsid w:val="00943D77"/>
    <w:rsid w:val="009555B6"/>
    <w:rsid w:val="009777B9"/>
    <w:rsid w:val="009B0827"/>
    <w:rsid w:val="009B4402"/>
    <w:rsid w:val="009E5DCF"/>
    <w:rsid w:val="00A348BA"/>
    <w:rsid w:val="00A41948"/>
    <w:rsid w:val="00AA12F6"/>
    <w:rsid w:val="00AA5F26"/>
    <w:rsid w:val="00AC65D5"/>
    <w:rsid w:val="00AD3272"/>
    <w:rsid w:val="00AF4E44"/>
    <w:rsid w:val="00B00AA4"/>
    <w:rsid w:val="00B53A6E"/>
    <w:rsid w:val="00B819A2"/>
    <w:rsid w:val="00BD5525"/>
    <w:rsid w:val="00BE7BE6"/>
    <w:rsid w:val="00C5602A"/>
    <w:rsid w:val="00C73192"/>
    <w:rsid w:val="00C83AB7"/>
    <w:rsid w:val="00CA1C2B"/>
    <w:rsid w:val="00CD2468"/>
    <w:rsid w:val="00CE6145"/>
    <w:rsid w:val="00D000E9"/>
    <w:rsid w:val="00D011A4"/>
    <w:rsid w:val="00D33AD0"/>
    <w:rsid w:val="00D342A6"/>
    <w:rsid w:val="00D64A78"/>
    <w:rsid w:val="00D71DB5"/>
    <w:rsid w:val="00DF756D"/>
    <w:rsid w:val="00E43025"/>
    <w:rsid w:val="00E71DC7"/>
    <w:rsid w:val="00E8327D"/>
    <w:rsid w:val="00E8482F"/>
    <w:rsid w:val="00EF417A"/>
    <w:rsid w:val="00EF56F1"/>
    <w:rsid w:val="00F72309"/>
    <w:rsid w:val="00F84235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DefaultParagraphFont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GridTable4-Accent1">
    <w:name w:val="Grid Table 4 Accent 1"/>
    <w:basedOn w:val="TableNorma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ListParagraphChar">
    <w:name w:val="List Paragraph Char"/>
    <w:link w:val="ListParagraph"/>
    <w:uiPriority w:val="34"/>
    <w:locked/>
    <w:rsid w:val="002E77B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977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2537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Aušra Bagdonavičienė</cp:lastModifiedBy>
  <cp:revision>3</cp:revision>
  <cp:lastPrinted>2024-12-09T08:50:00Z</cp:lastPrinted>
  <dcterms:created xsi:type="dcterms:W3CDTF">2026-07-13T12:33:00Z</dcterms:created>
  <dcterms:modified xsi:type="dcterms:W3CDTF">2026-07-13T12:35:00Z</dcterms:modified>
</cp:coreProperties>
</file>