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A4764"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A4764">
        <w:rPr>
          <w:rFonts w:cs="Times New Roman"/>
          <w:bCs/>
          <w:szCs w:val="24"/>
          <w:lang w:val="x-none"/>
        </w:rPr>
        <w:t>PATVIRTINTA</w:t>
      </w:r>
    </w:p>
    <w:p w14:paraId="3B86EC2C" w14:textId="77777777" w:rsidR="00BC08FD" w:rsidRPr="002A4764" w:rsidRDefault="00BC08FD" w:rsidP="00BC08FD">
      <w:pPr>
        <w:tabs>
          <w:tab w:val="right" w:leader="underscore" w:pos="8505"/>
        </w:tabs>
        <w:spacing w:after="0"/>
        <w:ind w:left="5670"/>
        <w:rPr>
          <w:rFonts w:cs="Times New Roman"/>
          <w:bCs/>
          <w:szCs w:val="24"/>
          <w:lang w:val="x-none"/>
        </w:rPr>
      </w:pPr>
      <w:r w:rsidRPr="002A4764">
        <w:rPr>
          <w:rFonts w:cs="Times New Roman"/>
          <w:bCs/>
          <w:szCs w:val="24"/>
          <w:lang w:val="x-none"/>
        </w:rPr>
        <w:t>Vieš</w:t>
      </w:r>
      <w:r w:rsidRPr="002A4764">
        <w:rPr>
          <w:rFonts w:cs="Times New Roman"/>
          <w:bCs/>
          <w:szCs w:val="24"/>
        </w:rPr>
        <w:t>ųjų</w:t>
      </w:r>
      <w:r w:rsidRPr="002A4764">
        <w:rPr>
          <w:rFonts w:cs="Times New Roman"/>
          <w:bCs/>
          <w:szCs w:val="24"/>
          <w:lang w:val="x-none"/>
        </w:rPr>
        <w:t xml:space="preserve"> pirkimų komisijos </w:t>
      </w:r>
    </w:p>
    <w:p w14:paraId="421F394A" w14:textId="67B5996F" w:rsidR="00BC08FD" w:rsidRPr="00292C16" w:rsidRDefault="00BC08FD" w:rsidP="00BC08FD">
      <w:pPr>
        <w:tabs>
          <w:tab w:val="right" w:leader="underscore" w:pos="8505"/>
        </w:tabs>
        <w:spacing w:after="0"/>
        <w:ind w:left="5670"/>
        <w:rPr>
          <w:rFonts w:cs="Times New Roman"/>
          <w:bCs/>
          <w:szCs w:val="24"/>
        </w:rPr>
      </w:pPr>
      <w:r w:rsidRPr="002A4764">
        <w:rPr>
          <w:rFonts w:cs="Times New Roman"/>
          <w:bCs/>
          <w:szCs w:val="24"/>
          <w:lang w:val="x-none"/>
        </w:rPr>
        <w:t>202</w:t>
      </w:r>
      <w:r w:rsidR="000F79BB" w:rsidRPr="002A4764">
        <w:rPr>
          <w:rFonts w:cs="Times New Roman"/>
          <w:bCs/>
          <w:szCs w:val="24"/>
        </w:rPr>
        <w:t>6</w:t>
      </w:r>
      <w:r w:rsidRPr="002A4764">
        <w:rPr>
          <w:rFonts w:cs="Times New Roman"/>
          <w:bCs/>
          <w:szCs w:val="24"/>
          <w:lang w:val="x-none"/>
        </w:rPr>
        <w:t xml:space="preserve"> m. </w:t>
      </w:r>
      <w:r w:rsidR="003C364D">
        <w:rPr>
          <w:rFonts w:cs="Times New Roman"/>
          <w:bCs/>
          <w:szCs w:val="24"/>
        </w:rPr>
        <w:t>liepos</w:t>
      </w:r>
      <w:r w:rsidRPr="002A4764">
        <w:rPr>
          <w:rFonts w:cs="Times New Roman"/>
          <w:bCs/>
          <w:szCs w:val="24"/>
          <w:lang w:val="x-none"/>
        </w:rPr>
        <w:t xml:space="preserve"> </w:t>
      </w:r>
      <w:r w:rsidR="003C364D">
        <w:rPr>
          <w:rFonts w:cs="Times New Roman"/>
          <w:bCs/>
          <w:szCs w:val="24"/>
          <w:lang w:val="x-none"/>
        </w:rPr>
        <w:t>1</w:t>
      </w:r>
      <w:r w:rsidR="002A4764" w:rsidRPr="002A4764">
        <w:rPr>
          <w:rFonts w:cs="Times New Roman"/>
          <w:bCs/>
          <w:szCs w:val="24"/>
          <w:lang w:val="x-none"/>
        </w:rPr>
        <w:t>4</w:t>
      </w:r>
      <w:r w:rsidRPr="002A4764">
        <w:rPr>
          <w:rFonts w:cs="Times New Roman"/>
          <w:bCs/>
          <w:szCs w:val="24"/>
          <w:lang w:val="x-none"/>
        </w:rPr>
        <w:t xml:space="preserve"> d. protokolu Nr. </w:t>
      </w:r>
      <w:r w:rsidRPr="002A4764">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56841A9D" w14:textId="77777777" w:rsidR="00432A50" w:rsidRPr="00F70AE7" w:rsidRDefault="00432A50" w:rsidP="00432A50">
      <w:pPr>
        <w:pStyle w:val="Default"/>
        <w:tabs>
          <w:tab w:val="left" w:pos="709"/>
        </w:tabs>
        <w:jc w:val="center"/>
        <w:rPr>
          <w:b/>
          <w:bCs/>
        </w:rPr>
      </w:pPr>
      <w:r w:rsidRPr="00F70AE7">
        <w:rPr>
          <w:b/>
          <w:bCs/>
        </w:rPr>
        <w:t xml:space="preserve">MAŽOS VERTĖS VIEŠOJO PIRKIMO </w:t>
      </w:r>
    </w:p>
    <w:p w14:paraId="24FDD37A" w14:textId="3072995D" w:rsidR="00432A50" w:rsidRPr="00DE312A" w:rsidRDefault="00432A50" w:rsidP="00432A50">
      <w:pPr>
        <w:pStyle w:val="paragrafesrasas2lygis"/>
        <w:jc w:val="center"/>
        <w:rPr>
          <w:rFonts w:eastAsia="Calibri"/>
          <w:sz w:val="24"/>
          <w:szCs w:val="24"/>
        </w:rPr>
      </w:pPr>
      <w:r w:rsidRPr="00DE312A">
        <w:rPr>
          <w:b/>
          <w:bCs/>
          <w:sz w:val="24"/>
          <w:szCs w:val="24"/>
        </w:rPr>
        <w:t>„</w:t>
      </w:r>
      <w:r w:rsidR="00DE312A" w:rsidRPr="00DE312A">
        <w:rPr>
          <w:b/>
          <w:bCs/>
          <w:sz w:val="24"/>
          <w:szCs w:val="24"/>
        </w:rPr>
        <w:t>NAUDOTO SAVIVARČIO SU HIDROMANIPULIATORIUMI ĮSIGIJIMAS</w:t>
      </w:r>
      <w:r w:rsidRPr="00DE312A">
        <w:rPr>
          <w:b/>
          <w:sz w:val="24"/>
          <w:szCs w:val="24"/>
        </w:rPr>
        <w:t>“</w:t>
      </w:r>
    </w:p>
    <w:p w14:paraId="3046B9B1" w14:textId="77777777" w:rsidR="003F5523" w:rsidRDefault="003F5523" w:rsidP="00BC08FD">
      <w:pPr>
        <w:spacing w:after="0"/>
        <w:jc w:val="both"/>
        <w:rPr>
          <w:rFonts w:eastAsia="Times New Roman"/>
          <w:szCs w:val="24"/>
        </w:rPr>
      </w:pP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D36B36" w:rsidRDefault="00BC08FD" w:rsidP="00697B23">
            <w:pPr>
              <w:spacing w:after="0" w:line="240" w:lineRule="auto"/>
              <w:jc w:val="both"/>
              <w:rPr>
                <w:rFonts w:cs="Times New Roman"/>
                <w:b/>
                <w:bCs/>
                <w:iCs/>
                <w:szCs w:val="24"/>
                <w:shd w:val="clear" w:color="auto" w:fill="E6E6E6"/>
              </w:rPr>
            </w:pPr>
            <w:r w:rsidRPr="00F70AE7">
              <w:rPr>
                <w:color w:val="000000" w:themeColor="text1"/>
              </w:rPr>
              <w:t xml:space="preserve">UAB „Palangos komunalinis ūkis“, kodas </w:t>
            </w:r>
            <w:r w:rsidRPr="00F70AE7">
              <w:rPr>
                <w:rFonts w:eastAsia="Times New Roman"/>
              </w:rPr>
              <w:t>152409729</w:t>
            </w:r>
            <w:r w:rsidRPr="00F70AE7">
              <w:rPr>
                <w:color w:val="000000" w:themeColor="text1"/>
              </w:rPr>
              <w:t xml:space="preserve">, </w:t>
            </w:r>
            <w:r w:rsidRPr="00F70AE7">
              <w:rPr>
                <w:rFonts w:eastAsia="Times New Roman"/>
              </w:rPr>
              <w:t>Ganyklų g. 34, LT-00126 Palanga</w:t>
            </w:r>
            <w:r w:rsidRPr="00F70AE7">
              <w:rPr>
                <w:color w:val="000000" w:themeColor="text1"/>
              </w:rPr>
              <w:t xml:space="preserve">, tel. 0 460 48 105, </w:t>
            </w:r>
            <w:hyperlink r:id="rId12" w:history="1">
              <w:r w:rsidRPr="00F70AE7">
                <w:rPr>
                  <w:rStyle w:val="Hipersaitas"/>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3C17D7B4" w:rsidR="00C054AF" w:rsidRPr="00C054AF" w:rsidRDefault="00BC08FD" w:rsidP="00697B23">
            <w:pPr>
              <w:spacing w:after="0" w:line="240" w:lineRule="auto"/>
              <w:rPr>
                <w:rFonts w:eastAsiaTheme="minorHAnsi" w:cs="Times New Roman"/>
                <w:szCs w:val="24"/>
              </w:rPr>
            </w:pPr>
            <w:r>
              <w:rPr>
                <w:rFonts w:eastAsia="Times New Roman" w:cs="Times New Roman"/>
                <w:b/>
                <w:szCs w:val="24"/>
              </w:rPr>
              <w:t xml:space="preserve">Įsigijimas </w:t>
            </w:r>
            <w:r w:rsidR="00DE312A">
              <w:rPr>
                <w:rFonts w:eastAsia="Times New Roman" w:cs="Times New Roman"/>
                <w:b/>
                <w:szCs w:val="24"/>
              </w:rPr>
              <w:t>naudotas savivartis</w:t>
            </w:r>
            <w:r w:rsidR="00C444C0">
              <w:rPr>
                <w:rFonts w:eastAsia="Times New Roman" w:cs="Times New Roman"/>
                <w:b/>
                <w:szCs w:val="24"/>
              </w:rPr>
              <w:t xml:space="preserve"> su </w:t>
            </w:r>
            <w:proofErr w:type="spellStart"/>
            <w:r w:rsidR="00DE312A">
              <w:rPr>
                <w:rFonts w:eastAsia="Times New Roman" w:cs="Times New Roman"/>
                <w:b/>
                <w:szCs w:val="24"/>
              </w:rPr>
              <w:t>hidro</w:t>
            </w:r>
            <w:r w:rsidR="00C444C0">
              <w:rPr>
                <w:rFonts w:eastAsia="Times New Roman" w:cs="Times New Roman"/>
                <w:b/>
                <w:szCs w:val="24"/>
              </w:rPr>
              <w:t>manipuliatoriumi</w:t>
            </w:r>
            <w:proofErr w:type="spellEnd"/>
            <w:r w:rsidR="000B6B2E">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w:t>
            </w:r>
            <w:r w:rsidR="00C054AF" w:rsidRPr="00BC08FD">
              <w:rPr>
                <w:rFonts w:cs="Times New Roman"/>
                <w:iCs/>
                <w:szCs w:val="24"/>
                <w:lang w:eastAsia="en-US"/>
              </w:rPr>
              <w:t xml:space="preserve">– </w:t>
            </w:r>
            <w:r w:rsidR="00C054AF" w:rsidRPr="00292C16">
              <w:rPr>
                <w:rFonts w:cs="Times New Roman"/>
                <w:b/>
                <w:bCs/>
                <w:iCs/>
                <w:szCs w:val="24"/>
                <w:lang w:eastAsia="en-US"/>
              </w:rPr>
              <w:t>SPS</w:t>
            </w:r>
            <w:r w:rsidR="00C054AF" w:rsidRPr="00BC08FD">
              <w:rPr>
                <w:rFonts w:cs="Times New Roman"/>
                <w:iCs/>
                <w:szCs w:val="24"/>
                <w:lang w:eastAsia="en-US"/>
              </w:rPr>
              <w:t>)</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C054AF" w:rsidRDefault="00153110" w:rsidP="00697B23">
            <w:pPr>
              <w:spacing w:line="240" w:lineRule="auto"/>
              <w:rPr>
                <w:rFonts w:eastAsiaTheme="minorHAnsi" w:cs="Times New Roman"/>
                <w:bCs/>
                <w:color w:val="000000" w:themeColor="text1"/>
                <w:szCs w:val="24"/>
              </w:rPr>
            </w:pPr>
            <w:r w:rsidRPr="003734FC">
              <w:rPr>
                <w:rFonts w:eastAsiaTheme="minorHAnsi"/>
                <w:bCs/>
                <w:color w:val="000000" w:themeColor="text1"/>
                <w:szCs w:val="24"/>
              </w:rPr>
              <w:t xml:space="preserve">Pirkimo objektas </w:t>
            </w:r>
            <w:r w:rsidR="00AE7462">
              <w:rPr>
                <w:rFonts w:eastAsiaTheme="minorHAnsi"/>
                <w:bCs/>
                <w:color w:val="000000" w:themeColor="text1"/>
                <w:szCs w:val="24"/>
              </w:rPr>
              <w:t>ne</w:t>
            </w:r>
            <w:r w:rsidRPr="003734FC">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C054AF"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C054AF" w:rsidRDefault="00C054AF" w:rsidP="00697B23">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5A3E15" w:rsidRDefault="005A3E15" w:rsidP="00697B23">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54638EA8" w:rsidR="00C054AF" w:rsidRPr="00C054AF" w:rsidRDefault="00292C16" w:rsidP="00697B23">
            <w:pPr>
              <w:spacing w:after="0" w:line="240" w:lineRule="auto"/>
              <w:rPr>
                <w:rFonts w:eastAsiaTheme="minorHAnsi" w:cs="Times New Roman"/>
                <w:szCs w:val="24"/>
              </w:rPr>
            </w:pPr>
            <w:r>
              <w:rPr>
                <w:color w:val="000000" w:themeColor="text1"/>
                <w:szCs w:val="24"/>
              </w:rPr>
              <w:t>Mažiausia pasiūlyta kaina</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3734FC" w:rsidRDefault="005C6583" w:rsidP="00697B23">
            <w:pPr>
              <w:spacing w:after="0" w:line="240" w:lineRule="auto"/>
              <w:rPr>
                <w:color w:val="000000" w:themeColor="text1"/>
                <w:szCs w:val="24"/>
              </w:rPr>
            </w:pPr>
            <w:r>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1E49C437" w:rsidR="00C054AF" w:rsidRPr="00C054AF" w:rsidRDefault="001737D0" w:rsidP="001737D0">
            <w:pPr>
              <w:spacing w:after="0" w:line="240" w:lineRule="auto"/>
              <w:jc w:val="both"/>
              <w:outlineLvl w:val="0"/>
              <w:rPr>
                <w:rFonts w:cs="Times New Roman"/>
                <w:szCs w:val="24"/>
              </w:rPr>
            </w:pPr>
            <w:r w:rsidRPr="00203781">
              <w:rPr>
                <w:b/>
                <w:iCs/>
                <w:szCs w:val="24"/>
              </w:rPr>
              <w:t xml:space="preserve">Atliekamas žaliasis pirkimas. </w:t>
            </w:r>
            <w:bookmarkStart w:id="2" w:name="_Hlk127870620"/>
            <w:r w:rsidRPr="00CA20C2">
              <w:rPr>
                <w:rFonts w:cs="Times New Roman"/>
                <w:szCs w:val="24"/>
              </w:rPr>
              <w:t xml:space="preserve"> Vadovaujantis Aplinkos apsaugos kriterijų taikymo, vykdant žaliuosius pirkimus, tvarkos aprašo (toliau – Tvarkos aprašas), patvirtinto 2022-12-13</w:t>
            </w:r>
            <w:r>
              <w:rPr>
                <w:rFonts w:cs="Times New Roman"/>
                <w:szCs w:val="24"/>
              </w:rPr>
              <w:t xml:space="preserve"> –</w:t>
            </w:r>
            <w:r w:rsidRPr="00CA20C2">
              <w:rPr>
                <w:rFonts w:cs="Times New Roman"/>
                <w:szCs w:val="24"/>
              </w:rPr>
              <w:t xml:space="preserve"> aplinkos ministro įsakymu Nr. D1-401, 4.4.4. punkto 4.4.4.4. papunkčiu, perkamas </w:t>
            </w:r>
            <w:r w:rsidR="00DE312A">
              <w:rPr>
                <w:rFonts w:cs="Times New Roman"/>
                <w:szCs w:val="24"/>
              </w:rPr>
              <w:t>savivartis</w:t>
            </w:r>
            <w:r w:rsidR="00C444C0">
              <w:rPr>
                <w:rFonts w:cs="Times New Roman"/>
                <w:szCs w:val="24"/>
              </w:rPr>
              <w:t xml:space="preserve"> su </w:t>
            </w:r>
            <w:proofErr w:type="spellStart"/>
            <w:r w:rsidR="00DE312A">
              <w:rPr>
                <w:rFonts w:cs="Times New Roman"/>
                <w:szCs w:val="24"/>
              </w:rPr>
              <w:t>hido</w:t>
            </w:r>
            <w:r w:rsidR="00C444C0">
              <w:rPr>
                <w:rFonts w:cs="Times New Roman"/>
                <w:szCs w:val="24"/>
              </w:rPr>
              <w:t>manipuliatoriumi</w:t>
            </w:r>
            <w:proofErr w:type="spellEnd"/>
            <w:r w:rsidRPr="00CA20C2">
              <w:rPr>
                <w:rFonts w:cs="Times New Roman"/>
                <w:szCs w:val="24"/>
              </w:rPr>
              <w:t xml:space="preserve"> – ilgo naudojimo prekė, jo dalys, detalės ir komplektuojama įranga tinkama naudoti daug kartų, yra taisoma ir keičiama: visi </w:t>
            </w:r>
            <w:r w:rsidR="00DE312A">
              <w:rPr>
                <w:rFonts w:cs="Times New Roman"/>
                <w:szCs w:val="24"/>
              </w:rPr>
              <w:t>savivarčio</w:t>
            </w:r>
            <w:r w:rsidR="00C444C0">
              <w:rPr>
                <w:rFonts w:cs="Times New Roman"/>
                <w:szCs w:val="24"/>
              </w:rPr>
              <w:t xml:space="preserve"> su </w:t>
            </w:r>
            <w:proofErr w:type="spellStart"/>
            <w:r w:rsidR="00DE312A">
              <w:rPr>
                <w:rFonts w:cs="Times New Roman"/>
                <w:szCs w:val="24"/>
              </w:rPr>
              <w:t>hidro</w:t>
            </w:r>
            <w:r w:rsidR="00C444C0">
              <w:rPr>
                <w:rFonts w:cs="Times New Roman"/>
                <w:szCs w:val="24"/>
              </w:rPr>
              <w:t>manipuliatoriumi</w:t>
            </w:r>
            <w:proofErr w:type="spellEnd"/>
            <w:r w:rsidRPr="00CA20C2">
              <w:rPr>
                <w:rFonts w:cs="Times New Roman"/>
                <w:szCs w:val="24"/>
              </w:rPr>
              <w:t xml:space="preserve"> planiniai, techniniai patikrinimai, priežiūra bei remonto darbai atliekami atsakingai, laiku, užtikrinant tinkamumą naudoti kuo ilgesnį laiką, susidėvėjusios dalys ir detalės keičiamos į ne prastesnės kokybės dalis ir detales, vadovaujantis gamintojo rekomendacijomis; ir 4.4.4.5. papunkčiu, </w:t>
            </w:r>
            <w:proofErr w:type="spellStart"/>
            <w:r w:rsidR="00DE312A">
              <w:rPr>
                <w:rFonts w:cs="Times New Roman"/>
                <w:szCs w:val="24"/>
              </w:rPr>
              <w:t>savivaartis</w:t>
            </w:r>
            <w:proofErr w:type="spellEnd"/>
            <w:r w:rsidR="00C444C0">
              <w:rPr>
                <w:rFonts w:cs="Times New Roman"/>
                <w:szCs w:val="24"/>
              </w:rPr>
              <w:t xml:space="preserve"> su </w:t>
            </w:r>
            <w:proofErr w:type="spellStart"/>
            <w:r w:rsidR="00DE312A">
              <w:rPr>
                <w:rFonts w:cs="Times New Roman"/>
                <w:szCs w:val="24"/>
              </w:rPr>
              <w:lastRenderedPageBreak/>
              <w:t>hidro</w:t>
            </w:r>
            <w:r w:rsidR="00C444C0">
              <w:rPr>
                <w:rFonts w:cs="Times New Roman"/>
                <w:szCs w:val="24"/>
              </w:rPr>
              <w:t>manipuliatoriumi</w:t>
            </w:r>
            <w:proofErr w:type="spellEnd"/>
            <w:r w:rsidRPr="00CA20C2">
              <w:rPr>
                <w:rFonts w:cs="Times New Roman"/>
                <w:szCs w:val="24"/>
              </w:rPr>
              <w:t xml:space="preserve"> t. y. visos metalinės  konstrukcijos ir dalys virtę atliekomis, tinkami priduoti į metalo supirktuvę perdirbimui.</w:t>
            </w:r>
            <w:bookmarkEnd w:id="2"/>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lastRenderedPageBreak/>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0A5EC3CC" w:rsidR="00A94ECB" w:rsidRPr="00A94ECB" w:rsidRDefault="00A94ECB" w:rsidP="00A94ECB">
            <w:pPr>
              <w:spacing w:after="0" w:line="240" w:lineRule="auto"/>
              <w:jc w:val="both"/>
              <w:rPr>
                <w:rFonts w:cstheme="minorHAnsi"/>
                <w:b/>
                <w:bCs/>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Pr="000B06FE">
              <w:rPr>
                <w:rFonts w:cstheme="minorHAnsi"/>
                <w:iCs/>
              </w:rPr>
              <w:t xml:space="preserve">Tiekėjas kartu su pasiūlymu (Pirkimo sąlygų 6 priedas) turi pateikti užpildytą deklaraciją dėl (ne)atitikties Reglamento nuostatoms, kuri pateikta </w:t>
            </w:r>
            <w:r w:rsidRPr="00A94ECB">
              <w:rPr>
                <w:rFonts w:cstheme="minorHAnsi"/>
                <w:b/>
                <w:bCs/>
                <w:iCs/>
              </w:rPr>
              <w:t xml:space="preserve">SPS Priede Nr. </w:t>
            </w:r>
            <w:r>
              <w:rPr>
                <w:rFonts w:cstheme="minorHAnsi"/>
                <w:b/>
                <w:bCs/>
                <w:iCs/>
              </w:rPr>
              <w:t>5</w:t>
            </w:r>
            <w:r w:rsidRPr="00A94ECB">
              <w:rPr>
                <w:rFonts w:cstheme="minorHAnsi"/>
                <w:b/>
                <w:bCs/>
                <w:iCs/>
              </w:rPr>
              <w:t xml:space="preserve"> ir </w:t>
            </w:r>
            <w:r>
              <w:rPr>
                <w:rFonts w:cstheme="minorHAnsi"/>
                <w:b/>
                <w:bCs/>
                <w:iCs/>
              </w:rPr>
              <w:t>6</w:t>
            </w:r>
            <w:r w:rsidRPr="00A94ECB">
              <w:rPr>
                <w:rFonts w:cstheme="minorHAnsi"/>
                <w:b/>
                <w:bCs/>
                <w:iCs/>
              </w:rPr>
              <w:t>.</w:t>
            </w:r>
          </w:p>
          <w:p w14:paraId="74F7D187" w14:textId="506DC3A8" w:rsidR="00A94ECB" w:rsidRPr="00A94ECB" w:rsidRDefault="00A94ECB" w:rsidP="00A94ECB">
            <w:pPr>
              <w:pStyle w:val="Sraopastraipa"/>
              <w:spacing w:after="0" w:line="240" w:lineRule="auto"/>
              <w:ind w:left="0"/>
              <w:jc w:val="both"/>
              <w:rPr>
                <w:rFonts w:cstheme="minorHAnsi"/>
              </w:rPr>
            </w:pP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C054AF" w:rsidRDefault="00A94ECB" w:rsidP="00A94ECB">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Pr>
                <w:lang w:eastAsia="en-US"/>
              </w:rPr>
              <w:t>projektų vadovė Veronika Šimkienė</w:t>
            </w:r>
            <w:r w:rsidRPr="005A3E15">
              <w:rPr>
                <w:lang w:eastAsia="en-US"/>
              </w:rPr>
              <w:t xml:space="preserve">, tel. </w:t>
            </w:r>
            <w:r w:rsidRPr="000B6B2E">
              <w:rPr>
                <w:lang w:eastAsia="en-US"/>
              </w:rPr>
              <w:t>+370</w:t>
            </w:r>
            <w:r>
              <w:rPr>
                <w:lang w:eastAsia="en-US"/>
              </w:rPr>
              <w:t> 687 81492</w:t>
            </w:r>
            <w:r w:rsidRPr="005A3E15">
              <w:rPr>
                <w:lang w:eastAsia="en-US"/>
              </w:rPr>
              <w:t xml:space="preserve">, el. p. </w:t>
            </w:r>
            <w:r w:rsidRPr="002F46B5">
              <w:rPr>
                <w:rStyle w:val="Hipersaitas"/>
                <w:rFonts w:eastAsia="Calibri" w:cs="Times New Roman Bold"/>
                <w:szCs w:val="20"/>
                <w:lang w:eastAsia="ar-SA"/>
              </w:rPr>
              <w:t>veronika.simkiene@</w:t>
            </w:r>
            <w:hyperlink r:id="rId13" w:history="1"/>
            <w:r w:rsidRPr="002F46B5">
              <w:rPr>
                <w:rStyle w:val="Hipersaitas"/>
                <w:rFonts w:eastAsia="Calibri" w:cs="Times New Roman Bold"/>
                <w:szCs w:val="20"/>
                <w:lang w:eastAsia="ar-SA"/>
              </w:rPr>
              <w:t>palkom.lt</w:t>
            </w:r>
            <w:r>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C054AF"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C054AF" w:rsidRDefault="00A94ECB" w:rsidP="00A94ECB">
            <w:pPr>
              <w:pStyle w:val="Antrat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A94ECB" w:rsidRPr="00C054AF" w:rsidRDefault="00A94ECB" w:rsidP="00A94ECB">
            <w:pPr>
              <w:spacing w:after="0" w:line="240" w:lineRule="auto"/>
              <w:rPr>
                <w:rFonts w:cs="Times New Roman"/>
                <w:b/>
                <w:bCs/>
                <w:color w:val="2B579A"/>
                <w:szCs w:val="24"/>
                <w:shd w:val="clear" w:color="auto" w:fill="E6E6E6"/>
              </w:rPr>
            </w:pPr>
            <w:r w:rsidRPr="00C054AF">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C24A4D" w:rsidRDefault="00A94ECB" w:rsidP="00A94ECB">
            <w:pPr>
              <w:suppressAutoHyphens w:val="0"/>
              <w:spacing w:before="100" w:beforeAutospacing="1" w:after="100" w:afterAutospacing="1" w:line="240" w:lineRule="auto"/>
              <w:jc w:val="both"/>
              <w:rPr>
                <w:szCs w:val="24"/>
                <w:highlight w:val="yellow"/>
              </w:rPr>
            </w:pPr>
            <w:r>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C24A4D"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697B23" w:rsidRDefault="00A94ECB" w:rsidP="00A94ECB">
            <w:pPr>
              <w:pStyle w:val="Antrat1"/>
              <w:numPr>
                <w:ilvl w:val="0"/>
                <w:numId w:val="34"/>
              </w:numPr>
              <w:tabs>
                <w:tab w:val="left" w:pos="459"/>
              </w:tabs>
              <w:spacing w:before="0" w:after="0"/>
              <w:ind w:left="95" w:firstLine="0"/>
              <w:jc w:val="left"/>
              <w:rPr>
                <w:sz w:val="24"/>
                <w:szCs w:val="24"/>
              </w:rPr>
            </w:pPr>
            <w:r w:rsidRPr="00697B23">
              <w:rPr>
                <w:sz w:val="24"/>
                <w:szCs w:val="24"/>
              </w:rPr>
              <w:t xml:space="preserve">EBVPD nenaudojamas. </w:t>
            </w:r>
          </w:p>
          <w:p w14:paraId="4DBDEBED" w14:textId="046793DD" w:rsidR="00A94ECB" w:rsidRPr="00C054AF" w:rsidRDefault="00A94ECB" w:rsidP="00A94ECB">
            <w:pPr>
              <w:pStyle w:val="Antrat1"/>
              <w:numPr>
                <w:ilvl w:val="0"/>
                <w:numId w:val="34"/>
              </w:numPr>
              <w:tabs>
                <w:tab w:val="left" w:pos="459"/>
              </w:tabs>
              <w:spacing w:before="0" w:after="0"/>
              <w:ind w:left="95" w:firstLine="0"/>
              <w:jc w:val="left"/>
              <w:rPr>
                <w:szCs w:val="24"/>
              </w:rPr>
            </w:pPr>
            <w:r w:rsidRPr="00697B23">
              <w:rPr>
                <w:sz w:val="24"/>
                <w:szCs w:val="24"/>
              </w:rPr>
              <w:t>Tiekėjo pašalinimo pagrindai, kvalifikacijos reikalavimai, reikalaujami kokybės vadybos sistemos ir aplinkos apsaugos vadybos sistemos standartai nurodyti bei reikalauja</w:t>
            </w:r>
            <w:r w:rsidRPr="007E718E">
              <w:rPr>
                <w:sz w:val="24"/>
                <w:szCs w:val="24"/>
              </w:rPr>
              <w:t xml:space="preserve">mi dokumentai ir informacija, patvirtinanti šiuos reikalavimus, nurodyti </w:t>
            </w:r>
            <w:r w:rsidRPr="007E718E">
              <w:rPr>
                <w:b/>
                <w:bCs/>
                <w:sz w:val="24"/>
                <w:szCs w:val="24"/>
              </w:rPr>
              <w:t>SPS Priede Nr. 4</w:t>
            </w:r>
            <w:r w:rsidRPr="007E718E">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2FD3BBAE" w14:textId="09401241" w:rsidR="00FD69E6" w:rsidRPr="00C054AF" w:rsidRDefault="00FD69E6" w:rsidP="00A94ECB">
            <w:pPr>
              <w:shd w:val="clear" w:color="auto" w:fill="FFFFFF" w:themeFill="background1"/>
              <w:spacing w:after="0" w:line="240" w:lineRule="auto"/>
              <w:jc w:val="both"/>
              <w:rPr>
                <w:rFonts w:cs="Times New Roman"/>
                <w:szCs w:val="24"/>
              </w:rPr>
            </w:pPr>
            <w:r>
              <w:rPr>
                <w:rFonts w:cs="Times New Roman"/>
                <w:szCs w:val="24"/>
              </w:rPr>
              <w:t>3. Užpildyta techninės specifikacijos 1 lentelė „Reikalavimai prekei</w:t>
            </w:r>
            <w:r w:rsidR="00753211">
              <w:rPr>
                <w:rFonts w:cs="Times New Roman"/>
                <w:szCs w:val="24"/>
              </w:rPr>
              <w:t>“ su atitiktį pagrindžiančiais dokumentais</w:t>
            </w:r>
            <w:r>
              <w:rPr>
                <w:rFonts w:cs="Times New Roman"/>
                <w:szCs w:val="24"/>
              </w:rPr>
              <w:t>;</w:t>
            </w:r>
          </w:p>
          <w:p w14:paraId="4102BF1F" w14:textId="74BB9111" w:rsidR="00A94ECB" w:rsidRPr="00C054AF" w:rsidRDefault="00FD69E6" w:rsidP="00A94ECB">
            <w:pPr>
              <w:shd w:val="clear" w:color="auto" w:fill="FFFFFF" w:themeFill="background1"/>
              <w:spacing w:after="0" w:line="240" w:lineRule="auto"/>
              <w:jc w:val="both"/>
              <w:rPr>
                <w:rFonts w:cs="Times New Roman"/>
                <w:i/>
                <w:iCs/>
                <w:color w:val="0070C0"/>
                <w:szCs w:val="24"/>
              </w:rPr>
            </w:pPr>
            <w:r>
              <w:rPr>
                <w:rFonts w:cs="Times New Roman"/>
                <w:szCs w:val="24"/>
              </w:rPr>
              <w:t>4</w:t>
            </w:r>
            <w:r w:rsidR="00A94ECB" w:rsidRPr="00C054AF">
              <w:rPr>
                <w:rFonts w:cs="Times New Roman"/>
                <w:szCs w:val="24"/>
              </w:rPr>
              <w:t>.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C054AF" w:rsidRDefault="00A94ECB" w:rsidP="00A94ECB">
            <w:pPr>
              <w:tabs>
                <w:tab w:val="center" w:pos="1701"/>
              </w:tabs>
              <w:spacing w:after="0" w:line="240" w:lineRule="auto"/>
              <w:rPr>
                <w:rFonts w:cs="Times New Roman"/>
                <w:szCs w:val="24"/>
              </w:rPr>
            </w:pPr>
            <w:r w:rsidRPr="003734FC">
              <w:rPr>
                <w:color w:val="000000" w:themeColor="text1"/>
                <w:szCs w:val="24"/>
              </w:rPr>
              <w:t xml:space="preserve">Pirkimo sutartis bus užtikrinama </w:t>
            </w:r>
            <w:r w:rsidR="00F245DC">
              <w:rPr>
                <w:b/>
                <w:bCs/>
                <w:color w:val="000000" w:themeColor="text1"/>
                <w:szCs w:val="24"/>
              </w:rPr>
              <w:t xml:space="preserve"> S</w:t>
            </w:r>
            <w:r w:rsidR="00F245DC" w:rsidRPr="002179FD">
              <w:rPr>
                <w:b/>
                <w:bCs/>
                <w:color w:val="000000" w:themeColor="text1"/>
                <w:szCs w:val="24"/>
              </w:rPr>
              <w:t>PS Priedas Nr. 3</w:t>
            </w:r>
            <w:r w:rsidRPr="003734FC">
              <w:rPr>
                <w:color w:val="000000" w:themeColor="text1"/>
                <w:szCs w:val="24"/>
              </w:rPr>
              <w:t xml:space="preserve"> nurodytomis netesybomis</w:t>
            </w:r>
            <w:r>
              <w:rPr>
                <w:color w:val="000000" w:themeColor="text1"/>
                <w:szCs w:val="24"/>
              </w:rPr>
              <w:t xml:space="preserve">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C054AF" w:rsidRDefault="00A94ECB" w:rsidP="00A94ECB">
            <w:pPr>
              <w:spacing w:after="0" w:line="240" w:lineRule="auto"/>
              <w:rPr>
                <w:rFonts w:cs="Times New Roman"/>
                <w:szCs w:val="24"/>
              </w:rPr>
            </w:pPr>
            <w:r w:rsidRPr="00C054AF">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C054AF" w:rsidRDefault="00A94ECB" w:rsidP="00A94ECB">
            <w:pPr>
              <w:spacing w:after="0" w:line="240" w:lineRule="auto"/>
              <w:rPr>
                <w:rFonts w:cs="Times New Roman"/>
                <w:szCs w:val="24"/>
              </w:rPr>
            </w:pPr>
            <w:r>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C054AF" w:rsidRDefault="00A94ECB" w:rsidP="00A94ECB">
            <w:pPr>
              <w:spacing w:after="0" w:line="240" w:lineRule="auto"/>
              <w:rPr>
                <w:rFonts w:cs="Times New Roman"/>
                <w:szCs w:val="24"/>
              </w:rPr>
            </w:pPr>
            <w:r w:rsidRPr="00C054AF">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5863DD9E" w:rsidR="00A94ECB" w:rsidRPr="00C054AF" w:rsidRDefault="00A94ECB" w:rsidP="00A94ECB">
            <w:pPr>
              <w:spacing w:after="0" w:line="240" w:lineRule="auto"/>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01383F90"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w:t>
            </w:r>
            <w:r w:rsidR="00033599">
              <w:rPr>
                <w:color w:val="000000" w:themeColor="text1"/>
                <w:szCs w:val="24"/>
              </w:rPr>
              <w:t>S</w:t>
            </w:r>
            <w:r w:rsidR="00C444C0">
              <w:rPr>
                <w:color w:val="000000" w:themeColor="text1"/>
                <w:szCs w:val="24"/>
              </w:rPr>
              <w:t>utarties projektas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2C64A9" w:rsidRPr="002C64A9" w14:paraId="69FC9B43" w14:textId="77777777" w:rsidTr="006A3F65">
        <w:tc>
          <w:tcPr>
            <w:tcW w:w="9634" w:type="dxa"/>
          </w:tcPr>
          <w:p w14:paraId="254883FF" w14:textId="32A8D6E7"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1F2BC683"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6 priedas.</w:t>
            </w:r>
            <w:r w:rsidRPr="009978CF">
              <w:t xml:space="preserve"> </w:t>
            </w:r>
            <w:r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C5F3" w14:textId="77777777" w:rsidR="00843B66" w:rsidRDefault="00843B66" w:rsidP="009704AF">
      <w:pPr>
        <w:spacing w:after="0" w:line="240" w:lineRule="auto"/>
      </w:pPr>
      <w:r>
        <w:separator/>
      </w:r>
    </w:p>
  </w:endnote>
  <w:endnote w:type="continuationSeparator" w:id="0">
    <w:p w14:paraId="229E7078" w14:textId="77777777" w:rsidR="00843B66" w:rsidRDefault="00843B66" w:rsidP="009704AF">
      <w:pPr>
        <w:spacing w:after="0" w:line="240" w:lineRule="auto"/>
      </w:pPr>
      <w:r>
        <w:continuationSeparator/>
      </w:r>
    </w:p>
  </w:endnote>
  <w:endnote w:type="continuationNotice" w:id="1">
    <w:p w14:paraId="3A702546" w14:textId="77777777" w:rsidR="00843B66" w:rsidRDefault="00843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CDE7" w14:textId="77777777" w:rsidR="00843B66" w:rsidRDefault="00843B66" w:rsidP="009704AF">
      <w:pPr>
        <w:spacing w:after="0" w:line="240" w:lineRule="auto"/>
      </w:pPr>
      <w:r>
        <w:separator/>
      </w:r>
    </w:p>
  </w:footnote>
  <w:footnote w:type="continuationSeparator" w:id="0">
    <w:p w14:paraId="2F6E0A03" w14:textId="77777777" w:rsidR="00843B66" w:rsidRDefault="00843B66" w:rsidP="009704AF">
      <w:pPr>
        <w:spacing w:after="0" w:line="240" w:lineRule="auto"/>
      </w:pPr>
      <w:r>
        <w:continuationSeparator/>
      </w:r>
    </w:p>
  </w:footnote>
  <w:footnote w:type="continuationNotice" w:id="1">
    <w:p w14:paraId="54A2A558" w14:textId="77777777" w:rsidR="00843B66" w:rsidRDefault="00843B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599"/>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BB"/>
    <w:rsid w:val="00103697"/>
    <w:rsid w:val="0010494C"/>
    <w:rsid w:val="00106D77"/>
    <w:rsid w:val="001075FF"/>
    <w:rsid w:val="0010788F"/>
    <w:rsid w:val="00107CE7"/>
    <w:rsid w:val="001116FC"/>
    <w:rsid w:val="00111C51"/>
    <w:rsid w:val="00112143"/>
    <w:rsid w:val="0011254B"/>
    <w:rsid w:val="0011298C"/>
    <w:rsid w:val="00113BEB"/>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56F1B"/>
    <w:rsid w:val="00163A53"/>
    <w:rsid w:val="00163B43"/>
    <w:rsid w:val="00166D17"/>
    <w:rsid w:val="00170FD6"/>
    <w:rsid w:val="00171B72"/>
    <w:rsid w:val="001737D0"/>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4764"/>
    <w:rsid w:val="002A583F"/>
    <w:rsid w:val="002B093A"/>
    <w:rsid w:val="002B1C78"/>
    <w:rsid w:val="002B2AF2"/>
    <w:rsid w:val="002B510C"/>
    <w:rsid w:val="002B7290"/>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364D"/>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2A50"/>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4B0D"/>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4D6C"/>
    <w:rsid w:val="006860FB"/>
    <w:rsid w:val="00686252"/>
    <w:rsid w:val="00686649"/>
    <w:rsid w:val="00687627"/>
    <w:rsid w:val="0069231D"/>
    <w:rsid w:val="006926BA"/>
    <w:rsid w:val="00694AAE"/>
    <w:rsid w:val="006956F5"/>
    <w:rsid w:val="00697B23"/>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4EFE"/>
    <w:rsid w:val="007470D5"/>
    <w:rsid w:val="00753211"/>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5BA5"/>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3B66"/>
    <w:rsid w:val="00847300"/>
    <w:rsid w:val="0085210F"/>
    <w:rsid w:val="00852D3E"/>
    <w:rsid w:val="0085517C"/>
    <w:rsid w:val="00855AD8"/>
    <w:rsid w:val="00855F6F"/>
    <w:rsid w:val="00855F9B"/>
    <w:rsid w:val="00856C8D"/>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B7B56"/>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214D"/>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00C"/>
    <w:rsid w:val="00995753"/>
    <w:rsid w:val="00996C12"/>
    <w:rsid w:val="009970BD"/>
    <w:rsid w:val="0099746B"/>
    <w:rsid w:val="009A1904"/>
    <w:rsid w:val="009A3E1C"/>
    <w:rsid w:val="009A4CDC"/>
    <w:rsid w:val="009A591A"/>
    <w:rsid w:val="009B3D67"/>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417"/>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3159"/>
    <w:rsid w:val="00BA4665"/>
    <w:rsid w:val="00BA5D4E"/>
    <w:rsid w:val="00BA7974"/>
    <w:rsid w:val="00BB08F5"/>
    <w:rsid w:val="00BB0F4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44C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377CC"/>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12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3665F"/>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D69E6"/>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 w:type="paragraph" w:customStyle="1" w:styleId="paragrafesrasas2lygis">
    <w:name w:val="_paragrafe sąrasas 2 lygis"/>
    <w:basedOn w:val="Pagrindiniotekstotrauka2"/>
    <w:link w:val="paragrafesrasas2lygisDiagrama"/>
    <w:qFormat/>
    <w:rsid w:val="00432A50"/>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432A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piskinait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435EA"/>
    <w:rsid w:val="000452B0"/>
    <w:rsid w:val="001B0759"/>
    <w:rsid w:val="001C6A39"/>
    <w:rsid w:val="002B7290"/>
    <w:rsid w:val="002E22BA"/>
    <w:rsid w:val="003B6957"/>
    <w:rsid w:val="004F104D"/>
    <w:rsid w:val="004F5F56"/>
    <w:rsid w:val="0066226C"/>
    <w:rsid w:val="0067661A"/>
    <w:rsid w:val="006829F3"/>
    <w:rsid w:val="00684D6C"/>
    <w:rsid w:val="006A3311"/>
    <w:rsid w:val="006B3AB6"/>
    <w:rsid w:val="00742445"/>
    <w:rsid w:val="00785CF1"/>
    <w:rsid w:val="008D69A4"/>
    <w:rsid w:val="0095214D"/>
    <w:rsid w:val="009A28EA"/>
    <w:rsid w:val="009B3D67"/>
    <w:rsid w:val="009B4E34"/>
    <w:rsid w:val="00A06104"/>
    <w:rsid w:val="00A11824"/>
    <w:rsid w:val="00B8605C"/>
    <w:rsid w:val="00B91876"/>
    <w:rsid w:val="00BD0E73"/>
    <w:rsid w:val="00C72E6D"/>
    <w:rsid w:val="00D23164"/>
    <w:rsid w:val="00D6293E"/>
    <w:rsid w:val="00DA3DAA"/>
    <w:rsid w:val="00E36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3.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4.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3642</Words>
  <Characters>2076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13</cp:revision>
  <cp:lastPrinted>2020-06-16T06:01:00Z</cp:lastPrinted>
  <dcterms:created xsi:type="dcterms:W3CDTF">2026-02-04T11:43:00Z</dcterms:created>
  <dcterms:modified xsi:type="dcterms:W3CDTF">2026-07-14T05:17:00Z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