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BB873" w14:textId="3EF64178" w:rsidR="00C5274A" w:rsidRPr="00C5274A" w:rsidRDefault="00C5274A" w:rsidP="00216B27">
      <w:pPr>
        <w:spacing w:after="0" w:line="360" w:lineRule="auto"/>
        <w:jc w:val="both"/>
        <w:rPr>
          <w:rFonts w:ascii="Times New Roman" w:hAnsi="Times New Roman"/>
          <w:b/>
          <w:caps/>
        </w:rPr>
      </w:pPr>
      <w:r w:rsidRPr="00C5274A">
        <w:rPr>
          <w:rFonts w:ascii="Times New Roman" w:hAnsi="Times New Roman"/>
          <w:b/>
          <w:caps/>
        </w:rPr>
        <w:t>REAGENT</w:t>
      </w:r>
      <w:r w:rsidR="001E690A" w:rsidRPr="00F27A7B">
        <w:rPr>
          <w:rFonts w:ascii="Times New Roman" w:hAnsi="Times New Roman"/>
          <w:b/>
          <w:caps/>
        </w:rPr>
        <w:t>Ų</w:t>
      </w:r>
      <w:r w:rsidRPr="00C310C5">
        <w:rPr>
          <w:rFonts w:ascii="Times New Roman" w:hAnsi="Times New Roman"/>
          <w:b/>
          <w:caps/>
        </w:rPr>
        <w:t xml:space="preserve"> </w:t>
      </w:r>
      <w:r w:rsidRPr="00C5274A">
        <w:rPr>
          <w:rFonts w:ascii="Times New Roman" w:hAnsi="Times New Roman"/>
          <w:b/>
          <w:caps/>
        </w:rPr>
        <w:t>IR PAPILDOM</w:t>
      </w:r>
      <w:r w:rsidR="001E690A" w:rsidRPr="00F27A7B">
        <w:rPr>
          <w:rFonts w:ascii="Times New Roman" w:hAnsi="Times New Roman"/>
          <w:b/>
          <w:caps/>
        </w:rPr>
        <w:t>Ų</w:t>
      </w:r>
      <w:r w:rsidRPr="00C5274A">
        <w:rPr>
          <w:rFonts w:ascii="Times New Roman" w:hAnsi="Times New Roman"/>
          <w:b/>
          <w:caps/>
        </w:rPr>
        <w:t xml:space="preserve"> </w:t>
      </w:r>
      <w:r w:rsidRPr="00C5274A">
        <w:rPr>
          <w:rFonts w:ascii="Times New Roman" w:hAnsi="Times New Roman" w:cs="Times New Roman"/>
          <w:b/>
          <w:caps/>
        </w:rPr>
        <w:t>PRIEMON</w:t>
      </w:r>
      <w:r w:rsidR="001E690A" w:rsidRPr="00F27A7B">
        <w:rPr>
          <w:rFonts w:ascii="Times New Roman" w:hAnsi="Times New Roman" w:cs="Times New Roman"/>
          <w:b/>
          <w:caps/>
        </w:rPr>
        <w:t>IŲ</w:t>
      </w:r>
      <w:r w:rsidR="00A41655">
        <w:rPr>
          <w:rFonts w:ascii="Times New Roman" w:hAnsi="Times New Roman"/>
          <w:b/>
          <w:caps/>
        </w:rPr>
        <w:t xml:space="preserve"> </w:t>
      </w:r>
      <w:r w:rsidR="00C310C5">
        <w:rPr>
          <w:rFonts w:ascii="Times New Roman" w:hAnsi="Times New Roman"/>
          <w:b/>
          <w:caps/>
        </w:rPr>
        <w:t xml:space="preserve">BETA D-GLIUKANO </w:t>
      </w:r>
      <w:r w:rsidRPr="00C5274A">
        <w:rPr>
          <w:rFonts w:ascii="Times New Roman" w:hAnsi="Times New Roman"/>
          <w:b/>
          <w:caps/>
        </w:rPr>
        <w:t>NUSTATYMUI SU ĮRANGOS ĮSIGIJIMU PANAUDOS BŪDU</w:t>
      </w:r>
    </w:p>
    <w:p w14:paraId="355004B2" w14:textId="315940AB" w:rsidR="00C60E84" w:rsidRDefault="00C60E84" w:rsidP="00216B27">
      <w:pPr>
        <w:spacing w:after="0" w:line="276" w:lineRule="auto"/>
        <w:jc w:val="center"/>
        <w:rPr>
          <w:rFonts w:ascii="Times New Roman" w:eastAsia="Times New Roman" w:hAnsi="Times New Roman" w:cs="Times New Roman"/>
          <w:b/>
          <w:bCs/>
          <w:color w:val="000000" w:themeColor="text1"/>
          <w:lang w:eastAsia="lt-LT"/>
        </w:rPr>
      </w:pPr>
      <w:r w:rsidRPr="0019775F">
        <w:rPr>
          <w:rFonts w:ascii="Times New Roman" w:eastAsia="Times New Roman" w:hAnsi="Times New Roman" w:cs="Times New Roman"/>
          <w:b/>
          <w:bCs/>
          <w:color w:val="000000" w:themeColor="text1"/>
          <w:lang w:eastAsia="lt-LT"/>
        </w:rPr>
        <w:t>TECHNINĖ SPECIFIKACIJA</w:t>
      </w:r>
    </w:p>
    <w:p w14:paraId="4812B337" w14:textId="10722FAE" w:rsidR="00C63345" w:rsidRDefault="00C63345" w:rsidP="00216B27">
      <w:pPr>
        <w:spacing w:after="0" w:line="276" w:lineRule="auto"/>
        <w:jc w:val="center"/>
        <w:rPr>
          <w:rFonts w:ascii="Times New Roman" w:eastAsia="Times New Roman" w:hAnsi="Times New Roman" w:cs="Times New Roman"/>
          <w:b/>
          <w:bCs/>
          <w:color w:val="000000" w:themeColor="text1"/>
          <w:lang w:eastAsia="lt-LT"/>
        </w:rPr>
      </w:pPr>
    </w:p>
    <w:p w14:paraId="3FA00A20" w14:textId="6BEB22B7" w:rsidR="00C60E84" w:rsidRPr="0019775F" w:rsidRDefault="00C60E84" w:rsidP="00C310C5">
      <w:pPr>
        <w:spacing w:after="0" w:line="360" w:lineRule="auto"/>
        <w:rPr>
          <w:rFonts w:ascii="Times New Roman" w:hAnsi="Times New Roman" w:cs="Times New Roman"/>
          <w:caps/>
          <w:color w:val="000000" w:themeColor="text1"/>
        </w:rPr>
      </w:pPr>
    </w:p>
    <w:tbl>
      <w:tblPr>
        <w:tblStyle w:val="TableGrid"/>
        <w:tblW w:w="14596" w:type="dxa"/>
        <w:tblLook w:val="04A0" w:firstRow="1" w:lastRow="0" w:firstColumn="1" w:lastColumn="0" w:noHBand="0" w:noVBand="1"/>
      </w:tblPr>
      <w:tblGrid>
        <w:gridCol w:w="675"/>
        <w:gridCol w:w="3686"/>
        <w:gridCol w:w="5982"/>
        <w:gridCol w:w="4253"/>
      </w:tblGrid>
      <w:tr w:rsidR="0019775F" w:rsidRPr="0019775F" w14:paraId="4AC339D6" w14:textId="77777777" w:rsidTr="00A62B78">
        <w:tc>
          <w:tcPr>
            <w:tcW w:w="675" w:type="dxa"/>
            <w:vAlign w:val="center"/>
          </w:tcPr>
          <w:p w14:paraId="79B13807"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3686" w:type="dxa"/>
            <w:vAlign w:val="center"/>
          </w:tcPr>
          <w:p w14:paraId="1EBF4C8C"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5982" w:type="dxa"/>
            <w:vAlign w:val="center"/>
          </w:tcPr>
          <w:p w14:paraId="2BE84ED5"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253" w:type="dxa"/>
            <w:vAlign w:val="center"/>
          </w:tcPr>
          <w:p w14:paraId="0A250F28"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04F868AE" w14:textId="77777777" w:rsidTr="00A62B78">
        <w:tc>
          <w:tcPr>
            <w:tcW w:w="675" w:type="dxa"/>
          </w:tcPr>
          <w:p w14:paraId="3E8EAB72" w14:textId="77777777" w:rsidR="00ED3A27" w:rsidRPr="0019775F" w:rsidRDefault="00ED3A27" w:rsidP="00690A0C">
            <w:pPr>
              <w:pStyle w:val="Default"/>
              <w:jc w:val="center"/>
              <w:rPr>
                <w:b/>
                <w:color w:val="000000" w:themeColor="text1"/>
                <w:sz w:val="22"/>
                <w:szCs w:val="22"/>
              </w:rPr>
            </w:pPr>
            <w:r w:rsidRPr="0019775F">
              <w:rPr>
                <w:b/>
                <w:color w:val="000000" w:themeColor="text1"/>
                <w:sz w:val="22"/>
                <w:szCs w:val="22"/>
              </w:rPr>
              <w:t>I.</w:t>
            </w:r>
          </w:p>
        </w:tc>
        <w:tc>
          <w:tcPr>
            <w:tcW w:w="3686" w:type="dxa"/>
          </w:tcPr>
          <w:p w14:paraId="6E6B9D01" w14:textId="640BF57B" w:rsidR="006E0555" w:rsidRPr="006E0555" w:rsidRDefault="00C310C5" w:rsidP="00690A0C">
            <w:pPr>
              <w:pStyle w:val="Default"/>
              <w:rPr>
                <w:b/>
                <w:color w:val="000000" w:themeColor="text1"/>
                <w:sz w:val="22"/>
                <w:szCs w:val="22"/>
              </w:rPr>
            </w:pPr>
            <w:r w:rsidRPr="00E642CB">
              <w:rPr>
                <w:b/>
                <w:color w:val="auto"/>
                <w:sz w:val="22"/>
                <w:szCs w:val="22"/>
              </w:rPr>
              <w:t xml:space="preserve">Analizatorius – 1 vnt. (pavadinimas, tipas/modelis, gamintojas) </w:t>
            </w:r>
          </w:p>
        </w:tc>
        <w:tc>
          <w:tcPr>
            <w:tcW w:w="5982" w:type="dxa"/>
          </w:tcPr>
          <w:p w14:paraId="317333EA" w14:textId="19CFF2F6" w:rsidR="00ED3A27" w:rsidRPr="0019775F" w:rsidRDefault="006E0555" w:rsidP="004B411C">
            <w:pPr>
              <w:pStyle w:val="Default"/>
              <w:rPr>
                <w:color w:val="000000" w:themeColor="text1"/>
                <w:sz w:val="22"/>
                <w:szCs w:val="22"/>
              </w:rPr>
            </w:pPr>
            <w:r>
              <w:rPr>
                <w:i/>
                <w:iCs/>
                <w:color w:val="000000" w:themeColor="text1"/>
                <w:sz w:val="22"/>
                <w:szCs w:val="22"/>
              </w:rPr>
              <w:t>Nauja</w:t>
            </w:r>
            <w:r w:rsidR="00CA3B5C">
              <w:rPr>
                <w:i/>
                <w:iCs/>
                <w:color w:val="000000" w:themeColor="text1"/>
                <w:sz w:val="22"/>
                <w:szCs w:val="22"/>
              </w:rPr>
              <w:t>s</w:t>
            </w:r>
            <w:r>
              <w:rPr>
                <w:i/>
                <w:iCs/>
                <w:color w:val="000000" w:themeColor="text1"/>
                <w:sz w:val="22"/>
                <w:szCs w:val="22"/>
              </w:rPr>
              <w:t xml:space="preserve"> (nenaudota</w:t>
            </w:r>
            <w:r w:rsidR="00CA3B5C">
              <w:rPr>
                <w:i/>
                <w:iCs/>
                <w:color w:val="000000" w:themeColor="text1"/>
                <w:sz w:val="22"/>
                <w:szCs w:val="22"/>
              </w:rPr>
              <w:t>s</w:t>
            </w:r>
            <w:r>
              <w:rPr>
                <w:i/>
                <w:iCs/>
                <w:color w:val="000000" w:themeColor="text1"/>
                <w:sz w:val="22"/>
                <w:szCs w:val="22"/>
              </w:rPr>
              <w:t>)</w:t>
            </w:r>
            <w:r w:rsidR="004B411C">
              <w:rPr>
                <w:i/>
                <w:iCs/>
                <w:color w:val="000000" w:themeColor="text1"/>
                <w:sz w:val="22"/>
                <w:szCs w:val="22"/>
              </w:rPr>
              <w:t xml:space="preserve"> </w:t>
            </w:r>
            <w:r w:rsidR="004B411C" w:rsidRPr="0019775F">
              <w:rPr>
                <w:color w:val="000000" w:themeColor="text1"/>
              </w:rPr>
              <w:t>(</w:t>
            </w:r>
            <w:r w:rsidR="004B411C" w:rsidRPr="00A64118">
              <w:rPr>
                <w:i/>
                <w:color w:val="000000" w:themeColor="text1"/>
              </w:rPr>
              <w:t xml:space="preserve">kartu su pasiūlymu konkursui </w:t>
            </w:r>
            <w:r w:rsidR="004B411C" w:rsidRPr="00DF61FB">
              <w:rPr>
                <w:i/>
              </w:rPr>
              <w:t>pateikti</w:t>
            </w:r>
            <w:r w:rsidR="004B411C">
              <w:rPr>
                <w:i/>
              </w:rPr>
              <w:t xml:space="preserve"> tiekėjo </w:t>
            </w:r>
            <w:r w:rsidR="00FE7958">
              <w:rPr>
                <w:i/>
              </w:rPr>
              <w:t>patvirtinimą)</w:t>
            </w:r>
          </w:p>
        </w:tc>
        <w:tc>
          <w:tcPr>
            <w:tcW w:w="4253" w:type="dxa"/>
          </w:tcPr>
          <w:p w14:paraId="2B9B6EDA" w14:textId="77777777" w:rsidR="00ED3A27" w:rsidRPr="0019775F" w:rsidRDefault="00ED3A27" w:rsidP="00690A0C">
            <w:pPr>
              <w:spacing w:line="360" w:lineRule="auto"/>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FE7958" w:rsidRPr="0019775F" w14:paraId="58DF7648" w14:textId="77777777" w:rsidTr="00A62B78">
        <w:trPr>
          <w:trHeight w:val="568"/>
        </w:trPr>
        <w:tc>
          <w:tcPr>
            <w:tcW w:w="675" w:type="dxa"/>
          </w:tcPr>
          <w:p w14:paraId="48D499A0" w14:textId="77777777" w:rsidR="00FE7958" w:rsidRPr="006E0555" w:rsidRDefault="00FE7958" w:rsidP="00693CFB">
            <w:pPr>
              <w:pStyle w:val="Default"/>
              <w:jc w:val="center"/>
              <w:rPr>
                <w:color w:val="000000" w:themeColor="text1"/>
                <w:sz w:val="22"/>
                <w:szCs w:val="22"/>
              </w:rPr>
            </w:pPr>
            <w:r w:rsidRPr="006E0555">
              <w:rPr>
                <w:color w:val="000000" w:themeColor="text1"/>
                <w:sz w:val="22"/>
                <w:szCs w:val="22"/>
              </w:rPr>
              <w:t xml:space="preserve">1. </w:t>
            </w:r>
          </w:p>
        </w:tc>
        <w:tc>
          <w:tcPr>
            <w:tcW w:w="3686" w:type="dxa"/>
          </w:tcPr>
          <w:p w14:paraId="1F1674BB" w14:textId="26EE7574" w:rsidR="00FE7958" w:rsidRPr="006E0555" w:rsidRDefault="00C310C5" w:rsidP="00693CFB">
            <w:pPr>
              <w:pStyle w:val="Default"/>
              <w:rPr>
                <w:b/>
                <w:color w:val="000000" w:themeColor="text1"/>
                <w:sz w:val="22"/>
                <w:szCs w:val="22"/>
              </w:rPr>
            </w:pPr>
            <w:r>
              <w:rPr>
                <w:sz w:val="22"/>
                <w:szCs w:val="22"/>
              </w:rPr>
              <w:t>Analizatoriaus paskirtis</w:t>
            </w:r>
          </w:p>
        </w:tc>
        <w:tc>
          <w:tcPr>
            <w:tcW w:w="5982" w:type="dxa"/>
          </w:tcPr>
          <w:p w14:paraId="0B066A12" w14:textId="6919730B" w:rsidR="00487426" w:rsidRPr="00CF669C" w:rsidRDefault="00963C10" w:rsidP="00CF669C">
            <w:pPr>
              <w:pStyle w:val="TableParagraph"/>
              <w:spacing w:before="0" w:line="256" w:lineRule="auto"/>
              <w:ind w:left="394" w:right="97"/>
            </w:pPr>
            <w:r w:rsidRPr="00A62B78">
              <w:t xml:space="preserve">Siūlomas analizatorius turi būti skirtas </w:t>
            </w:r>
            <w:r w:rsidRPr="00BE7EFB">
              <w:rPr>
                <w:lang w:val="it-IT"/>
              </w:rPr>
              <w:t>β</w:t>
            </w:r>
            <w:r w:rsidRPr="00A62B78">
              <w:t>-D-</w:t>
            </w:r>
            <w:proofErr w:type="spellStart"/>
            <w:r w:rsidRPr="00A62B78">
              <w:t>gliukano</w:t>
            </w:r>
            <w:proofErr w:type="spellEnd"/>
            <w:r w:rsidRPr="00A62B78">
              <w:t xml:space="preserve"> kiekybi</w:t>
            </w:r>
            <w:r w:rsidR="00BE7EFB" w:rsidRPr="00A62B78">
              <w:t>niam</w:t>
            </w:r>
            <w:r w:rsidRPr="00A62B78">
              <w:t xml:space="preserve"> nustaty</w:t>
            </w:r>
            <w:r w:rsidR="00BE7EFB" w:rsidRPr="00A62B78">
              <w:t xml:space="preserve">mui </w:t>
            </w:r>
            <w:r w:rsidR="000C7A02" w:rsidRPr="00A62B78">
              <w:t>(</w:t>
            </w:r>
            <w:r w:rsidR="00E16DA5" w:rsidRPr="00A62B78">
              <w:t xml:space="preserve">naudojamas </w:t>
            </w:r>
            <w:r w:rsidR="00BE7EFB" w:rsidRPr="00A62B78">
              <w:t xml:space="preserve">kaip </w:t>
            </w:r>
            <w:r w:rsidR="00EA0790">
              <w:t>invazinių grybelinių infekcijų</w:t>
            </w:r>
            <w:r w:rsidR="00487426">
              <w:t xml:space="preserve">: </w:t>
            </w:r>
            <w:proofErr w:type="spellStart"/>
            <w:r w:rsidR="00487426">
              <w:t>kandidozės</w:t>
            </w:r>
            <w:proofErr w:type="spellEnd"/>
            <w:r w:rsidR="00487426">
              <w:t xml:space="preserve">, </w:t>
            </w:r>
            <w:proofErr w:type="spellStart"/>
            <w:r w:rsidR="00487426">
              <w:t>aspergiliozės</w:t>
            </w:r>
            <w:proofErr w:type="spellEnd"/>
            <w:r w:rsidR="00487426">
              <w:t xml:space="preserve">, </w:t>
            </w:r>
            <w:proofErr w:type="spellStart"/>
            <w:r w:rsidR="001E694A">
              <w:rPr>
                <w:i/>
                <w:iCs/>
              </w:rPr>
              <w:t>P</w:t>
            </w:r>
            <w:r w:rsidR="00487426" w:rsidRPr="00BE7EFB">
              <w:rPr>
                <w:i/>
                <w:iCs/>
              </w:rPr>
              <w:t>neumocystis</w:t>
            </w:r>
            <w:proofErr w:type="spellEnd"/>
            <w:r w:rsidR="00487426" w:rsidRPr="00BE7EFB">
              <w:rPr>
                <w:i/>
                <w:iCs/>
              </w:rPr>
              <w:t xml:space="preserve"> </w:t>
            </w:r>
            <w:proofErr w:type="spellStart"/>
            <w:r w:rsidR="00487426" w:rsidRPr="00BE7EFB">
              <w:rPr>
                <w:i/>
                <w:iCs/>
              </w:rPr>
              <w:t>jiroveci</w:t>
            </w:r>
            <w:r w:rsidR="000E2C83">
              <w:rPr>
                <w:i/>
                <w:iCs/>
              </w:rPr>
              <w:t>i</w:t>
            </w:r>
            <w:proofErr w:type="spellEnd"/>
            <w:r w:rsidR="00EA0790">
              <w:t xml:space="preserve"> diagnostinis </w:t>
            </w:r>
            <w:r w:rsidR="00CF669C">
              <w:t>parametras</w:t>
            </w:r>
            <w:r w:rsidR="00487426">
              <w:t>).</w:t>
            </w:r>
            <w:r w:rsidR="00E16DA5">
              <w:t xml:space="preserve"> </w:t>
            </w:r>
          </w:p>
          <w:p w14:paraId="0E6342A5" w14:textId="0C7FBC9D" w:rsidR="004115A7" w:rsidRPr="006E0555" w:rsidRDefault="00BE7EFB" w:rsidP="00487426">
            <w:pPr>
              <w:pStyle w:val="TableParagraph"/>
              <w:spacing w:before="0" w:line="256" w:lineRule="auto"/>
              <w:ind w:left="394" w:right="97"/>
            </w:pPr>
            <w:r>
              <w:t>Analizatorius</w:t>
            </w:r>
            <w:r w:rsidR="004115A7" w:rsidRPr="002B0807">
              <w:rPr>
                <w:color w:val="000000" w:themeColor="text1"/>
              </w:rPr>
              <w:t xml:space="preserve"> turi būti techniškai</w:t>
            </w:r>
            <w:r w:rsidR="004115A7">
              <w:rPr>
                <w:color w:val="000000" w:themeColor="text1"/>
              </w:rPr>
              <w:t xml:space="preserve"> pajėg</w:t>
            </w:r>
            <w:r>
              <w:rPr>
                <w:color w:val="000000" w:themeColor="text1"/>
              </w:rPr>
              <w:t>us</w:t>
            </w:r>
            <w:r w:rsidR="004115A7">
              <w:rPr>
                <w:color w:val="000000" w:themeColor="text1"/>
              </w:rPr>
              <w:t xml:space="preserve"> atlikti </w:t>
            </w:r>
            <w:r w:rsidR="004115A7" w:rsidRPr="0019775F">
              <w:rPr>
                <w:color w:val="000000" w:themeColor="text1"/>
              </w:rPr>
              <w:t>1 priede įvardintus tyrimus</w:t>
            </w:r>
          </w:p>
        </w:tc>
        <w:tc>
          <w:tcPr>
            <w:tcW w:w="4253" w:type="dxa"/>
          </w:tcPr>
          <w:p w14:paraId="002E607A" w14:textId="77777777" w:rsidR="00FE7958" w:rsidRDefault="00FE7958" w:rsidP="00690A0C">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r w:rsidR="00E16DA5">
              <w:rPr>
                <w:rFonts w:ascii="Times New Roman" w:hAnsi="Times New Roman" w:cs="Times New Roman"/>
                <w:i/>
                <w:color w:val="000000" w:themeColor="text1"/>
              </w:rPr>
              <w:t xml:space="preserve"> </w:t>
            </w:r>
          </w:p>
          <w:p w14:paraId="11007043" w14:textId="274D3940" w:rsidR="00E16DA5" w:rsidRPr="0019775F" w:rsidRDefault="00E16DA5" w:rsidP="00690A0C">
            <w:pPr>
              <w:spacing w:line="360" w:lineRule="auto"/>
              <w:jc w:val="center"/>
              <w:rPr>
                <w:rFonts w:ascii="Times New Roman" w:hAnsi="Times New Roman" w:cs="Times New Roman"/>
                <w:i/>
                <w:color w:val="000000" w:themeColor="text1"/>
              </w:rPr>
            </w:pPr>
          </w:p>
        </w:tc>
      </w:tr>
      <w:tr w:rsidR="00C049B7" w:rsidRPr="0019775F" w14:paraId="2E2B4D73" w14:textId="77777777" w:rsidTr="00A62B78">
        <w:trPr>
          <w:trHeight w:val="568"/>
        </w:trPr>
        <w:tc>
          <w:tcPr>
            <w:tcW w:w="675" w:type="dxa"/>
          </w:tcPr>
          <w:p w14:paraId="0FC98DFD" w14:textId="4E471279" w:rsidR="00C049B7" w:rsidRPr="006E0555" w:rsidRDefault="00480140" w:rsidP="00693CFB">
            <w:pPr>
              <w:pStyle w:val="Default"/>
              <w:jc w:val="center"/>
              <w:rPr>
                <w:color w:val="000000" w:themeColor="text1"/>
                <w:sz w:val="22"/>
                <w:szCs w:val="22"/>
              </w:rPr>
            </w:pPr>
            <w:r>
              <w:rPr>
                <w:color w:val="000000" w:themeColor="text1"/>
                <w:sz w:val="22"/>
                <w:szCs w:val="22"/>
              </w:rPr>
              <w:t>1.1.</w:t>
            </w:r>
            <w:r w:rsidR="00C049B7">
              <w:rPr>
                <w:color w:val="000000" w:themeColor="text1"/>
                <w:sz w:val="22"/>
                <w:szCs w:val="22"/>
              </w:rPr>
              <w:t xml:space="preserve"> </w:t>
            </w:r>
          </w:p>
        </w:tc>
        <w:tc>
          <w:tcPr>
            <w:tcW w:w="3686" w:type="dxa"/>
          </w:tcPr>
          <w:p w14:paraId="4258D09E" w14:textId="230139F8" w:rsidR="00C1372A" w:rsidRPr="001A1C4B" w:rsidRDefault="00C1372A" w:rsidP="00693CFB">
            <w:pPr>
              <w:pStyle w:val="Default"/>
              <w:rPr>
                <w:color w:val="auto"/>
                <w:sz w:val="22"/>
                <w:szCs w:val="22"/>
              </w:rPr>
            </w:pPr>
            <w:r w:rsidRPr="001A1C4B">
              <w:rPr>
                <w:color w:val="auto"/>
                <w:sz w:val="22"/>
                <w:szCs w:val="22"/>
              </w:rPr>
              <w:t>Panaudai pateikiamos įrangos komplektacija</w:t>
            </w:r>
          </w:p>
        </w:tc>
        <w:tc>
          <w:tcPr>
            <w:tcW w:w="5982" w:type="dxa"/>
          </w:tcPr>
          <w:p w14:paraId="26762CA0" w14:textId="1C0B8D25" w:rsidR="00C1372A" w:rsidRPr="001A1C4B" w:rsidRDefault="00C1372A" w:rsidP="00C1372A">
            <w:pPr>
              <w:pStyle w:val="TableParagraph"/>
              <w:numPr>
                <w:ilvl w:val="0"/>
                <w:numId w:val="25"/>
              </w:numPr>
              <w:spacing w:before="0" w:line="256" w:lineRule="auto"/>
              <w:ind w:right="97"/>
            </w:pPr>
            <w:r w:rsidRPr="001A1C4B">
              <w:t>Analizatorius su papildoma įranga (jei reikalinga),</w:t>
            </w:r>
          </w:p>
          <w:p w14:paraId="1E9ACD1E" w14:textId="6B63B750" w:rsidR="00C1372A" w:rsidRPr="001A1C4B" w:rsidRDefault="00C1372A" w:rsidP="00C1372A">
            <w:pPr>
              <w:pStyle w:val="TableParagraph"/>
              <w:numPr>
                <w:ilvl w:val="0"/>
                <w:numId w:val="25"/>
              </w:numPr>
              <w:spacing w:before="0" w:line="256" w:lineRule="auto"/>
              <w:ind w:right="97"/>
            </w:pPr>
            <w:r w:rsidRPr="001A1C4B">
              <w:t>Akumuliatorinis nepertraukiamo maitinimo šaltinis</w:t>
            </w:r>
            <w:r w:rsidR="00A62B78">
              <w:t xml:space="preserve"> (</w:t>
            </w:r>
            <w:r w:rsidR="00A62B78" w:rsidRPr="00A62B78">
              <w:rPr>
                <w:i/>
                <w:color w:val="FF0000"/>
              </w:rPr>
              <w:t>Būtina nurodyti nepertraukiamo maitinimo šaltinio gamintoją ir kilmės šalį</w:t>
            </w:r>
            <w:r w:rsidR="00A62B78">
              <w:t>)</w:t>
            </w:r>
            <w:r w:rsidRPr="001A1C4B">
              <w:t xml:space="preserve">, </w:t>
            </w:r>
          </w:p>
          <w:p w14:paraId="33BBCD51" w14:textId="78118F26" w:rsidR="00C1372A" w:rsidRPr="001A1C4B" w:rsidRDefault="00C1372A" w:rsidP="00C1372A">
            <w:pPr>
              <w:pStyle w:val="TableParagraph"/>
              <w:numPr>
                <w:ilvl w:val="0"/>
                <w:numId w:val="25"/>
              </w:numPr>
              <w:spacing w:before="0" w:line="256" w:lineRule="auto"/>
              <w:ind w:right="97"/>
            </w:pPr>
            <w:r w:rsidRPr="001A1C4B">
              <w:t>Išorinis valdymo kompiuteris (</w:t>
            </w:r>
            <w:r w:rsidRPr="001A1C4B">
              <w:rPr>
                <w:i/>
              </w:rPr>
              <w:t>būtinas tik tuo atveju, j</w:t>
            </w:r>
            <w:bookmarkStart w:id="0" w:name="_GoBack"/>
            <w:bookmarkEnd w:id="0"/>
            <w:r w:rsidRPr="001A1C4B">
              <w:rPr>
                <w:i/>
              </w:rPr>
              <w:t>ei analizatorius valdomas ir/arba rezultatų analizė atliekama išorinio kompiuterio pagalba</w:t>
            </w:r>
            <w:r w:rsidRPr="001A1C4B">
              <w:t>),</w:t>
            </w:r>
          </w:p>
          <w:p w14:paraId="1A9302DD" w14:textId="3F91CCCB" w:rsidR="00C1372A" w:rsidRPr="001A1C4B" w:rsidRDefault="00C1372A" w:rsidP="00C1372A">
            <w:pPr>
              <w:pStyle w:val="TableParagraph"/>
              <w:numPr>
                <w:ilvl w:val="0"/>
                <w:numId w:val="25"/>
              </w:numPr>
              <w:spacing w:before="0" w:line="256" w:lineRule="auto"/>
              <w:ind w:right="97"/>
            </w:pPr>
            <w:r w:rsidRPr="001A1C4B">
              <w:t>Vidinis arba išorinis brūkšninių arba lygiaverčių optinių kodų skaitytuvas reagentų, mėginių identifikavimui.</w:t>
            </w:r>
          </w:p>
        </w:tc>
        <w:tc>
          <w:tcPr>
            <w:tcW w:w="4253" w:type="dxa"/>
          </w:tcPr>
          <w:p w14:paraId="5CA08DC7" w14:textId="166BE1EA" w:rsidR="00C049B7" w:rsidRDefault="00C049B7" w:rsidP="00690A0C">
            <w:pPr>
              <w:spacing w:line="360" w:lineRule="auto"/>
              <w:jc w:val="center"/>
              <w:rPr>
                <w:rFonts w:ascii="Times New Roman" w:hAnsi="Times New Roman" w:cs="Times New Roman"/>
                <w:iCs/>
                <w:color w:val="000000" w:themeColor="text1"/>
              </w:rPr>
            </w:pPr>
            <w:r w:rsidRPr="0019775F">
              <w:rPr>
                <w:rFonts w:ascii="Times New Roman" w:hAnsi="Times New Roman" w:cs="Times New Roman"/>
                <w:i/>
                <w:color w:val="000000" w:themeColor="text1"/>
              </w:rPr>
              <w:t>įrašo tiekėjas</w:t>
            </w:r>
          </w:p>
          <w:p w14:paraId="3B28E5B5" w14:textId="77777777" w:rsidR="00901B45" w:rsidRPr="00901B45" w:rsidRDefault="00901B45" w:rsidP="00901B45">
            <w:pPr>
              <w:autoSpaceDE w:val="0"/>
              <w:autoSpaceDN w:val="0"/>
              <w:adjustRightInd w:val="0"/>
              <w:rPr>
                <w:rFonts w:ascii="Times New Roman" w:hAnsi="Times New Roman" w:cs="Times New Roman"/>
                <w:color w:val="000000"/>
                <w:sz w:val="24"/>
                <w:szCs w:val="24"/>
              </w:rPr>
            </w:pPr>
          </w:p>
          <w:p w14:paraId="14E19C06" w14:textId="00714780" w:rsidR="00901B45" w:rsidRPr="0019775F" w:rsidRDefault="00901B45" w:rsidP="00690A0C">
            <w:pPr>
              <w:spacing w:line="360" w:lineRule="auto"/>
              <w:jc w:val="center"/>
              <w:rPr>
                <w:rFonts w:ascii="Times New Roman" w:hAnsi="Times New Roman" w:cs="Times New Roman"/>
                <w:i/>
                <w:color w:val="000000" w:themeColor="text1"/>
              </w:rPr>
            </w:pPr>
          </w:p>
        </w:tc>
      </w:tr>
      <w:tr w:rsidR="00001A26" w:rsidRPr="0019775F" w14:paraId="53436696" w14:textId="77777777" w:rsidTr="00A62B78">
        <w:trPr>
          <w:trHeight w:val="332"/>
        </w:trPr>
        <w:tc>
          <w:tcPr>
            <w:tcW w:w="675" w:type="dxa"/>
          </w:tcPr>
          <w:p w14:paraId="246610B0" w14:textId="13EFFA6A" w:rsidR="00001A26" w:rsidRDefault="00480140" w:rsidP="00693CFB">
            <w:pPr>
              <w:pStyle w:val="Default"/>
              <w:jc w:val="center"/>
              <w:rPr>
                <w:color w:val="000000" w:themeColor="text1"/>
                <w:sz w:val="22"/>
                <w:szCs w:val="22"/>
              </w:rPr>
            </w:pPr>
            <w:r>
              <w:rPr>
                <w:color w:val="000000" w:themeColor="text1"/>
                <w:sz w:val="22"/>
                <w:szCs w:val="22"/>
              </w:rPr>
              <w:t>1.2.</w:t>
            </w:r>
          </w:p>
        </w:tc>
        <w:tc>
          <w:tcPr>
            <w:tcW w:w="3686" w:type="dxa"/>
          </w:tcPr>
          <w:p w14:paraId="7A9AF2FF" w14:textId="1F03DC70" w:rsidR="00001A26" w:rsidRPr="001A1C4B" w:rsidRDefault="00001A26" w:rsidP="00693CFB">
            <w:pPr>
              <w:pStyle w:val="Default"/>
              <w:rPr>
                <w:color w:val="auto"/>
                <w:sz w:val="22"/>
                <w:szCs w:val="22"/>
              </w:rPr>
            </w:pPr>
            <w:r w:rsidRPr="001A1C4B">
              <w:rPr>
                <w:color w:val="auto"/>
                <w:sz w:val="22"/>
                <w:szCs w:val="22"/>
              </w:rPr>
              <w:t>Reikalavimai analizatoriui</w:t>
            </w:r>
          </w:p>
        </w:tc>
        <w:tc>
          <w:tcPr>
            <w:tcW w:w="5982" w:type="dxa"/>
          </w:tcPr>
          <w:p w14:paraId="1F1823F4" w14:textId="77777777" w:rsidR="00C1372A" w:rsidRPr="001A1C4B" w:rsidRDefault="00C1372A" w:rsidP="00C1372A">
            <w:pPr>
              <w:pStyle w:val="Default"/>
              <w:numPr>
                <w:ilvl w:val="0"/>
                <w:numId w:val="26"/>
              </w:numPr>
              <w:jc w:val="both"/>
              <w:rPr>
                <w:color w:val="auto"/>
                <w:sz w:val="22"/>
                <w:szCs w:val="22"/>
              </w:rPr>
            </w:pPr>
            <w:r w:rsidRPr="001A1C4B">
              <w:rPr>
                <w:color w:val="auto"/>
                <w:sz w:val="22"/>
                <w:szCs w:val="22"/>
              </w:rPr>
              <w:t>Analizatoriaus našumas (maksimalus vienu metu tiriamų mėginių kiekis) - ne mažiau kaip 8 mėginiai;</w:t>
            </w:r>
          </w:p>
          <w:p w14:paraId="25691048" w14:textId="4AD697E8" w:rsidR="00C1372A" w:rsidRPr="001A1C4B" w:rsidRDefault="00C1372A" w:rsidP="00C1372A">
            <w:pPr>
              <w:pStyle w:val="Default"/>
              <w:numPr>
                <w:ilvl w:val="0"/>
                <w:numId w:val="26"/>
              </w:numPr>
              <w:jc w:val="both"/>
              <w:rPr>
                <w:color w:val="auto"/>
                <w:sz w:val="22"/>
                <w:szCs w:val="22"/>
              </w:rPr>
            </w:pPr>
            <w:r w:rsidRPr="001A1C4B">
              <w:rPr>
                <w:color w:val="auto"/>
                <w:sz w:val="22"/>
                <w:szCs w:val="22"/>
              </w:rPr>
              <w:t>Galima tirti po 1 mėginį</w:t>
            </w:r>
            <w:r w:rsidR="009C2D51" w:rsidRPr="001A1C4B">
              <w:rPr>
                <w:color w:val="auto"/>
                <w:sz w:val="22"/>
                <w:szCs w:val="22"/>
              </w:rPr>
              <w:t>.</w:t>
            </w:r>
          </w:p>
        </w:tc>
        <w:tc>
          <w:tcPr>
            <w:tcW w:w="4253" w:type="dxa"/>
          </w:tcPr>
          <w:p w14:paraId="4AA26682" w14:textId="6056ECF5" w:rsidR="00001A26" w:rsidRPr="0019775F" w:rsidRDefault="0068586F" w:rsidP="00690A0C">
            <w:pPr>
              <w:spacing w:line="360" w:lineRule="auto"/>
              <w:jc w:val="center"/>
              <w:rPr>
                <w:rFonts w:ascii="Times New Roman" w:hAnsi="Times New Roman" w:cs="Times New Roman"/>
                <w:i/>
                <w:color w:val="000000" w:themeColor="text1"/>
              </w:rPr>
            </w:pPr>
            <w:r w:rsidRPr="0068586F">
              <w:rPr>
                <w:rFonts w:ascii="Times New Roman" w:hAnsi="Times New Roman" w:cs="Times New Roman"/>
                <w:i/>
                <w:color w:val="000000" w:themeColor="text1"/>
              </w:rPr>
              <w:t>įrašo tiekėjas</w:t>
            </w:r>
          </w:p>
        </w:tc>
      </w:tr>
      <w:tr w:rsidR="00DA7AE5" w:rsidRPr="0019775F" w14:paraId="1B48D2B4" w14:textId="77777777" w:rsidTr="00A62B78">
        <w:trPr>
          <w:trHeight w:val="332"/>
        </w:trPr>
        <w:tc>
          <w:tcPr>
            <w:tcW w:w="675" w:type="dxa"/>
          </w:tcPr>
          <w:p w14:paraId="6BE4EE64" w14:textId="70577B02" w:rsidR="00DA7AE5" w:rsidRDefault="00D40394" w:rsidP="00693CFB">
            <w:pPr>
              <w:pStyle w:val="Default"/>
              <w:jc w:val="center"/>
              <w:rPr>
                <w:color w:val="000000" w:themeColor="text1"/>
                <w:sz w:val="22"/>
                <w:szCs w:val="22"/>
              </w:rPr>
            </w:pPr>
            <w:r>
              <w:rPr>
                <w:color w:val="000000" w:themeColor="text1"/>
                <w:sz w:val="22"/>
                <w:szCs w:val="22"/>
              </w:rPr>
              <w:t>1.3.</w:t>
            </w:r>
          </w:p>
        </w:tc>
        <w:tc>
          <w:tcPr>
            <w:tcW w:w="3686" w:type="dxa"/>
          </w:tcPr>
          <w:p w14:paraId="489A60FF" w14:textId="41E97DD1" w:rsidR="00DA7AE5" w:rsidRPr="001A1C4B" w:rsidRDefault="00DA7AE5" w:rsidP="00693CFB">
            <w:pPr>
              <w:pStyle w:val="Default"/>
              <w:rPr>
                <w:color w:val="auto"/>
                <w:sz w:val="22"/>
                <w:szCs w:val="22"/>
              </w:rPr>
            </w:pPr>
            <w:r w:rsidRPr="001A1C4B">
              <w:rPr>
                <w:color w:val="auto"/>
                <w:sz w:val="22"/>
                <w:szCs w:val="22"/>
              </w:rPr>
              <w:t>Reikalavimai tyrimui</w:t>
            </w:r>
          </w:p>
        </w:tc>
        <w:tc>
          <w:tcPr>
            <w:tcW w:w="5982" w:type="dxa"/>
          </w:tcPr>
          <w:p w14:paraId="7DC60B19" w14:textId="77777777" w:rsidR="00DA7AE5" w:rsidRPr="001A1C4B" w:rsidRDefault="00DA7AE5" w:rsidP="001E694A">
            <w:pPr>
              <w:pStyle w:val="Default"/>
              <w:numPr>
                <w:ilvl w:val="0"/>
                <w:numId w:val="22"/>
              </w:numPr>
              <w:ind w:left="352" w:hanging="284"/>
              <w:jc w:val="both"/>
              <w:rPr>
                <w:color w:val="auto"/>
                <w:sz w:val="22"/>
                <w:szCs w:val="22"/>
              </w:rPr>
            </w:pPr>
            <w:r w:rsidRPr="001A1C4B">
              <w:rPr>
                <w:color w:val="auto"/>
                <w:sz w:val="22"/>
                <w:szCs w:val="22"/>
              </w:rPr>
              <w:t xml:space="preserve">Siūlomo </w:t>
            </w:r>
            <w:r w:rsidRPr="001A1C4B">
              <w:rPr>
                <w:color w:val="auto"/>
                <w:sz w:val="22"/>
                <w:szCs w:val="22"/>
                <w:lang w:val="it-IT"/>
              </w:rPr>
              <w:t xml:space="preserve">β-D-gliukano tyrimo variacijos koeficientas (CV) </w:t>
            </w:r>
            <w:r w:rsidR="002C30AB" w:rsidRPr="001A1C4B">
              <w:rPr>
                <w:color w:val="auto"/>
                <w:sz w:val="22"/>
                <w:szCs w:val="22"/>
                <w:lang w:val="it-IT"/>
              </w:rPr>
              <w:t>– ne daugiau 10 %.</w:t>
            </w:r>
          </w:p>
          <w:p w14:paraId="3E9E94D0" w14:textId="792F6ABF" w:rsidR="002C30AB" w:rsidRPr="001A1C4B" w:rsidRDefault="002C30AB" w:rsidP="001E694A">
            <w:pPr>
              <w:pStyle w:val="Default"/>
              <w:numPr>
                <w:ilvl w:val="0"/>
                <w:numId w:val="22"/>
              </w:numPr>
              <w:ind w:left="352" w:hanging="284"/>
              <w:jc w:val="both"/>
              <w:rPr>
                <w:color w:val="auto"/>
                <w:sz w:val="22"/>
                <w:szCs w:val="22"/>
              </w:rPr>
            </w:pPr>
            <w:r w:rsidRPr="001A1C4B">
              <w:rPr>
                <w:color w:val="auto"/>
                <w:sz w:val="22"/>
                <w:szCs w:val="22"/>
              </w:rPr>
              <w:t xml:space="preserve">Tyrimo rezultatai pateikiami </w:t>
            </w:r>
            <w:proofErr w:type="spellStart"/>
            <w:r w:rsidRPr="001A1C4B">
              <w:rPr>
                <w:color w:val="auto"/>
                <w:sz w:val="22"/>
                <w:szCs w:val="22"/>
              </w:rPr>
              <w:t>pg</w:t>
            </w:r>
            <w:proofErr w:type="spellEnd"/>
            <w:r w:rsidRPr="001A1C4B">
              <w:rPr>
                <w:color w:val="auto"/>
                <w:sz w:val="22"/>
                <w:szCs w:val="22"/>
              </w:rPr>
              <w:t>/ml</w:t>
            </w:r>
            <w:r w:rsidR="009C2D51" w:rsidRPr="001A1C4B">
              <w:rPr>
                <w:color w:val="auto"/>
                <w:sz w:val="22"/>
                <w:szCs w:val="22"/>
              </w:rPr>
              <w:t xml:space="preserve"> matavimo vienetais</w:t>
            </w:r>
            <w:r w:rsidR="001A1C4B" w:rsidRPr="001A1C4B">
              <w:rPr>
                <w:color w:val="auto"/>
                <w:sz w:val="22"/>
                <w:szCs w:val="22"/>
              </w:rPr>
              <w:t>.</w:t>
            </w:r>
          </w:p>
          <w:p w14:paraId="6587FB6A" w14:textId="3CA74C85" w:rsidR="001E694A" w:rsidRPr="001A1C4B" w:rsidRDefault="001E694A" w:rsidP="001E694A">
            <w:pPr>
              <w:pStyle w:val="Default"/>
              <w:numPr>
                <w:ilvl w:val="0"/>
                <w:numId w:val="22"/>
              </w:numPr>
              <w:ind w:left="352" w:hanging="284"/>
              <w:jc w:val="both"/>
              <w:rPr>
                <w:color w:val="auto"/>
                <w:sz w:val="22"/>
                <w:szCs w:val="22"/>
              </w:rPr>
            </w:pPr>
            <w:r w:rsidRPr="001A1C4B">
              <w:rPr>
                <w:color w:val="auto"/>
                <w:sz w:val="22"/>
                <w:szCs w:val="22"/>
              </w:rPr>
              <w:t xml:space="preserve">Gamintojo patvirtintas </w:t>
            </w:r>
            <w:proofErr w:type="spellStart"/>
            <w:r w:rsidR="009C2D51" w:rsidRPr="001A1C4B">
              <w:rPr>
                <w:i/>
                <w:color w:val="auto"/>
                <w:sz w:val="22"/>
                <w:szCs w:val="22"/>
              </w:rPr>
              <w:t>Pneumocystis</w:t>
            </w:r>
            <w:proofErr w:type="spellEnd"/>
            <w:r w:rsidR="009C2D51" w:rsidRPr="001A1C4B">
              <w:rPr>
                <w:i/>
                <w:color w:val="auto"/>
                <w:sz w:val="22"/>
                <w:szCs w:val="22"/>
              </w:rPr>
              <w:t xml:space="preserve"> </w:t>
            </w:r>
            <w:proofErr w:type="spellStart"/>
            <w:r w:rsidR="009C2D51" w:rsidRPr="001A1C4B">
              <w:rPr>
                <w:i/>
                <w:color w:val="auto"/>
                <w:sz w:val="22"/>
                <w:szCs w:val="22"/>
              </w:rPr>
              <w:t>jirovecii</w:t>
            </w:r>
            <w:proofErr w:type="spellEnd"/>
            <w:r w:rsidR="009C2D51" w:rsidRPr="001A1C4B">
              <w:rPr>
                <w:color w:val="auto"/>
                <w:sz w:val="22"/>
                <w:szCs w:val="22"/>
              </w:rPr>
              <w:t xml:space="preserve"> sukeltų </w:t>
            </w:r>
            <w:proofErr w:type="spellStart"/>
            <w:r w:rsidR="009C2D51" w:rsidRPr="001A1C4B">
              <w:rPr>
                <w:color w:val="auto"/>
                <w:sz w:val="22"/>
                <w:szCs w:val="22"/>
              </w:rPr>
              <w:t>pneumonijų</w:t>
            </w:r>
            <w:proofErr w:type="spellEnd"/>
            <w:r w:rsidR="009C2D51" w:rsidRPr="001A1C4B">
              <w:rPr>
                <w:color w:val="auto"/>
                <w:sz w:val="22"/>
                <w:szCs w:val="22"/>
              </w:rPr>
              <w:t xml:space="preserve"> diagnostikai.</w:t>
            </w:r>
          </w:p>
        </w:tc>
        <w:tc>
          <w:tcPr>
            <w:tcW w:w="4253" w:type="dxa"/>
          </w:tcPr>
          <w:p w14:paraId="2CC4F71D" w14:textId="5C65CD19" w:rsidR="00DA7AE5" w:rsidRPr="0068586F" w:rsidRDefault="0068586F" w:rsidP="00690A0C">
            <w:pPr>
              <w:spacing w:line="360" w:lineRule="auto"/>
              <w:jc w:val="center"/>
              <w:rPr>
                <w:rFonts w:ascii="Times New Roman" w:hAnsi="Times New Roman" w:cs="Times New Roman"/>
                <w:i/>
                <w:color w:val="000000" w:themeColor="text1"/>
              </w:rPr>
            </w:pPr>
            <w:r w:rsidRPr="0068586F">
              <w:rPr>
                <w:rFonts w:ascii="Times New Roman" w:hAnsi="Times New Roman" w:cs="Times New Roman"/>
                <w:i/>
                <w:color w:val="000000" w:themeColor="text1"/>
              </w:rPr>
              <w:t>įrašo tiekėjas</w:t>
            </w:r>
          </w:p>
        </w:tc>
      </w:tr>
      <w:tr w:rsidR="00C049B7" w:rsidRPr="0019775F" w14:paraId="6F2CAE0D" w14:textId="77777777" w:rsidTr="00A62B78">
        <w:tc>
          <w:tcPr>
            <w:tcW w:w="675" w:type="dxa"/>
          </w:tcPr>
          <w:p w14:paraId="4E470241" w14:textId="73847C8E" w:rsidR="00C049B7" w:rsidRPr="0019775F" w:rsidRDefault="001B103C" w:rsidP="00C049B7">
            <w:pPr>
              <w:pStyle w:val="Default"/>
              <w:jc w:val="center"/>
              <w:rPr>
                <w:color w:val="000000" w:themeColor="text1"/>
                <w:sz w:val="22"/>
                <w:szCs w:val="22"/>
              </w:rPr>
            </w:pPr>
            <w:r>
              <w:rPr>
                <w:color w:val="000000" w:themeColor="text1"/>
                <w:sz w:val="22"/>
                <w:szCs w:val="22"/>
              </w:rPr>
              <w:t>1.</w:t>
            </w:r>
            <w:r w:rsidR="00D40394">
              <w:rPr>
                <w:color w:val="000000" w:themeColor="text1"/>
                <w:sz w:val="22"/>
                <w:szCs w:val="22"/>
              </w:rPr>
              <w:t>4</w:t>
            </w:r>
            <w:r w:rsidR="00C049B7" w:rsidRPr="0019775F">
              <w:rPr>
                <w:color w:val="000000" w:themeColor="text1"/>
                <w:sz w:val="22"/>
                <w:szCs w:val="22"/>
              </w:rPr>
              <w:t>.</w:t>
            </w:r>
          </w:p>
        </w:tc>
        <w:tc>
          <w:tcPr>
            <w:tcW w:w="3686" w:type="dxa"/>
          </w:tcPr>
          <w:p w14:paraId="152E4A69" w14:textId="302767DA" w:rsidR="00C049B7" w:rsidRPr="009C2D51" w:rsidRDefault="006210A8" w:rsidP="00C049B7">
            <w:pPr>
              <w:pStyle w:val="Default"/>
              <w:rPr>
                <w:color w:val="000000" w:themeColor="text1"/>
                <w:sz w:val="22"/>
                <w:szCs w:val="22"/>
              </w:rPr>
            </w:pPr>
            <w:r w:rsidRPr="009C2D51">
              <w:rPr>
                <w:color w:val="000000" w:themeColor="text1"/>
                <w:sz w:val="22"/>
                <w:szCs w:val="22"/>
              </w:rPr>
              <w:t>Analizatoriaus naudojimo instrukcija</w:t>
            </w:r>
          </w:p>
        </w:tc>
        <w:tc>
          <w:tcPr>
            <w:tcW w:w="5982" w:type="dxa"/>
          </w:tcPr>
          <w:p w14:paraId="569FB38D" w14:textId="77777777" w:rsidR="006210A8" w:rsidRPr="00C82532" w:rsidRDefault="006210A8" w:rsidP="006210A8">
            <w:pPr>
              <w:jc w:val="both"/>
              <w:rPr>
                <w:rFonts w:ascii="Times New Roman" w:hAnsi="Times New Roman" w:cs="Times New Roman"/>
              </w:rPr>
            </w:pPr>
            <w:r w:rsidRPr="000A565C">
              <w:rPr>
                <w:rFonts w:ascii="Times New Roman" w:hAnsi="Times New Roman" w:cs="Times New Roman"/>
              </w:rPr>
              <w:t>Kartu su analizatoriumi turi būti pateikiama naudojimo instrukcija (vartotojo vadovas) anglų ir lietuvių kalbomis (elektroninė versija).</w:t>
            </w:r>
          </w:p>
          <w:p w14:paraId="675B65B7" w14:textId="47B80296" w:rsidR="00C049B7" w:rsidRPr="009C2D51" w:rsidRDefault="006210A8" w:rsidP="006210A8">
            <w:pPr>
              <w:pStyle w:val="Default"/>
              <w:rPr>
                <w:iCs/>
                <w:color w:val="000000" w:themeColor="text1"/>
                <w:sz w:val="22"/>
                <w:szCs w:val="22"/>
              </w:rPr>
            </w:pPr>
            <w:r w:rsidRPr="009C2D51">
              <w:rPr>
                <w:b/>
                <w:i/>
                <w:sz w:val="22"/>
                <w:szCs w:val="22"/>
                <w:u w:val="single"/>
              </w:rPr>
              <w:t>Pastaba:</w:t>
            </w:r>
            <w:r w:rsidRPr="009C2D51">
              <w:rPr>
                <w:b/>
                <w:i/>
                <w:sz w:val="22"/>
                <w:szCs w:val="22"/>
              </w:rPr>
              <w:t xml:space="preserve"> Reikalavimas taikomas vadovaujantis </w:t>
            </w:r>
            <w:r w:rsidRPr="009C2D51">
              <w:rPr>
                <w:b/>
                <w:i/>
                <w:sz w:val="22"/>
                <w:szCs w:val="22"/>
                <w:shd w:val="clear" w:color="auto" w:fill="FFFFFF"/>
              </w:rPr>
              <w:t xml:space="preserve">Lietuvos Respublikos aplinkos ministro 2022 m. gruodžio 13 d. įsakymu Nr. D1-401 patvirtinto aplinkos apsaugos kriterijų taikymo, </w:t>
            </w:r>
            <w:r w:rsidRPr="009C2D51">
              <w:rPr>
                <w:b/>
                <w:i/>
                <w:sz w:val="22"/>
                <w:szCs w:val="22"/>
                <w:shd w:val="clear" w:color="auto" w:fill="FFFFFF"/>
              </w:rPr>
              <w:lastRenderedPageBreak/>
              <w:t>vykdant žaliuosius pirkimus, tvarkos aprašo II skyriaus 4.4.4.1 punktu.</w:t>
            </w:r>
          </w:p>
        </w:tc>
        <w:tc>
          <w:tcPr>
            <w:tcW w:w="4253" w:type="dxa"/>
          </w:tcPr>
          <w:p w14:paraId="3859FC31" w14:textId="77777777" w:rsidR="00C049B7" w:rsidRPr="0019775F" w:rsidRDefault="00332A0E"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C049B7" w:rsidRPr="0019775F" w14:paraId="23E05BE0" w14:textId="77777777" w:rsidTr="00A62B78">
        <w:tc>
          <w:tcPr>
            <w:tcW w:w="675" w:type="dxa"/>
          </w:tcPr>
          <w:p w14:paraId="201E2927" w14:textId="0F958DEE" w:rsidR="00C049B7" w:rsidRDefault="001B103C" w:rsidP="004115A7">
            <w:pPr>
              <w:pStyle w:val="Default"/>
              <w:jc w:val="center"/>
              <w:rPr>
                <w:color w:val="000000" w:themeColor="text1"/>
                <w:sz w:val="22"/>
                <w:szCs w:val="22"/>
              </w:rPr>
            </w:pPr>
            <w:r>
              <w:rPr>
                <w:color w:val="000000" w:themeColor="text1"/>
                <w:sz w:val="22"/>
                <w:szCs w:val="22"/>
              </w:rPr>
              <w:t>1.</w:t>
            </w:r>
            <w:r w:rsidR="00D40394">
              <w:rPr>
                <w:color w:val="000000" w:themeColor="text1"/>
                <w:sz w:val="22"/>
                <w:szCs w:val="22"/>
              </w:rPr>
              <w:t>5</w:t>
            </w:r>
            <w:r w:rsidR="00C049B7">
              <w:rPr>
                <w:color w:val="000000" w:themeColor="text1"/>
                <w:sz w:val="22"/>
                <w:szCs w:val="22"/>
              </w:rPr>
              <w:t>.</w:t>
            </w:r>
          </w:p>
        </w:tc>
        <w:tc>
          <w:tcPr>
            <w:tcW w:w="3686" w:type="dxa"/>
          </w:tcPr>
          <w:p w14:paraId="401D7D88" w14:textId="77777777" w:rsidR="00C049B7" w:rsidRPr="009C2D51" w:rsidRDefault="00C049B7" w:rsidP="00C049B7">
            <w:pPr>
              <w:pStyle w:val="TableParagraph"/>
              <w:spacing w:before="0" w:line="254" w:lineRule="auto"/>
              <w:ind w:left="0"/>
              <w:rPr>
                <w:lang w:val="en-US"/>
              </w:rPr>
            </w:pPr>
            <w:proofErr w:type="spellStart"/>
            <w:r w:rsidRPr="009C2D51">
              <w:rPr>
                <w:lang w:val="en-US"/>
              </w:rPr>
              <w:t>Analizatoriaus</w:t>
            </w:r>
            <w:proofErr w:type="spellEnd"/>
            <w:r w:rsidRPr="009C2D51">
              <w:rPr>
                <w:lang w:val="en-US"/>
              </w:rPr>
              <w:t xml:space="preserve"> CE </w:t>
            </w:r>
            <w:proofErr w:type="spellStart"/>
            <w:r w:rsidRPr="009C2D51">
              <w:rPr>
                <w:lang w:val="en-US"/>
              </w:rPr>
              <w:t>ženklinimas</w:t>
            </w:r>
            <w:proofErr w:type="spellEnd"/>
          </w:p>
          <w:p w14:paraId="4665A55E" w14:textId="77777777" w:rsidR="00C049B7" w:rsidRPr="009C2D51" w:rsidRDefault="00C049B7" w:rsidP="00B23885">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p>
        </w:tc>
        <w:tc>
          <w:tcPr>
            <w:tcW w:w="5982" w:type="dxa"/>
          </w:tcPr>
          <w:p w14:paraId="4485F49E" w14:textId="77777777" w:rsidR="00C049B7" w:rsidRPr="00FF6728" w:rsidRDefault="00C049B7" w:rsidP="004B411C">
            <w:pPr>
              <w:jc w:val="both"/>
              <w:rPr>
                <w:rFonts w:ascii="Times New Roman" w:hAnsi="Times New Roman" w:cs="Times New Roman"/>
                <w:color w:val="000000" w:themeColor="text1"/>
              </w:rPr>
            </w:pPr>
            <w:r w:rsidRPr="0019775F">
              <w:rPr>
                <w:rFonts w:ascii="Times New Roman" w:hAnsi="Times New Roman" w:cs="Times New Roman"/>
                <w:color w:val="000000" w:themeColor="text1"/>
              </w:rPr>
              <w:t>Analizatorius turi turėti CE ženklinimą (</w:t>
            </w:r>
            <w:r w:rsidRPr="00A64118">
              <w:rPr>
                <w:rFonts w:ascii="Times New Roman" w:hAnsi="Times New Roman" w:cs="Times New Roman"/>
                <w:i/>
                <w:color w:val="000000" w:themeColor="text1"/>
              </w:rPr>
              <w:t xml:space="preserve">kartu su pasiūlymu konkursui būtina </w:t>
            </w:r>
            <w:r w:rsidRPr="00DF61FB">
              <w:rPr>
                <w:rFonts w:ascii="Times New Roman" w:hAnsi="Times New Roman" w:cs="Times New Roman"/>
                <w:i/>
              </w:rPr>
              <w:t xml:space="preserve">pateikti </w:t>
            </w:r>
            <w:r w:rsidRPr="00C867EA">
              <w:rPr>
                <w:rFonts w:ascii="Times New Roman" w:hAnsi="Times New Roman" w:cs="Times New Roman"/>
                <w:i/>
                <w:u w:val="single"/>
              </w:rPr>
              <w:t>galiojančių</w:t>
            </w:r>
            <w:r w:rsidRPr="00A64118">
              <w:rPr>
                <w:rFonts w:ascii="Times New Roman" w:hAnsi="Times New Roman" w:cs="Times New Roman"/>
                <w:i/>
                <w:color w:val="000000" w:themeColor="text1"/>
              </w:rPr>
              <w:t xml:space="preserve"> dokumentų</w:t>
            </w:r>
            <w:r w:rsidRPr="00A64118">
              <w:rPr>
                <w:rFonts w:ascii="Times New Roman" w:hAnsi="Times New Roman" w:cs="Times New Roman"/>
                <w:i/>
                <w:color w:val="FF0000"/>
              </w:rPr>
              <w:t>,</w:t>
            </w:r>
            <w:r w:rsidRPr="00A64118">
              <w:rPr>
                <w:rFonts w:ascii="Times New Roman" w:hAnsi="Times New Roman" w:cs="Times New Roman"/>
                <w:i/>
                <w:color w:val="000000" w:themeColor="text1"/>
              </w:rPr>
              <w:t xml:space="preserve"> liudijančių įrangos žymėjimą CE ženklu</w:t>
            </w:r>
            <w:r w:rsidRPr="00C252B5">
              <w:rPr>
                <w:rFonts w:ascii="Times New Roman" w:hAnsi="Times New Roman" w:cs="Times New Roman"/>
                <w:i/>
                <w:color w:val="FF0000"/>
              </w:rPr>
              <w:t>,</w:t>
            </w:r>
            <w:r w:rsidRPr="00A64118">
              <w:rPr>
                <w:rFonts w:ascii="Times New Roman" w:hAnsi="Times New Roman" w:cs="Times New Roman"/>
                <w:i/>
                <w:color w:val="000000" w:themeColor="text1"/>
              </w:rPr>
              <w:t xml:space="preserve"> kopijas</w:t>
            </w:r>
            <w:r w:rsidRPr="0019775F">
              <w:rPr>
                <w:rFonts w:ascii="Times New Roman" w:hAnsi="Times New Roman" w:cs="Times New Roman"/>
                <w:color w:val="000000" w:themeColor="text1"/>
              </w:rPr>
              <w:t>).</w:t>
            </w:r>
          </w:p>
        </w:tc>
        <w:tc>
          <w:tcPr>
            <w:tcW w:w="4253" w:type="dxa"/>
          </w:tcPr>
          <w:p w14:paraId="620639B2" w14:textId="77777777" w:rsidR="00C049B7" w:rsidRPr="0019775F" w:rsidRDefault="00C049B7" w:rsidP="00A415BC">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AB2966" w:rsidRPr="0019775F" w14:paraId="4D47A2B7" w14:textId="77777777" w:rsidTr="00A62B78">
        <w:tc>
          <w:tcPr>
            <w:tcW w:w="675" w:type="dxa"/>
          </w:tcPr>
          <w:p w14:paraId="77ACE381" w14:textId="0206E783" w:rsidR="00AB2966" w:rsidRDefault="00AB2966" w:rsidP="00AB2966">
            <w:pPr>
              <w:pStyle w:val="Default"/>
              <w:jc w:val="center"/>
              <w:rPr>
                <w:color w:val="000000" w:themeColor="text1"/>
                <w:sz w:val="22"/>
                <w:szCs w:val="22"/>
              </w:rPr>
            </w:pPr>
            <w:r>
              <w:rPr>
                <w:color w:val="000000" w:themeColor="text1"/>
                <w:sz w:val="22"/>
                <w:szCs w:val="22"/>
              </w:rPr>
              <w:t>1.</w:t>
            </w:r>
            <w:r w:rsidR="00D40394">
              <w:rPr>
                <w:color w:val="000000" w:themeColor="text1"/>
                <w:sz w:val="22"/>
                <w:szCs w:val="22"/>
              </w:rPr>
              <w:t>6</w:t>
            </w:r>
            <w:r>
              <w:rPr>
                <w:color w:val="000000" w:themeColor="text1"/>
                <w:sz w:val="22"/>
                <w:szCs w:val="22"/>
              </w:rPr>
              <w:t>.</w:t>
            </w:r>
          </w:p>
        </w:tc>
        <w:tc>
          <w:tcPr>
            <w:tcW w:w="3686" w:type="dxa"/>
          </w:tcPr>
          <w:p w14:paraId="3EA0BB5B" w14:textId="7D41C57E" w:rsidR="00AB2966" w:rsidRPr="009C2D51" w:rsidRDefault="00AB2966" w:rsidP="00AB2966">
            <w:pPr>
              <w:pStyle w:val="TableParagraph"/>
              <w:spacing w:before="0" w:line="254" w:lineRule="auto"/>
              <w:ind w:left="0"/>
              <w:rPr>
                <w:lang w:val="en-US"/>
              </w:rPr>
            </w:pPr>
            <w:proofErr w:type="spellStart"/>
            <w:r w:rsidRPr="009C2D51">
              <w:rPr>
                <w:lang w:val="en-US"/>
              </w:rPr>
              <w:t>Suderinamumas</w:t>
            </w:r>
            <w:proofErr w:type="spellEnd"/>
            <w:r w:rsidRPr="009C2D51">
              <w:rPr>
                <w:lang w:val="en-US"/>
              </w:rPr>
              <w:t xml:space="preserve"> </w:t>
            </w:r>
            <w:proofErr w:type="spellStart"/>
            <w:r w:rsidRPr="009C2D51">
              <w:rPr>
                <w:lang w:val="en-US"/>
              </w:rPr>
              <w:t>su</w:t>
            </w:r>
            <w:proofErr w:type="spellEnd"/>
            <w:r w:rsidRPr="009C2D51">
              <w:rPr>
                <w:lang w:val="en-US"/>
              </w:rPr>
              <w:t xml:space="preserve"> LIS</w:t>
            </w:r>
          </w:p>
        </w:tc>
        <w:tc>
          <w:tcPr>
            <w:tcW w:w="5982" w:type="dxa"/>
          </w:tcPr>
          <w:p w14:paraId="2E40F48E" w14:textId="77777777" w:rsidR="00AB2966" w:rsidRDefault="00AB2966" w:rsidP="00AB2966">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0CF2C953" w14:textId="77777777" w:rsidR="00AB2966" w:rsidRDefault="00AB2966" w:rsidP="00AB2966">
            <w:pPr>
              <w:pStyle w:val="Default"/>
              <w:numPr>
                <w:ilvl w:val="0"/>
                <w:numId w:val="24"/>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5922318B" w14:textId="68581ED9" w:rsidR="00AB2966" w:rsidRDefault="00AB2966" w:rsidP="00AB2966">
            <w:pPr>
              <w:pStyle w:val="Default"/>
              <w:numPr>
                <w:ilvl w:val="0"/>
                <w:numId w:val="24"/>
              </w:numPr>
              <w:ind w:left="318" w:hanging="283"/>
              <w:jc w:val="both"/>
              <w:rPr>
                <w:color w:val="auto"/>
                <w:sz w:val="22"/>
                <w:szCs w:val="22"/>
              </w:rPr>
            </w:pPr>
            <w:r>
              <w:rPr>
                <w:rFonts w:eastAsia="Times New Roman"/>
                <w:color w:val="auto"/>
                <w:sz w:val="22"/>
                <w:szCs w:val="22"/>
                <w:lang w:eastAsia="lt-LT"/>
              </w:rPr>
              <w:t>Siūloma Sistema turi turėti galimybę</w:t>
            </w:r>
            <w:r w:rsidR="000E2C83">
              <w:rPr>
                <w:rFonts w:eastAsia="Times New Roman"/>
                <w:color w:val="auto"/>
                <w:sz w:val="22"/>
                <w:szCs w:val="22"/>
                <w:lang w:eastAsia="lt-LT"/>
              </w:rPr>
              <w:t xml:space="preserve"> </w:t>
            </w:r>
            <w:r>
              <w:rPr>
                <w:rFonts w:eastAsia="Times New Roman"/>
                <w:bCs/>
                <w:color w:val="auto"/>
                <w:sz w:val="22"/>
                <w:szCs w:val="22"/>
                <w:lang w:eastAsia="lt-LT"/>
              </w:rPr>
              <w:t>ASTM arba HL7</w:t>
            </w:r>
            <w:r w:rsidR="000E2C83">
              <w:rPr>
                <w:rFonts w:eastAsia="Times New Roman"/>
                <w:color w:val="auto"/>
                <w:sz w:val="22"/>
                <w:szCs w:val="22"/>
                <w:lang w:eastAsia="lt-LT"/>
              </w:rPr>
              <w:t xml:space="preserve"> </w:t>
            </w:r>
            <w:r>
              <w:rPr>
                <w:rFonts w:eastAsia="Times New Roman"/>
                <w:color w:val="auto"/>
                <w:sz w:val="22"/>
                <w:szCs w:val="22"/>
                <w:lang w:eastAsia="lt-LT"/>
              </w:rPr>
              <w:t>standarto protokolu keistis informacija su perkančiosios organizacijos LIS. Jeigu tiekėjo siūloma Sistema neturi galimybės </w:t>
            </w:r>
            <w:r>
              <w:rPr>
                <w:rFonts w:eastAsia="Times New Roman"/>
                <w:bCs/>
                <w:color w:val="auto"/>
                <w:sz w:val="22"/>
                <w:szCs w:val="22"/>
                <w:lang w:eastAsia="lt-LT"/>
              </w:rPr>
              <w:t>tiesiogiai</w:t>
            </w:r>
            <w:r w:rsidR="000E2C83">
              <w:rPr>
                <w:rFonts w:eastAsia="Times New Roman"/>
                <w:bCs/>
                <w:color w:val="auto"/>
                <w:sz w:val="22"/>
                <w:szCs w:val="22"/>
                <w:lang w:eastAsia="lt-LT"/>
              </w:rPr>
              <w:t xml:space="preserve"> </w:t>
            </w:r>
            <w:r>
              <w:rPr>
                <w:rFonts w:eastAsia="Times New Roman"/>
                <w:color w:val="auto"/>
                <w:sz w:val="22"/>
                <w:szCs w:val="22"/>
                <w:lang w:eastAsia="lt-LT"/>
              </w:rPr>
              <w:t>keistis informacija</w:t>
            </w:r>
            <w:r w:rsidR="000E2C83">
              <w:rPr>
                <w:rFonts w:eastAsia="Times New Roman"/>
                <w:color w:val="auto"/>
                <w:sz w:val="22"/>
                <w:szCs w:val="22"/>
                <w:lang w:eastAsia="lt-LT"/>
              </w:rPr>
              <w:t xml:space="preserve"> </w:t>
            </w:r>
            <w:r>
              <w:rPr>
                <w:rFonts w:eastAsia="Times New Roman"/>
                <w:bCs/>
                <w:color w:val="auto"/>
                <w:sz w:val="22"/>
                <w:szCs w:val="22"/>
                <w:lang w:eastAsia="lt-LT"/>
              </w:rPr>
              <w:t>ASTM ir/arba HL7</w:t>
            </w:r>
            <w:r w:rsidR="000E2C83">
              <w:rPr>
                <w:rFonts w:eastAsia="Times New Roman"/>
                <w:bCs/>
                <w:color w:val="auto"/>
                <w:sz w:val="22"/>
                <w:szCs w:val="22"/>
                <w:lang w:eastAsia="lt-LT"/>
              </w:rPr>
              <w:t xml:space="preserve"> </w:t>
            </w:r>
            <w:r>
              <w:rPr>
                <w:rFonts w:eastAsia="Times New Roman"/>
                <w:color w:val="auto"/>
                <w:sz w:val="22"/>
                <w:szCs w:val="22"/>
                <w:lang w:eastAsia="lt-LT"/>
              </w:rPr>
              <w:t>standarto protokolu</w:t>
            </w:r>
            <w:r w:rsidR="000E2C83">
              <w:rPr>
                <w:rFonts w:eastAsia="Times New Roman"/>
                <w:color w:val="auto"/>
                <w:sz w:val="22"/>
                <w:szCs w:val="22"/>
                <w:lang w:eastAsia="lt-LT"/>
              </w:rPr>
              <w:t xml:space="preserve">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0FD38AC6" w14:textId="77777777" w:rsidR="00AB2966" w:rsidRDefault="00AB2966" w:rsidP="00AB2966">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417F8946" w14:textId="7FF2A97A" w:rsidR="00AB2966" w:rsidRDefault="00AB2966" w:rsidP="00AB2966">
            <w:pPr>
              <w:pStyle w:val="Default"/>
              <w:numPr>
                <w:ilvl w:val="0"/>
                <w:numId w:val="24"/>
              </w:numPr>
              <w:ind w:left="318" w:hanging="283"/>
              <w:jc w:val="both"/>
              <w:rPr>
                <w:color w:val="auto"/>
                <w:sz w:val="22"/>
                <w:szCs w:val="22"/>
              </w:rPr>
            </w:pPr>
            <w:r>
              <w:rPr>
                <w:color w:val="auto"/>
                <w:sz w:val="22"/>
                <w:szCs w:val="22"/>
              </w:rPr>
              <w:t xml:space="preserve">Pagal brūkšninių </w:t>
            </w:r>
            <w:r w:rsidR="006F0192">
              <w:rPr>
                <w:color w:val="auto"/>
                <w:sz w:val="22"/>
                <w:szCs w:val="22"/>
              </w:rPr>
              <w:t xml:space="preserve">arba lygiaverčių </w:t>
            </w:r>
            <w:r w:rsidR="000E2C83">
              <w:rPr>
                <w:color w:val="auto"/>
                <w:sz w:val="22"/>
                <w:szCs w:val="22"/>
              </w:rPr>
              <w:t xml:space="preserve">optinių </w:t>
            </w:r>
            <w:r>
              <w:rPr>
                <w:color w:val="auto"/>
                <w:sz w:val="22"/>
                <w:szCs w:val="22"/>
              </w:rPr>
              <w:t>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54C216DF" w14:textId="77777777" w:rsidR="00AB2966" w:rsidRDefault="00AB2966" w:rsidP="00AB2966">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34F45E0D" w14:textId="77777777" w:rsidR="00AB2966" w:rsidRDefault="00AB2966" w:rsidP="00AB2966">
            <w:pPr>
              <w:pStyle w:val="Default"/>
              <w:numPr>
                <w:ilvl w:val="0"/>
                <w:numId w:val="24"/>
              </w:numPr>
              <w:ind w:left="318" w:hanging="283"/>
              <w:jc w:val="both"/>
              <w:rPr>
                <w:color w:val="auto"/>
                <w:sz w:val="22"/>
                <w:szCs w:val="22"/>
              </w:rPr>
            </w:pPr>
            <w:r>
              <w:rPr>
                <w:color w:val="auto"/>
                <w:sz w:val="22"/>
                <w:szCs w:val="22"/>
              </w:rPr>
              <w:t>Pirkimo laimėjimo atveju Tiekėjas privalės savo jėgomis ir lėšomis:</w:t>
            </w:r>
          </w:p>
          <w:p w14:paraId="1DC8E7ED" w14:textId="4CEFD405" w:rsidR="00AB2966" w:rsidRDefault="00AB2966" w:rsidP="00AB2966">
            <w:pPr>
              <w:pStyle w:val="Default"/>
              <w:numPr>
                <w:ilvl w:val="1"/>
                <w:numId w:val="24"/>
              </w:numPr>
              <w:jc w:val="both"/>
              <w:rPr>
                <w:color w:val="auto"/>
                <w:sz w:val="22"/>
                <w:szCs w:val="22"/>
              </w:rPr>
            </w:pPr>
            <w:r>
              <w:rPr>
                <w:color w:val="auto"/>
                <w:sz w:val="22"/>
                <w:szCs w:val="22"/>
              </w:rPr>
              <w:lastRenderedPageBreak/>
              <w:t>Teikti visokeriopą pagalbą konsultuojant pateiktos Sistemos</w:t>
            </w:r>
            <w:r w:rsidR="000E2C83">
              <w:rPr>
                <w:color w:val="auto"/>
                <w:sz w:val="22"/>
                <w:szCs w:val="22"/>
              </w:rPr>
              <w:t xml:space="preserve"> </w:t>
            </w:r>
            <w:r>
              <w:rPr>
                <w:color w:val="auto"/>
                <w:sz w:val="22"/>
                <w:szCs w:val="22"/>
              </w:rPr>
              <w:t xml:space="preserve">integravimo į perkančiosios organizacijos LIS klausimais; </w:t>
            </w:r>
          </w:p>
          <w:p w14:paraId="3F762259" w14:textId="77777777" w:rsidR="00AB2966" w:rsidRPr="00F46B6E" w:rsidRDefault="00AB2966" w:rsidP="00AB2966">
            <w:pPr>
              <w:pStyle w:val="Default"/>
              <w:numPr>
                <w:ilvl w:val="1"/>
                <w:numId w:val="24"/>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32109377" w14:textId="77777777" w:rsidR="00AB2966" w:rsidRPr="00F46B6E" w:rsidRDefault="00AB2966" w:rsidP="00AB2966">
            <w:pPr>
              <w:pStyle w:val="Default"/>
              <w:numPr>
                <w:ilvl w:val="1"/>
                <w:numId w:val="24"/>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374076B0" w14:textId="40F5FB9F" w:rsidR="00AB2966" w:rsidRPr="000E2C83" w:rsidRDefault="00AB2966" w:rsidP="00AB2966">
            <w:pPr>
              <w:jc w:val="both"/>
              <w:rPr>
                <w:rFonts w:ascii="Times New Roman" w:hAnsi="Times New Roman" w:cs="Times New Roman"/>
                <w:color w:val="000000" w:themeColor="text1"/>
              </w:rPr>
            </w:pPr>
            <w:r w:rsidRPr="000E2C83">
              <w:rPr>
                <w:rFonts w:ascii="Times New Roman" w:hAnsi="Times New Roman" w:cs="Times New Roman"/>
                <w:b/>
                <w:i/>
              </w:rPr>
              <w:t>Pastaba: 4 p. reikalavimų atitikimo pagrindimui būtina kartu su pasiūlymu konkursui pateikti atitinkamą tiekėjo ir/arba gamintojo įsipareigojimą</w:t>
            </w:r>
            <w:r w:rsidRPr="000E2C83">
              <w:rPr>
                <w:rFonts w:ascii="Times New Roman" w:hAnsi="Times New Roman" w:cs="Times New Roman"/>
              </w:rPr>
              <w:t>).</w:t>
            </w:r>
          </w:p>
        </w:tc>
        <w:tc>
          <w:tcPr>
            <w:tcW w:w="4253" w:type="dxa"/>
          </w:tcPr>
          <w:p w14:paraId="3F16159B" w14:textId="081C2654" w:rsidR="00AB2966" w:rsidRPr="0019775F" w:rsidRDefault="0068586F" w:rsidP="00AB2966">
            <w:pPr>
              <w:jc w:val="center"/>
              <w:rPr>
                <w:rFonts w:ascii="Times New Roman" w:hAnsi="Times New Roman" w:cs="Times New Roman"/>
                <w:i/>
                <w:color w:val="000000" w:themeColor="text1"/>
              </w:rPr>
            </w:pPr>
            <w:r w:rsidRPr="0068586F">
              <w:rPr>
                <w:rFonts w:ascii="Times New Roman" w:hAnsi="Times New Roman" w:cs="Times New Roman"/>
                <w:i/>
                <w:color w:val="000000" w:themeColor="text1"/>
              </w:rPr>
              <w:lastRenderedPageBreak/>
              <w:t>įrašo tiekėjas</w:t>
            </w:r>
          </w:p>
        </w:tc>
      </w:tr>
      <w:tr w:rsidR="00AB2966" w:rsidRPr="0019775F" w14:paraId="638A0EDA" w14:textId="77777777" w:rsidTr="00A62B78">
        <w:tc>
          <w:tcPr>
            <w:tcW w:w="675" w:type="dxa"/>
          </w:tcPr>
          <w:p w14:paraId="18468424" w14:textId="3086AFA3" w:rsidR="00AB2966" w:rsidRPr="0019775F" w:rsidRDefault="00AB2966" w:rsidP="00AB2966">
            <w:pPr>
              <w:pStyle w:val="Default"/>
              <w:jc w:val="center"/>
              <w:rPr>
                <w:color w:val="000000" w:themeColor="text1"/>
                <w:sz w:val="22"/>
                <w:szCs w:val="22"/>
              </w:rPr>
            </w:pPr>
            <w:r>
              <w:rPr>
                <w:color w:val="000000" w:themeColor="text1"/>
                <w:sz w:val="22"/>
                <w:szCs w:val="22"/>
              </w:rPr>
              <w:t>1.</w:t>
            </w:r>
            <w:r w:rsidR="00D40394">
              <w:rPr>
                <w:color w:val="000000" w:themeColor="text1"/>
                <w:sz w:val="22"/>
                <w:szCs w:val="22"/>
              </w:rPr>
              <w:t>7</w:t>
            </w:r>
            <w:r>
              <w:rPr>
                <w:color w:val="000000" w:themeColor="text1"/>
                <w:sz w:val="22"/>
                <w:szCs w:val="22"/>
              </w:rPr>
              <w:t>.</w:t>
            </w:r>
          </w:p>
        </w:tc>
        <w:tc>
          <w:tcPr>
            <w:tcW w:w="3686" w:type="dxa"/>
          </w:tcPr>
          <w:p w14:paraId="6448141F" w14:textId="7FB96301" w:rsidR="00AB2966" w:rsidRPr="00A27DB8" w:rsidRDefault="00AB2966" w:rsidP="00AB2966">
            <w:pPr>
              <w:jc w:val="both"/>
              <w:rPr>
                <w:rFonts w:ascii="Times New Roman" w:eastAsia="Times New Roman" w:hAnsi="Times New Roman" w:cs="Times New Roman"/>
              </w:rPr>
            </w:pPr>
            <w:r>
              <w:rPr>
                <w:rFonts w:ascii="Times New Roman" w:hAnsi="Times New Roman" w:cs="Times New Roman"/>
              </w:rPr>
              <w:t xml:space="preserve">Tiriami mėginiai </w:t>
            </w:r>
          </w:p>
        </w:tc>
        <w:tc>
          <w:tcPr>
            <w:tcW w:w="5982" w:type="dxa"/>
          </w:tcPr>
          <w:p w14:paraId="3C38C832" w14:textId="117E5B28" w:rsidR="009C2D51" w:rsidRPr="008E3228" w:rsidRDefault="008E3228" w:rsidP="00AB2966">
            <w:pPr>
              <w:pStyle w:val="Footer"/>
              <w:tabs>
                <w:tab w:val="left" w:pos="1296"/>
              </w:tabs>
              <w:spacing w:line="276" w:lineRule="auto"/>
              <w:rPr>
                <w:rFonts w:ascii="Times New Roman" w:hAnsi="Times New Roman" w:cs="Times New Roman"/>
                <w:lang w:val="en-US"/>
              </w:rPr>
            </w:pPr>
            <w:proofErr w:type="spellStart"/>
            <w:r w:rsidRPr="008E3228">
              <w:rPr>
                <w:rFonts w:ascii="Times New Roman" w:hAnsi="Times New Roman" w:cs="Times New Roman"/>
                <w:lang w:val="en-US"/>
              </w:rPr>
              <w:t>K</w:t>
            </w:r>
            <w:r w:rsidR="009C2D51" w:rsidRPr="008E3228">
              <w:rPr>
                <w:rFonts w:ascii="Times New Roman" w:hAnsi="Times New Roman" w:cs="Times New Roman"/>
                <w:lang w:val="en-US"/>
              </w:rPr>
              <w:t>raujo</w:t>
            </w:r>
            <w:proofErr w:type="spellEnd"/>
            <w:r w:rsidR="009C2D51" w:rsidRPr="008E3228">
              <w:rPr>
                <w:rFonts w:ascii="Times New Roman" w:hAnsi="Times New Roman" w:cs="Times New Roman"/>
                <w:lang w:val="en-US"/>
              </w:rPr>
              <w:t xml:space="preserve"> </w:t>
            </w:r>
            <w:proofErr w:type="spellStart"/>
            <w:r w:rsidR="009C2D51" w:rsidRPr="008E3228">
              <w:rPr>
                <w:rFonts w:ascii="Times New Roman" w:hAnsi="Times New Roman" w:cs="Times New Roman"/>
                <w:lang w:val="en-US"/>
              </w:rPr>
              <w:t>plazma</w:t>
            </w:r>
            <w:proofErr w:type="spellEnd"/>
            <w:r w:rsidR="009C2D51" w:rsidRPr="008E3228">
              <w:rPr>
                <w:rFonts w:ascii="Times New Roman" w:hAnsi="Times New Roman" w:cs="Times New Roman"/>
                <w:lang w:val="en-US"/>
              </w:rPr>
              <w:t xml:space="preserve"> </w:t>
            </w:r>
            <w:proofErr w:type="spellStart"/>
            <w:r w:rsidR="009C2D51" w:rsidRPr="008E3228">
              <w:rPr>
                <w:rFonts w:ascii="Times New Roman" w:hAnsi="Times New Roman" w:cs="Times New Roman"/>
                <w:lang w:val="en-US"/>
              </w:rPr>
              <w:t>arba</w:t>
            </w:r>
            <w:proofErr w:type="spellEnd"/>
            <w:r w:rsidR="009C2D51" w:rsidRPr="008E3228">
              <w:rPr>
                <w:rFonts w:ascii="Times New Roman" w:hAnsi="Times New Roman" w:cs="Times New Roman"/>
                <w:lang w:val="en-US"/>
              </w:rPr>
              <w:t xml:space="preserve"> </w:t>
            </w:r>
            <w:proofErr w:type="spellStart"/>
            <w:r w:rsidR="009C2D51" w:rsidRPr="008E3228">
              <w:rPr>
                <w:rFonts w:ascii="Times New Roman" w:hAnsi="Times New Roman" w:cs="Times New Roman"/>
                <w:lang w:val="en-US"/>
              </w:rPr>
              <w:t>kraujo</w:t>
            </w:r>
            <w:proofErr w:type="spellEnd"/>
            <w:r w:rsidR="009C2D51" w:rsidRPr="008E3228">
              <w:rPr>
                <w:rFonts w:ascii="Times New Roman" w:hAnsi="Times New Roman" w:cs="Times New Roman"/>
                <w:lang w:val="en-US"/>
              </w:rPr>
              <w:t xml:space="preserve"> </w:t>
            </w:r>
            <w:proofErr w:type="spellStart"/>
            <w:r w:rsidR="009C2D51" w:rsidRPr="008E3228">
              <w:rPr>
                <w:rFonts w:ascii="Times New Roman" w:hAnsi="Times New Roman" w:cs="Times New Roman"/>
                <w:lang w:val="en-US"/>
              </w:rPr>
              <w:t>serumas</w:t>
            </w:r>
            <w:proofErr w:type="spellEnd"/>
            <w:r w:rsidR="009C2D51" w:rsidRPr="008E3228">
              <w:rPr>
                <w:rFonts w:ascii="Times New Roman" w:hAnsi="Times New Roman" w:cs="Times New Roman"/>
                <w:lang w:val="en-US"/>
              </w:rPr>
              <w:t>.</w:t>
            </w:r>
          </w:p>
        </w:tc>
        <w:tc>
          <w:tcPr>
            <w:tcW w:w="4253" w:type="dxa"/>
          </w:tcPr>
          <w:p w14:paraId="69650552" w14:textId="77777777" w:rsidR="00AB2966" w:rsidRPr="0019775F" w:rsidRDefault="00AB2966" w:rsidP="00AB296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B2966" w:rsidRPr="0019775F" w14:paraId="19ABE69D" w14:textId="77777777" w:rsidTr="00A62B78">
        <w:tc>
          <w:tcPr>
            <w:tcW w:w="675" w:type="dxa"/>
          </w:tcPr>
          <w:p w14:paraId="790D931D" w14:textId="156A528F" w:rsidR="00AB2966" w:rsidRPr="0019775F" w:rsidRDefault="00AB2966" w:rsidP="00AB2966">
            <w:pPr>
              <w:pStyle w:val="Default"/>
              <w:jc w:val="center"/>
              <w:rPr>
                <w:color w:val="000000" w:themeColor="text1"/>
                <w:sz w:val="22"/>
                <w:szCs w:val="22"/>
              </w:rPr>
            </w:pPr>
            <w:r>
              <w:rPr>
                <w:color w:val="000000" w:themeColor="text1"/>
                <w:sz w:val="22"/>
                <w:szCs w:val="22"/>
              </w:rPr>
              <w:t>1.</w:t>
            </w:r>
            <w:r w:rsidR="00D40394">
              <w:rPr>
                <w:color w:val="000000" w:themeColor="text1"/>
                <w:sz w:val="22"/>
                <w:szCs w:val="22"/>
              </w:rPr>
              <w:t>8</w:t>
            </w:r>
            <w:r>
              <w:rPr>
                <w:color w:val="000000" w:themeColor="text1"/>
                <w:sz w:val="22"/>
                <w:szCs w:val="22"/>
              </w:rPr>
              <w:t>.</w:t>
            </w:r>
          </w:p>
        </w:tc>
        <w:tc>
          <w:tcPr>
            <w:tcW w:w="3686" w:type="dxa"/>
          </w:tcPr>
          <w:p w14:paraId="18D1AAD6" w14:textId="77777777" w:rsidR="00AB2966" w:rsidRPr="0019775F" w:rsidRDefault="00AB2966" w:rsidP="00AB2966">
            <w:pPr>
              <w:pStyle w:val="Default"/>
              <w:rPr>
                <w:color w:val="000000" w:themeColor="text1"/>
                <w:sz w:val="22"/>
                <w:szCs w:val="22"/>
              </w:rPr>
            </w:pPr>
            <w:r w:rsidRPr="0019775F">
              <w:rPr>
                <w:color w:val="000000" w:themeColor="text1"/>
                <w:sz w:val="22"/>
                <w:szCs w:val="22"/>
              </w:rPr>
              <w:t>Reikalavimai reagentams ir papildomoms priemonėms:</w:t>
            </w:r>
          </w:p>
        </w:tc>
        <w:tc>
          <w:tcPr>
            <w:tcW w:w="5982" w:type="dxa"/>
          </w:tcPr>
          <w:p w14:paraId="3E938B6A" w14:textId="3C6D74A6" w:rsidR="00AB2966" w:rsidRPr="008E3228" w:rsidRDefault="00AB2966" w:rsidP="00AB2966">
            <w:pPr>
              <w:pStyle w:val="TableParagraph"/>
              <w:numPr>
                <w:ilvl w:val="0"/>
                <w:numId w:val="18"/>
              </w:numPr>
              <w:spacing w:before="0" w:line="256" w:lineRule="auto"/>
              <w:ind w:left="459" w:right="97" w:hanging="425"/>
              <w:jc w:val="both"/>
            </w:pPr>
            <w:r w:rsidRPr="008E3228">
              <w:t>Tiekėjas turi pateikti visus 1 priede nurodytų tyrimų atlikimui pagal gamintojo rekomendacijas reikalingus reagentus ir papildomas priemones (</w:t>
            </w:r>
            <w:r w:rsidR="009C2D51" w:rsidRPr="008E3228">
              <w:t xml:space="preserve">pavyzdžiui, </w:t>
            </w:r>
            <w:r w:rsidRPr="008E3228">
              <w:t xml:space="preserve">mėgintuvėlius, automatines </w:t>
            </w:r>
            <w:r w:rsidR="008E3228" w:rsidRPr="008E3228">
              <w:t xml:space="preserve">kintamo tūrio </w:t>
            </w:r>
            <w:r w:rsidRPr="008E3228">
              <w:t xml:space="preserve">pipetes ir </w:t>
            </w:r>
            <w:r w:rsidR="008E3228" w:rsidRPr="008E3228">
              <w:t>joms reikalingus</w:t>
            </w:r>
            <w:r w:rsidRPr="008E3228">
              <w:t xml:space="preserve"> antgalius ir kt.). Kartu su pasiūlymu konkursui būtina pateikti reagentų ir </w:t>
            </w:r>
            <w:r w:rsidR="009C2D51" w:rsidRPr="008E3228">
              <w:t xml:space="preserve">papildomų </w:t>
            </w:r>
            <w:r w:rsidRPr="008E3228">
              <w:t>priemonių sąrašą su nurodytu kiekiu</w:t>
            </w:r>
            <w:r w:rsidRPr="008E3228">
              <w:rPr>
                <w:spacing w:val="-8"/>
              </w:rPr>
              <w:t xml:space="preserve"> </w:t>
            </w:r>
            <w:r w:rsidRPr="008E3228">
              <w:t>pakuotėje.</w:t>
            </w:r>
          </w:p>
          <w:p w14:paraId="5A3C8604" w14:textId="0F8C5B1C" w:rsidR="00AB2966" w:rsidRPr="008E3228" w:rsidRDefault="00AB2966" w:rsidP="00AB2966">
            <w:pPr>
              <w:pStyle w:val="TableParagraph"/>
              <w:numPr>
                <w:ilvl w:val="0"/>
                <w:numId w:val="18"/>
              </w:numPr>
              <w:spacing w:before="0" w:line="256" w:lineRule="auto"/>
              <w:ind w:left="459" w:right="97" w:hanging="425"/>
              <w:jc w:val="both"/>
            </w:pPr>
            <w:r w:rsidRPr="008E3228">
              <w:t xml:space="preserve">Kontrolinės medžiagos turi būti ne mažiau nei 2-jų lygių, pritaikytos 1 priede nurodytų tyrimų atlikimui. </w:t>
            </w:r>
          </w:p>
          <w:p w14:paraId="3D5839C6" w14:textId="6CD91A74" w:rsidR="00AB2966" w:rsidRPr="008E3228" w:rsidRDefault="00AB2966" w:rsidP="00AB2966">
            <w:pPr>
              <w:pStyle w:val="TableParagraph"/>
              <w:numPr>
                <w:ilvl w:val="0"/>
                <w:numId w:val="18"/>
              </w:numPr>
              <w:spacing w:before="0" w:line="256" w:lineRule="auto"/>
              <w:ind w:left="459" w:right="97" w:hanging="425"/>
              <w:jc w:val="both"/>
            </w:pPr>
            <w:r w:rsidRPr="008E3228">
              <w:t xml:space="preserve">Skaičiuojant tyrimų atlikimui reikalingų sudedamųjų priemonių kiekius, tiekėjas turi įvertinti tai, kad reagentai, kontrolės, bus naudojami atsižvelgiant į gamintojo nurodytus galiojimo bei stabilumo terminus, </w:t>
            </w:r>
            <w:r w:rsidRPr="008E3228">
              <w:rPr>
                <w:b/>
                <w:bCs/>
                <w:i/>
                <w:iCs/>
              </w:rPr>
              <w:t>(būtinas atitinkamas tiekėjo patvirtinimas)</w:t>
            </w:r>
            <w:r w:rsidRPr="008E3228">
              <w:t>. Į tyrimų skaičių yra įskaičiuoti ir vidaus kontrolės tyrimai, kurie bus atliekami vieną kartą per savaitę</w:t>
            </w:r>
            <w:r w:rsidR="0068586F" w:rsidRPr="008E3228">
              <w:t>,</w:t>
            </w:r>
            <w:r w:rsidRPr="008E3228">
              <w:t xml:space="preserve"> </w:t>
            </w:r>
            <w:r w:rsidR="0068586F" w:rsidRPr="008E3228">
              <w:t>pa</w:t>
            </w:r>
            <w:r w:rsidRPr="008E3228">
              <w:t>kartojami, esant nepatikimiems tyrimo rezultatams (pagal gamintojo nurodymus).</w:t>
            </w:r>
          </w:p>
          <w:p w14:paraId="7CAD39B7" w14:textId="107953DC" w:rsidR="00AB2966" w:rsidRPr="008E3228" w:rsidRDefault="00AB2966" w:rsidP="00AB2966">
            <w:pPr>
              <w:pStyle w:val="TableParagraph"/>
              <w:numPr>
                <w:ilvl w:val="0"/>
                <w:numId w:val="18"/>
              </w:numPr>
              <w:spacing w:before="0" w:line="256" w:lineRule="auto"/>
              <w:ind w:left="459" w:right="97" w:hanging="425"/>
              <w:jc w:val="both"/>
            </w:pPr>
            <w:r w:rsidRPr="008E3228">
              <w:rPr>
                <w:lang w:val="pt-BR"/>
              </w:rPr>
              <w:t>Reagentų galiojimo terminas ne trumpesnis kaip 6 mėnesiai nuo pristatymo dienos (</w:t>
            </w:r>
            <w:r w:rsidRPr="008E3228">
              <w:rPr>
                <w:b/>
                <w:i/>
                <w:lang w:val="pt-BR"/>
              </w:rPr>
              <w:t>būtinas atitinkamas tiekėjo įsipareigojimas</w:t>
            </w:r>
            <w:r w:rsidRPr="008E3228">
              <w:rPr>
                <w:lang w:val="pt-BR"/>
              </w:rPr>
              <w:t>).</w:t>
            </w:r>
          </w:p>
          <w:p w14:paraId="1C8C2B0D" w14:textId="5C049A2F" w:rsidR="00AB2966" w:rsidRPr="008E3228" w:rsidRDefault="00AB2966" w:rsidP="00AB2966">
            <w:pPr>
              <w:pStyle w:val="TableParagraph"/>
              <w:numPr>
                <w:ilvl w:val="0"/>
                <w:numId w:val="18"/>
              </w:numPr>
              <w:spacing w:before="0" w:line="256" w:lineRule="auto"/>
              <w:ind w:left="459" w:right="97" w:hanging="425"/>
              <w:jc w:val="both"/>
            </w:pPr>
            <w:r w:rsidRPr="008E3228">
              <w:t xml:space="preserve">Reagentai ir papildomos priemonės turi būti tinkami darbui su pateiktu analizatoriumi </w:t>
            </w:r>
            <w:r w:rsidRPr="008E3228">
              <w:rPr>
                <w:b/>
                <w:bCs/>
              </w:rPr>
              <w:t>(</w:t>
            </w:r>
            <w:r w:rsidRPr="008E3228">
              <w:rPr>
                <w:b/>
                <w:bCs/>
                <w:i/>
              </w:rPr>
              <w:t>turi būti pateiktas atitinkamas tiekėjo ir/arba gamintojo</w:t>
            </w:r>
            <w:r w:rsidR="00A6398E" w:rsidRPr="008E3228">
              <w:rPr>
                <w:b/>
                <w:bCs/>
                <w:i/>
              </w:rPr>
              <w:t xml:space="preserve"> (analizatoriaus arba</w:t>
            </w:r>
            <w:r w:rsidR="00A6398E" w:rsidRPr="008E3228">
              <w:t xml:space="preserve"> r</w:t>
            </w:r>
            <w:r w:rsidR="00A6398E" w:rsidRPr="008E3228">
              <w:rPr>
                <w:b/>
                <w:bCs/>
                <w:i/>
              </w:rPr>
              <w:t>eagentų ir papildomų priemonių)</w:t>
            </w:r>
            <w:r w:rsidRPr="008E3228">
              <w:rPr>
                <w:b/>
                <w:bCs/>
                <w:i/>
              </w:rPr>
              <w:t xml:space="preserve"> patvirtinimas</w:t>
            </w:r>
            <w:r w:rsidRPr="008E3228">
              <w:rPr>
                <w:b/>
                <w:bCs/>
              </w:rPr>
              <w:t>).</w:t>
            </w:r>
          </w:p>
        </w:tc>
        <w:tc>
          <w:tcPr>
            <w:tcW w:w="4253" w:type="dxa"/>
          </w:tcPr>
          <w:p w14:paraId="485C5815" w14:textId="77777777" w:rsidR="00AB2966" w:rsidRPr="0019775F" w:rsidRDefault="00AB2966" w:rsidP="00AB2966">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AB2966" w:rsidRPr="0019775F" w14:paraId="74FB7826" w14:textId="77777777" w:rsidTr="00A62B78">
        <w:tc>
          <w:tcPr>
            <w:tcW w:w="675" w:type="dxa"/>
          </w:tcPr>
          <w:p w14:paraId="72BAC55C" w14:textId="08501987" w:rsidR="00AB2966" w:rsidRPr="0019775F" w:rsidRDefault="00AB2966" w:rsidP="00AB2966">
            <w:pPr>
              <w:pStyle w:val="Default"/>
              <w:rPr>
                <w:color w:val="000000" w:themeColor="text1"/>
                <w:sz w:val="22"/>
                <w:szCs w:val="22"/>
              </w:rPr>
            </w:pPr>
            <w:r>
              <w:rPr>
                <w:color w:val="000000" w:themeColor="text1"/>
                <w:sz w:val="22"/>
                <w:szCs w:val="22"/>
              </w:rPr>
              <w:lastRenderedPageBreak/>
              <w:t>1.</w:t>
            </w:r>
            <w:r w:rsidR="00D40394">
              <w:rPr>
                <w:color w:val="000000" w:themeColor="text1"/>
                <w:sz w:val="22"/>
                <w:szCs w:val="22"/>
              </w:rPr>
              <w:t>9</w:t>
            </w:r>
            <w:r>
              <w:rPr>
                <w:color w:val="000000" w:themeColor="text1"/>
                <w:sz w:val="22"/>
                <w:szCs w:val="22"/>
              </w:rPr>
              <w:t>.</w:t>
            </w:r>
          </w:p>
        </w:tc>
        <w:tc>
          <w:tcPr>
            <w:tcW w:w="3686" w:type="dxa"/>
          </w:tcPr>
          <w:p w14:paraId="023260B3" w14:textId="77777777" w:rsidR="00AB2966" w:rsidRPr="0019775F" w:rsidRDefault="00AB2966" w:rsidP="00AB2966">
            <w:pPr>
              <w:pStyle w:val="Default"/>
              <w:rPr>
                <w:color w:val="000000" w:themeColor="text1"/>
                <w:sz w:val="22"/>
                <w:szCs w:val="22"/>
              </w:rPr>
            </w:pPr>
            <w:r>
              <w:rPr>
                <w:color w:val="000000" w:themeColor="text1"/>
                <w:sz w:val="22"/>
                <w:szCs w:val="22"/>
              </w:rPr>
              <w:t>Reagentų žymėjimas</w:t>
            </w:r>
          </w:p>
        </w:tc>
        <w:tc>
          <w:tcPr>
            <w:tcW w:w="5982" w:type="dxa"/>
          </w:tcPr>
          <w:p w14:paraId="61B45352" w14:textId="50E26DBE" w:rsidR="00AB2966" w:rsidRPr="00EE5E2B" w:rsidRDefault="00AB2966" w:rsidP="00AB2966">
            <w:pPr>
              <w:jc w:val="both"/>
              <w:rPr>
                <w:rFonts w:ascii="Times New Roman" w:hAnsi="Times New Roman" w:cs="Times New Roman"/>
                <w:color w:val="000000" w:themeColor="text1"/>
                <w:shd w:val="clear" w:color="auto" w:fill="FFFFFF"/>
              </w:rPr>
            </w:pPr>
            <w:r w:rsidRPr="00372410">
              <w:rPr>
                <w:rFonts w:ascii="Times New Roman" w:hAnsi="Times New Roman" w:cs="Times New Roman"/>
                <w:color w:val="000000" w:themeColor="text1"/>
              </w:rPr>
              <w:t xml:space="preserve">Reagentai turi turėti CE ir IVD ženklinimus  (kartu su pasiūlymu konkursui privaloma pateikti galiojančių dokumentų, liudijančių reagentų CE sertifikavimą  pagal Europos Parlamento ir Tarybos reglamento (ES) 2017/746 dėl </w:t>
            </w:r>
            <w:proofErr w:type="spellStart"/>
            <w:r w:rsidRPr="00372410">
              <w:rPr>
                <w:rFonts w:ascii="Times New Roman" w:hAnsi="Times New Roman" w:cs="Times New Roman"/>
                <w:i/>
                <w:iCs/>
                <w:color w:val="000000" w:themeColor="text1"/>
              </w:rPr>
              <w:t>In</w:t>
            </w:r>
            <w:proofErr w:type="spellEnd"/>
            <w:r w:rsidRPr="00372410">
              <w:rPr>
                <w:rFonts w:ascii="Times New Roman" w:hAnsi="Times New Roman" w:cs="Times New Roman"/>
                <w:i/>
                <w:iCs/>
                <w:color w:val="000000" w:themeColor="text1"/>
              </w:rPr>
              <w:t xml:space="preserve"> </w:t>
            </w:r>
            <w:proofErr w:type="spellStart"/>
            <w:r w:rsidRPr="00372410">
              <w:rPr>
                <w:rFonts w:ascii="Times New Roman" w:hAnsi="Times New Roman" w:cs="Times New Roman"/>
                <w:i/>
                <w:iCs/>
                <w:color w:val="000000" w:themeColor="text1"/>
              </w:rPr>
              <w:t>vitro</w:t>
            </w:r>
            <w:proofErr w:type="spellEnd"/>
            <w:r w:rsidRPr="00372410">
              <w:rPr>
                <w:rFonts w:ascii="Times New Roman" w:hAnsi="Times New Roman" w:cs="Times New Roman"/>
                <w:color w:val="000000" w:themeColor="text1"/>
              </w:rPr>
              <w:t xml:space="preserve"> diagnostikos medicinos priemonių reikalavimus arba pagal </w:t>
            </w:r>
            <w:proofErr w:type="spellStart"/>
            <w:r w:rsidRPr="00372410">
              <w:rPr>
                <w:rFonts w:ascii="Times New Roman" w:hAnsi="Times New Roman" w:cs="Times New Roman"/>
                <w:i/>
                <w:iCs/>
                <w:color w:val="000000" w:themeColor="text1"/>
              </w:rPr>
              <w:t>In</w:t>
            </w:r>
            <w:proofErr w:type="spellEnd"/>
            <w:r w:rsidRPr="00372410">
              <w:rPr>
                <w:rFonts w:ascii="Times New Roman" w:hAnsi="Times New Roman" w:cs="Times New Roman"/>
                <w:i/>
                <w:iCs/>
                <w:color w:val="000000" w:themeColor="text1"/>
              </w:rPr>
              <w:t xml:space="preserve"> </w:t>
            </w:r>
            <w:proofErr w:type="spellStart"/>
            <w:r w:rsidRPr="00372410">
              <w:rPr>
                <w:rFonts w:ascii="Times New Roman" w:hAnsi="Times New Roman" w:cs="Times New Roman"/>
                <w:i/>
                <w:iCs/>
                <w:color w:val="000000" w:themeColor="text1"/>
              </w:rPr>
              <w:t>vitro</w:t>
            </w:r>
            <w:proofErr w:type="spellEnd"/>
            <w:r w:rsidRPr="00372410">
              <w:rPr>
                <w:rFonts w:ascii="Times New Roman" w:hAnsi="Times New Roman" w:cs="Times New Roman"/>
                <w:color w:val="000000" w:themeColor="text1"/>
              </w:rPr>
              <w:t xml:space="preserve"> diagnostikos medicinos prietaisų direktyvos 98/79/EC reikalavimus, kopijas).</w:t>
            </w:r>
          </w:p>
        </w:tc>
        <w:tc>
          <w:tcPr>
            <w:tcW w:w="4253" w:type="dxa"/>
          </w:tcPr>
          <w:p w14:paraId="5DED55A5" w14:textId="77777777" w:rsidR="00AB2966" w:rsidRPr="0019775F" w:rsidRDefault="00AB2966" w:rsidP="00AB296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B2966" w:rsidRPr="0019775F" w14:paraId="27666F0C" w14:textId="77777777" w:rsidTr="00A62B78">
        <w:tc>
          <w:tcPr>
            <w:tcW w:w="675" w:type="dxa"/>
          </w:tcPr>
          <w:p w14:paraId="6E3D4882" w14:textId="25C36207" w:rsidR="00AB2966" w:rsidRDefault="00D40394" w:rsidP="00AB2966">
            <w:pPr>
              <w:pStyle w:val="Default"/>
              <w:rPr>
                <w:color w:val="000000" w:themeColor="text1"/>
                <w:sz w:val="22"/>
                <w:szCs w:val="22"/>
              </w:rPr>
            </w:pPr>
            <w:r>
              <w:rPr>
                <w:color w:val="000000" w:themeColor="text1"/>
                <w:sz w:val="22"/>
                <w:szCs w:val="22"/>
              </w:rPr>
              <w:t>1.10</w:t>
            </w:r>
            <w:r w:rsidR="00AB2966">
              <w:rPr>
                <w:color w:val="000000" w:themeColor="text1"/>
                <w:sz w:val="22"/>
                <w:szCs w:val="22"/>
              </w:rPr>
              <w:t>.</w:t>
            </w:r>
          </w:p>
        </w:tc>
        <w:tc>
          <w:tcPr>
            <w:tcW w:w="3686" w:type="dxa"/>
          </w:tcPr>
          <w:p w14:paraId="4013830F" w14:textId="77777777" w:rsidR="00AB2966" w:rsidRPr="0019775F" w:rsidRDefault="00AB2966" w:rsidP="00AB2966">
            <w:pPr>
              <w:pStyle w:val="Default"/>
              <w:rPr>
                <w:color w:val="000000" w:themeColor="text1"/>
                <w:sz w:val="22"/>
                <w:szCs w:val="22"/>
              </w:rPr>
            </w:pPr>
            <w:r>
              <w:rPr>
                <w:color w:val="000000" w:themeColor="text1"/>
                <w:sz w:val="22"/>
                <w:szCs w:val="22"/>
              </w:rPr>
              <w:t>Tyrimų metodikos</w:t>
            </w:r>
          </w:p>
        </w:tc>
        <w:tc>
          <w:tcPr>
            <w:tcW w:w="5982" w:type="dxa"/>
          </w:tcPr>
          <w:p w14:paraId="4797BC94" w14:textId="77777777" w:rsidR="00AB2966" w:rsidRPr="00A94151" w:rsidRDefault="00AB2966" w:rsidP="00AB2966">
            <w:pPr>
              <w:jc w:val="both"/>
              <w:rPr>
                <w:rFonts w:ascii="Times New Roman" w:hAnsi="Times New Roman" w:cs="Times New Roman"/>
                <w:b/>
              </w:rPr>
            </w:pPr>
            <w:r w:rsidRPr="00B41FFD">
              <w:rPr>
                <w:rFonts w:ascii="Times New Roman" w:hAnsi="Times New Roman" w:cs="Times New Roman"/>
                <w:color w:val="000000" w:themeColor="text1"/>
              </w:rPr>
              <w:t xml:space="preserve">Tyrimų atlikimo aprašai (metodikos) kartu su pasiūlymu konkursui turi būti pateikti anglų kalba, o kartu su prekėmis </w:t>
            </w:r>
            <w:r>
              <w:rPr>
                <w:rFonts w:ascii="Times New Roman" w:hAnsi="Times New Roman" w:cs="Times New Roman"/>
                <w:color w:val="000000" w:themeColor="text1"/>
              </w:rPr>
              <w:t>–</w:t>
            </w:r>
            <w:r w:rsidRPr="00B41FFD">
              <w:rPr>
                <w:rFonts w:ascii="Times New Roman" w:hAnsi="Times New Roman" w:cs="Times New Roman"/>
                <w:color w:val="000000" w:themeColor="text1"/>
              </w:rPr>
              <w:t xml:space="preserve"> anglų ir lietuvių kalbomis (</w:t>
            </w:r>
            <w:r w:rsidRPr="00B41FFD">
              <w:rPr>
                <w:rFonts w:ascii="Times New Roman" w:hAnsi="Times New Roman" w:cs="Times New Roman"/>
                <w:b/>
                <w:i/>
                <w:color w:val="000000" w:themeColor="text1"/>
              </w:rPr>
              <w:t>būtinas atitinkamas tiekėjo įsipareigojimas</w:t>
            </w:r>
            <w:r w:rsidRPr="00B41FFD">
              <w:rPr>
                <w:rFonts w:ascii="Times New Roman" w:hAnsi="Times New Roman" w:cs="Times New Roman"/>
                <w:color w:val="000000" w:themeColor="text1"/>
              </w:rPr>
              <w:t>).</w:t>
            </w:r>
          </w:p>
        </w:tc>
        <w:tc>
          <w:tcPr>
            <w:tcW w:w="4253" w:type="dxa"/>
          </w:tcPr>
          <w:p w14:paraId="232A4359" w14:textId="77777777" w:rsidR="00AB2966" w:rsidRPr="0019775F" w:rsidRDefault="00AB2966" w:rsidP="00AB296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B2966" w:rsidRPr="0019775F" w14:paraId="1DD9009C" w14:textId="77777777" w:rsidTr="00A62B78">
        <w:tc>
          <w:tcPr>
            <w:tcW w:w="675" w:type="dxa"/>
          </w:tcPr>
          <w:p w14:paraId="1FBEDE4D" w14:textId="72156B20" w:rsidR="00AB2966" w:rsidRPr="0019775F" w:rsidRDefault="00D40394" w:rsidP="00AB2966">
            <w:pPr>
              <w:pStyle w:val="Default"/>
              <w:rPr>
                <w:color w:val="000000" w:themeColor="text1"/>
                <w:sz w:val="22"/>
                <w:szCs w:val="22"/>
              </w:rPr>
            </w:pPr>
            <w:r>
              <w:rPr>
                <w:color w:val="000000" w:themeColor="text1"/>
                <w:sz w:val="22"/>
                <w:szCs w:val="22"/>
              </w:rPr>
              <w:t>1.11</w:t>
            </w:r>
            <w:r w:rsidR="00AB2966">
              <w:rPr>
                <w:color w:val="000000" w:themeColor="text1"/>
                <w:sz w:val="22"/>
                <w:szCs w:val="22"/>
              </w:rPr>
              <w:t>.</w:t>
            </w:r>
          </w:p>
        </w:tc>
        <w:tc>
          <w:tcPr>
            <w:tcW w:w="3686" w:type="dxa"/>
          </w:tcPr>
          <w:p w14:paraId="7862F9A0" w14:textId="77777777" w:rsidR="00AB2966" w:rsidRPr="0019775F" w:rsidRDefault="00AB2966" w:rsidP="00AB2966">
            <w:pPr>
              <w:pStyle w:val="Default"/>
              <w:rPr>
                <w:color w:val="000000" w:themeColor="text1"/>
                <w:sz w:val="22"/>
                <w:szCs w:val="22"/>
              </w:rPr>
            </w:pPr>
            <w:r w:rsidRPr="0019775F">
              <w:rPr>
                <w:color w:val="000000" w:themeColor="text1"/>
                <w:sz w:val="22"/>
                <w:szCs w:val="22"/>
              </w:rPr>
              <w:t>Įrangos techninis aptarnavimas</w:t>
            </w:r>
          </w:p>
        </w:tc>
        <w:tc>
          <w:tcPr>
            <w:tcW w:w="5982" w:type="dxa"/>
          </w:tcPr>
          <w:p w14:paraId="080F5E2C" w14:textId="59772BE8" w:rsidR="00AB2966" w:rsidRPr="0019775F" w:rsidRDefault="00AB2966" w:rsidP="00AB2966">
            <w:pPr>
              <w:jc w:val="both"/>
              <w:rPr>
                <w:rFonts w:ascii="Times New Roman" w:eastAsia="Times New Roman" w:hAnsi="Times New Roman" w:cs="Times New Roman"/>
                <w:color w:val="000000" w:themeColor="text1"/>
              </w:rPr>
            </w:pPr>
            <w:r w:rsidRPr="00B6245F">
              <w:rPr>
                <w:rFonts w:ascii="Times New Roman" w:hAnsi="Times New Roman" w:cs="Times New Roman"/>
              </w:rPr>
              <w:t xml:space="preserve">Tiekėjas turi užtikrinti įrangos aparatūrinės ir programinės dalies techninį aptarnavimą </w:t>
            </w:r>
            <w:r>
              <w:rPr>
                <w:rFonts w:ascii="Times New Roman" w:hAnsi="Times New Roman" w:cs="Times New Roman"/>
              </w:rPr>
              <w:t>darbo dienomis</w:t>
            </w:r>
            <w:r w:rsidRPr="00B6245F">
              <w:rPr>
                <w:rFonts w:ascii="Times New Roman" w:hAnsi="Times New Roman" w:cs="Times New Roman"/>
              </w:rPr>
              <w:t xml:space="preserve"> sutarties galiojimo laikotarpiu. Tiekėjui gavus pranešimą apie įrangos gedimą, į Kauno klinikas ne vėliau kaip per </w:t>
            </w:r>
            <w:r>
              <w:rPr>
                <w:rFonts w:ascii="Times New Roman" w:hAnsi="Times New Roman" w:cs="Times New Roman"/>
              </w:rPr>
              <w:t xml:space="preserve">12 val. </w:t>
            </w:r>
            <w:r w:rsidRPr="00B6245F">
              <w:rPr>
                <w:rFonts w:ascii="Times New Roman" w:hAnsi="Times New Roman" w:cs="Times New Roman"/>
              </w:rPr>
              <w:t xml:space="preserve">turi atvykti reikiamą kvalifikaciją turintis darbuotojas ir pašalinti gedimą arba kitaip užtikrinti įrangos darbą ne vėliau kaip per </w:t>
            </w:r>
            <w:r>
              <w:rPr>
                <w:rFonts w:ascii="Times New Roman" w:hAnsi="Times New Roman" w:cs="Times New Roman"/>
              </w:rPr>
              <w:t>24 val.. Visiškai pašalinti gedimą turi per 72 val., o</w:t>
            </w:r>
            <w:r w:rsidRPr="00B6245F">
              <w:rPr>
                <w:rFonts w:ascii="Times New Roman" w:hAnsi="Times New Roman" w:cs="Times New Roman"/>
              </w:rPr>
              <w:t xml:space="preserve"> </w:t>
            </w:r>
            <w:r>
              <w:rPr>
                <w:rFonts w:ascii="Times New Roman" w:hAnsi="Times New Roman" w:cs="Times New Roman"/>
              </w:rPr>
              <w:t>n</w:t>
            </w:r>
            <w:r w:rsidRPr="00B6245F">
              <w:rPr>
                <w:rFonts w:ascii="Times New Roman" w:hAnsi="Times New Roman" w:cs="Times New Roman"/>
              </w:rPr>
              <w:t xml:space="preserve">esant galimybės pašalinti gedimą per </w:t>
            </w:r>
            <w:r>
              <w:rPr>
                <w:rFonts w:ascii="Times New Roman" w:hAnsi="Times New Roman" w:cs="Times New Roman"/>
              </w:rPr>
              <w:t>72 val.</w:t>
            </w:r>
            <w:r w:rsidRPr="00B6245F">
              <w:rPr>
                <w:rFonts w:ascii="Times New Roman" w:hAnsi="Times New Roman" w:cs="Times New Roman"/>
              </w:rPr>
              <w:t>, tiekėjas privalo sugedusią (netinkamai veikiančią) įrangą laikinai pakeisti lygiaverte.</w:t>
            </w:r>
          </w:p>
        </w:tc>
        <w:tc>
          <w:tcPr>
            <w:tcW w:w="4253" w:type="dxa"/>
          </w:tcPr>
          <w:p w14:paraId="509C78F4" w14:textId="77777777" w:rsidR="00AB2966" w:rsidRPr="0019775F" w:rsidRDefault="00AB2966" w:rsidP="00AB2966">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bl>
    <w:p w14:paraId="28F91D97" w14:textId="77777777" w:rsidR="00CB62E7" w:rsidRPr="0019775F" w:rsidRDefault="00CB62E7">
      <w:pPr>
        <w:rPr>
          <w:color w:val="000000" w:themeColor="text1"/>
        </w:rPr>
      </w:pPr>
      <w:r w:rsidRPr="0019775F">
        <w:rPr>
          <w:color w:val="000000" w:themeColor="text1"/>
        </w:rPr>
        <w:br w:type="page"/>
      </w:r>
    </w:p>
    <w:tbl>
      <w:tblPr>
        <w:tblW w:w="21344" w:type="dxa"/>
        <w:tblInd w:w="101" w:type="dxa"/>
        <w:tblLook w:val="04A0" w:firstRow="1" w:lastRow="0" w:firstColumn="1" w:lastColumn="0" w:noHBand="0" w:noVBand="1"/>
      </w:tblPr>
      <w:tblGrid>
        <w:gridCol w:w="14118"/>
        <w:gridCol w:w="7226"/>
      </w:tblGrid>
      <w:tr w:rsidR="0019775F" w:rsidRPr="00120098" w14:paraId="35B5EC29" w14:textId="77777777" w:rsidTr="00877A58">
        <w:trPr>
          <w:gridAfter w:val="1"/>
          <w:wAfter w:w="7226" w:type="dxa"/>
          <w:trHeight w:val="300"/>
        </w:trPr>
        <w:tc>
          <w:tcPr>
            <w:tcW w:w="14118" w:type="dxa"/>
            <w:tcBorders>
              <w:top w:val="nil"/>
              <w:left w:val="nil"/>
              <w:bottom w:val="nil"/>
              <w:right w:val="nil"/>
            </w:tcBorders>
            <w:shd w:val="clear" w:color="auto" w:fill="auto"/>
            <w:noWrap/>
            <w:vAlign w:val="bottom"/>
            <w:hideMark/>
          </w:tcPr>
          <w:p w14:paraId="77F0F72E" w14:textId="77777777" w:rsidR="00DD28FD" w:rsidRPr="00120098" w:rsidRDefault="005E1AF6" w:rsidP="00EA3C01">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00DD28FD" w:rsidRPr="00120098">
              <w:rPr>
                <w:color w:val="000000" w:themeColor="text1"/>
                <w:sz w:val="21"/>
                <w:szCs w:val="21"/>
              </w:rPr>
              <w:br w:type="page"/>
            </w:r>
            <w:r w:rsidR="00EA3C01" w:rsidRPr="00120098">
              <w:rPr>
                <w:rFonts w:ascii="Times New Roman" w:hAnsi="Times New Roman" w:cs="Times New Roman"/>
                <w:color w:val="000000" w:themeColor="text1"/>
                <w:sz w:val="21"/>
                <w:szCs w:val="21"/>
              </w:rPr>
              <w:t>1 priedas</w:t>
            </w:r>
          </w:p>
          <w:p w14:paraId="72478AEE" w14:textId="0327536F" w:rsidR="00C60E84" w:rsidRDefault="001F04DF" w:rsidP="00C60E84">
            <w:pPr>
              <w:spacing w:after="0" w:line="240" w:lineRule="auto"/>
              <w:jc w:val="center"/>
              <w:rPr>
                <w:rFonts w:ascii="Times New Roman" w:hAnsi="Times New Roman"/>
                <w:b/>
                <w:caps/>
              </w:rPr>
            </w:pPr>
            <w:r w:rsidRPr="00C5274A">
              <w:rPr>
                <w:rFonts w:ascii="Times New Roman" w:hAnsi="Times New Roman"/>
                <w:b/>
                <w:caps/>
              </w:rPr>
              <w:t xml:space="preserve">REAGENTAI IR PAPILDOMOS </w:t>
            </w:r>
            <w:r w:rsidRPr="00C5274A">
              <w:rPr>
                <w:rFonts w:ascii="Times New Roman" w:hAnsi="Times New Roman" w:cs="Times New Roman"/>
                <w:b/>
                <w:caps/>
              </w:rPr>
              <w:t>PRIEMONĖS</w:t>
            </w:r>
            <w:r>
              <w:rPr>
                <w:rFonts w:ascii="Times New Roman" w:hAnsi="Times New Roman"/>
                <w:b/>
                <w:caps/>
              </w:rPr>
              <w:t xml:space="preserve"> </w:t>
            </w:r>
            <w:r w:rsidR="00D40394" w:rsidRPr="00D40394">
              <w:rPr>
                <w:rFonts w:ascii="Times New Roman" w:hAnsi="Times New Roman"/>
                <w:b/>
                <w:caps/>
              </w:rPr>
              <w:t>β</w:t>
            </w:r>
            <w:r w:rsidR="00D40394">
              <w:rPr>
                <w:rFonts w:ascii="Times New Roman" w:hAnsi="Times New Roman"/>
                <w:b/>
                <w:caps/>
              </w:rPr>
              <w:t>eta</w:t>
            </w:r>
            <w:r w:rsidR="00D40394" w:rsidRPr="00D40394">
              <w:rPr>
                <w:rFonts w:ascii="Times New Roman" w:hAnsi="Times New Roman"/>
                <w:b/>
                <w:caps/>
              </w:rPr>
              <w:t xml:space="preserve">-D </w:t>
            </w:r>
            <w:r w:rsidR="00D40394">
              <w:rPr>
                <w:rFonts w:ascii="Times New Roman" w:hAnsi="Times New Roman"/>
                <w:b/>
                <w:caps/>
              </w:rPr>
              <w:t xml:space="preserve">gliukano </w:t>
            </w:r>
            <w:r w:rsidRPr="00C5274A">
              <w:rPr>
                <w:rFonts w:ascii="Times New Roman" w:hAnsi="Times New Roman"/>
                <w:b/>
                <w:caps/>
              </w:rPr>
              <w:t xml:space="preserve">NUSTATYMUI </w:t>
            </w:r>
          </w:p>
          <w:p w14:paraId="16B86FD7" w14:textId="77777777" w:rsidR="001A1C4B" w:rsidRDefault="001A1C4B" w:rsidP="00C60E84">
            <w:pPr>
              <w:spacing w:after="0" w:line="240" w:lineRule="auto"/>
              <w:jc w:val="center"/>
              <w:rPr>
                <w:rFonts w:ascii="Times New Roman" w:hAnsi="Times New Roman"/>
                <w:b/>
                <w:caps/>
              </w:rPr>
            </w:pPr>
          </w:p>
          <w:p w14:paraId="3DA9C9F7" w14:textId="77777777" w:rsidR="001F04DF" w:rsidRPr="00A62B78" w:rsidRDefault="001F04DF" w:rsidP="00C60E84">
            <w:pPr>
              <w:spacing w:after="0" w:line="240" w:lineRule="auto"/>
              <w:jc w:val="center"/>
              <w:rPr>
                <w:rFonts w:ascii="Times New Roman" w:eastAsia="Times New Roman" w:hAnsi="Times New Roman" w:cs="Times New Roman"/>
                <w:b/>
                <w:bCs/>
                <w:color w:val="000000" w:themeColor="text1"/>
                <w:sz w:val="24"/>
                <w:szCs w:val="24"/>
                <w:lang w:val="it-IT" w:eastAsia="lt-LT"/>
              </w:rPr>
            </w:pPr>
          </w:p>
        </w:tc>
      </w:tr>
      <w:tr w:rsidR="00C1793C" w:rsidRPr="0019775F" w14:paraId="3FCE40CA" w14:textId="77777777" w:rsidTr="00877A58">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ook w:val="04A0" w:firstRow="1" w:lastRow="0" w:firstColumn="1" w:lastColumn="0" w:noHBand="0" w:noVBand="1"/>
            </w:tblPr>
            <w:tblGrid>
              <w:gridCol w:w="562"/>
              <w:gridCol w:w="3941"/>
              <w:gridCol w:w="1275"/>
              <w:gridCol w:w="1588"/>
              <w:gridCol w:w="1274"/>
              <w:gridCol w:w="739"/>
              <w:gridCol w:w="1417"/>
              <w:gridCol w:w="993"/>
              <w:gridCol w:w="1415"/>
              <w:gridCol w:w="1559"/>
              <w:gridCol w:w="2401"/>
              <w:gridCol w:w="1977"/>
              <w:gridCol w:w="1977"/>
            </w:tblGrid>
            <w:tr w:rsidR="0019775F" w:rsidRPr="00120098" w14:paraId="5F3ECB03" w14:textId="77777777" w:rsidTr="008A1DD0">
              <w:trPr>
                <w:gridAfter w:val="3"/>
                <w:wAfter w:w="6355"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1BC29" w14:textId="77777777" w:rsidR="00C1793C" w:rsidRPr="00120098" w:rsidRDefault="00C1793C" w:rsidP="00690A0C">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520C2D83" w14:textId="77777777" w:rsidR="00C1793C" w:rsidRPr="00120098" w:rsidRDefault="00C1793C" w:rsidP="00690A0C">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3AD268"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43A6B520" w14:textId="2B8689C4" w:rsidR="00C1793C" w:rsidRPr="00120098" w:rsidRDefault="00D40394" w:rsidP="00690A0C">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6D7F6231"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4AE6DC46"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159D479E" w14:textId="3715CB3F" w:rsidR="00C1793C" w:rsidRPr="00120098" w:rsidRDefault="00D40394" w:rsidP="00690A0C">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739" w:type="dxa"/>
                  <w:tcBorders>
                    <w:top w:val="single" w:sz="4" w:space="0" w:color="auto"/>
                    <w:left w:val="nil"/>
                    <w:bottom w:val="single" w:sz="4" w:space="0" w:color="auto"/>
                    <w:right w:val="single" w:sz="4" w:space="0" w:color="auto"/>
                  </w:tcBorders>
                  <w:vAlign w:val="center"/>
                </w:tcPr>
                <w:p w14:paraId="4DD1383D"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74CB5"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0BF69FB6" w14:textId="4047B087" w:rsidR="00C1793C" w:rsidRPr="00120098" w:rsidRDefault="00D40394" w:rsidP="00853213">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00C1793C" w:rsidRPr="00120098">
                    <w:rPr>
                      <w:rFonts w:ascii="Times New Roman" w:eastAsia="Times New Roman" w:hAnsi="Times New Roman" w:cs="Times New Roman"/>
                      <w:bCs/>
                      <w:color w:val="000000" w:themeColor="text1"/>
                      <w:sz w:val="19"/>
                      <w:szCs w:val="19"/>
                      <w:lang w:eastAsia="lt-LT"/>
                    </w:rPr>
                    <w:t xml:space="preserve"> m</w:t>
                  </w:r>
                  <w:r w:rsidR="00853213"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59C896"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415" w:type="dxa"/>
                  <w:tcBorders>
                    <w:top w:val="single" w:sz="4" w:space="0" w:color="auto"/>
                    <w:left w:val="single" w:sz="4" w:space="0" w:color="auto"/>
                    <w:bottom w:val="single" w:sz="4" w:space="0" w:color="auto"/>
                    <w:right w:val="single" w:sz="4" w:space="0" w:color="auto"/>
                  </w:tcBorders>
                  <w:vAlign w:val="center"/>
                </w:tcPr>
                <w:p w14:paraId="0270D034"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006B9"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19775F" w:rsidRPr="00120098" w14:paraId="4A78F1B0" w14:textId="77777777" w:rsidTr="008A1DD0">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6FF20D6"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941" w:type="dxa"/>
                  <w:tcBorders>
                    <w:top w:val="nil"/>
                    <w:left w:val="nil"/>
                    <w:bottom w:val="single" w:sz="4" w:space="0" w:color="auto"/>
                    <w:right w:val="single" w:sz="4" w:space="0" w:color="auto"/>
                  </w:tcBorders>
                  <w:shd w:val="clear" w:color="auto" w:fill="auto"/>
                  <w:noWrap/>
                  <w:hideMark/>
                </w:tcPr>
                <w:p w14:paraId="049B770E"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5" w:type="dxa"/>
                  <w:tcBorders>
                    <w:top w:val="nil"/>
                    <w:left w:val="nil"/>
                    <w:bottom w:val="single" w:sz="4" w:space="0" w:color="auto"/>
                    <w:right w:val="single" w:sz="4" w:space="0" w:color="auto"/>
                  </w:tcBorders>
                  <w:shd w:val="clear" w:color="auto" w:fill="auto"/>
                  <w:noWrap/>
                  <w:hideMark/>
                </w:tcPr>
                <w:p w14:paraId="5B33083C"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588" w:type="dxa"/>
                  <w:tcBorders>
                    <w:top w:val="nil"/>
                    <w:left w:val="nil"/>
                    <w:bottom w:val="single" w:sz="4" w:space="0" w:color="auto"/>
                    <w:right w:val="single" w:sz="4" w:space="0" w:color="auto"/>
                  </w:tcBorders>
                  <w:shd w:val="clear" w:color="auto" w:fill="auto"/>
                  <w:noWrap/>
                  <w:hideMark/>
                </w:tcPr>
                <w:p w14:paraId="4FCFCFD2"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274" w:type="dxa"/>
                  <w:tcBorders>
                    <w:top w:val="nil"/>
                    <w:left w:val="nil"/>
                    <w:bottom w:val="single" w:sz="4" w:space="0" w:color="auto"/>
                    <w:right w:val="single" w:sz="4" w:space="0" w:color="auto"/>
                  </w:tcBorders>
                  <w:shd w:val="clear" w:color="auto" w:fill="auto"/>
                  <w:noWrap/>
                  <w:hideMark/>
                </w:tcPr>
                <w:p w14:paraId="726485F3"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739" w:type="dxa"/>
                  <w:tcBorders>
                    <w:top w:val="single" w:sz="4" w:space="0" w:color="auto"/>
                    <w:left w:val="nil"/>
                    <w:bottom w:val="single" w:sz="4" w:space="0" w:color="auto"/>
                    <w:right w:val="single" w:sz="4" w:space="0" w:color="auto"/>
                  </w:tcBorders>
                </w:tcPr>
                <w:p w14:paraId="1573B33E"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2AFFDA9"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93" w:type="dxa"/>
                  <w:tcBorders>
                    <w:top w:val="nil"/>
                    <w:left w:val="nil"/>
                    <w:bottom w:val="single" w:sz="4" w:space="0" w:color="auto"/>
                    <w:right w:val="single" w:sz="4" w:space="0" w:color="auto"/>
                  </w:tcBorders>
                  <w:shd w:val="clear" w:color="auto" w:fill="auto"/>
                  <w:noWrap/>
                  <w:hideMark/>
                </w:tcPr>
                <w:p w14:paraId="04A2EF5A"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5" w:type="dxa"/>
                  <w:tcBorders>
                    <w:top w:val="single" w:sz="4" w:space="0" w:color="auto"/>
                    <w:left w:val="single" w:sz="4" w:space="0" w:color="auto"/>
                    <w:bottom w:val="single" w:sz="4" w:space="0" w:color="auto"/>
                    <w:right w:val="single" w:sz="4" w:space="0" w:color="auto"/>
                  </w:tcBorders>
                </w:tcPr>
                <w:p w14:paraId="79C4F096"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34EA0BB"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19775F" w:rsidRPr="00120098" w14:paraId="320125A0" w14:textId="77777777" w:rsidTr="008A1DD0">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1CDCB8EB" w14:textId="77777777" w:rsidR="00C1793C" w:rsidRPr="0068586F" w:rsidRDefault="00C1793C" w:rsidP="00690A0C">
                  <w:pPr>
                    <w:spacing w:after="0" w:line="240" w:lineRule="auto"/>
                    <w:rPr>
                      <w:rFonts w:ascii="Times New Roman" w:eastAsia="Times New Roman" w:hAnsi="Times New Roman" w:cs="Times New Roman"/>
                      <w:color w:val="000000" w:themeColor="text1"/>
                      <w:sz w:val="20"/>
                      <w:szCs w:val="20"/>
                      <w:lang w:eastAsia="lt-LT"/>
                    </w:rPr>
                  </w:pPr>
                  <w:r w:rsidRPr="0068586F">
                    <w:rPr>
                      <w:rFonts w:ascii="Times New Roman" w:eastAsia="Times New Roman" w:hAnsi="Times New Roman" w:cs="Times New Roman"/>
                      <w:color w:val="000000" w:themeColor="text1"/>
                      <w:sz w:val="20"/>
                      <w:szCs w:val="20"/>
                      <w:lang w:eastAsia="lt-LT"/>
                    </w:rPr>
                    <w:t>1.</w:t>
                  </w:r>
                </w:p>
              </w:tc>
              <w:tc>
                <w:tcPr>
                  <w:tcW w:w="3941" w:type="dxa"/>
                  <w:tcBorders>
                    <w:top w:val="nil"/>
                    <w:left w:val="nil"/>
                    <w:bottom w:val="single" w:sz="4" w:space="0" w:color="auto"/>
                    <w:right w:val="single" w:sz="4" w:space="0" w:color="auto"/>
                  </w:tcBorders>
                  <w:shd w:val="clear" w:color="auto" w:fill="auto"/>
                  <w:noWrap/>
                  <w:hideMark/>
                </w:tcPr>
                <w:p w14:paraId="5AAEC9E4" w14:textId="797305A4" w:rsidR="00C1793C" w:rsidRPr="0068586F" w:rsidRDefault="00D40394" w:rsidP="00244239">
                  <w:pPr>
                    <w:pStyle w:val="Default"/>
                    <w:rPr>
                      <w:rFonts w:eastAsia="TimesNewRomanPS-ItalicMT"/>
                      <w:b/>
                      <w:bCs/>
                      <w:iCs/>
                      <w:color w:val="000000" w:themeColor="text1"/>
                      <w:sz w:val="22"/>
                      <w:szCs w:val="22"/>
                    </w:rPr>
                  </w:pPr>
                  <w:r w:rsidRPr="0068586F">
                    <w:rPr>
                      <w:b/>
                      <w:bCs/>
                      <w:lang w:val="it-IT"/>
                    </w:rPr>
                    <w:t>β-D</w:t>
                  </w:r>
                  <w:r w:rsidRPr="0068586F">
                    <w:rPr>
                      <w:b/>
                      <w:bCs/>
                      <w:iCs/>
                      <w:color w:val="000000" w:themeColor="text1"/>
                      <w:sz w:val="22"/>
                      <w:szCs w:val="22"/>
                    </w:rPr>
                    <w:t xml:space="preserve"> -</w:t>
                  </w:r>
                  <w:proofErr w:type="spellStart"/>
                  <w:r w:rsidRPr="0068586F">
                    <w:rPr>
                      <w:b/>
                      <w:bCs/>
                      <w:iCs/>
                      <w:color w:val="000000" w:themeColor="text1"/>
                      <w:sz w:val="22"/>
                      <w:szCs w:val="22"/>
                    </w:rPr>
                    <w:t>Gliukano</w:t>
                  </w:r>
                  <w:proofErr w:type="spellEnd"/>
                  <w:r w:rsidRPr="0068586F">
                    <w:rPr>
                      <w:b/>
                      <w:bCs/>
                      <w:iCs/>
                      <w:color w:val="000000" w:themeColor="text1"/>
                      <w:sz w:val="22"/>
                      <w:szCs w:val="22"/>
                    </w:rPr>
                    <w:t xml:space="preserve"> </w:t>
                  </w:r>
                  <w:r w:rsidR="00877A58" w:rsidRPr="0068586F">
                    <w:rPr>
                      <w:b/>
                      <w:bCs/>
                      <w:iCs/>
                      <w:color w:val="000000" w:themeColor="text1"/>
                      <w:sz w:val="22"/>
                      <w:szCs w:val="22"/>
                    </w:rPr>
                    <w:t>nustatymas</w:t>
                  </w:r>
                </w:p>
              </w:tc>
              <w:tc>
                <w:tcPr>
                  <w:tcW w:w="1275" w:type="dxa"/>
                  <w:tcBorders>
                    <w:top w:val="nil"/>
                    <w:left w:val="nil"/>
                    <w:bottom w:val="single" w:sz="4" w:space="0" w:color="auto"/>
                    <w:right w:val="single" w:sz="4" w:space="0" w:color="auto"/>
                  </w:tcBorders>
                  <w:shd w:val="clear" w:color="auto" w:fill="auto"/>
                  <w:noWrap/>
                  <w:hideMark/>
                </w:tcPr>
                <w:p w14:paraId="7E840458" w14:textId="57A4AFC9" w:rsidR="00C1793C" w:rsidRPr="00120098" w:rsidRDefault="00D40394" w:rsidP="00C5555A">
                  <w:pPr>
                    <w:pStyle w:val="Default"/>
                    <w:jc w:val="center"/>
                    <w:rPr>
                      <w:b/>
                      <w:color w:val="000000" w:themeColor="text1"/>
                      <w:sz w:val="22"/>
                      <w:szCs w:val="22"/>
                    </w:rPr>
                  </w:pPr>
                  <w:r>
                    <w:rPr>
                      <w:b/>
                      <w:color w:val="000000" w:themeColor="text1"/>
                      <w:sz w:val="22"/>
                      <w:szCs w:val="22"/>
                    </w:rPr>
                    <w:t>720</w:t>
                  </w:r>
                </w:p>
              </w:tc>
              <w:tc>
                <w:tcPr>
                  <w:tcW w:w="1588" w:type="dxa"/>
                  <w:tcBorders>
                    <w:top w:val="nil"/>
                    <w:left w:val="nil"/>
                    <w:bottom w:val="single" w:sz="4" w:space="0" w:color="auto"/>
                    <w:right w:val="single" w:sz="4" w:space="0" w:color="auto"/>
                  </w:tcBorders>
                  <w:shd w:val="clear" w:color="auto" w:fill="auto"/>
                  <w:noWrap/>
                  <w:vAlign w:val="center"/>
                  <w:hideMark/>
                </w:tcPr>
                <w:p w14:paraId="29A79FFA"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1EB104FA"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0818A56B"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EAEFF"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60DC3E28"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7C497658"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E0ACD"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19775F" w:rsidRPr="00120098" w14:paraId="7B9DF686" w14:textId="77777777" w:rsidTr="008A1DD0">
              <w:trPr>
                <w:gridAfter w:val="3"/>
                <w:wAfter w:w="6355"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710D4C14" w14:textId="77777777" w:rsidR="00C1793C" w:rsidRPr="00120098" w:rsidRDefault="00C1793C" w:rsidP="00690A0C">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941" w:type="dxa"/>
                  <w:tcBorders>
                    <w:top w:val="nil"/>
                    <w:left w:val="nil"/>
                    <w:bottom w:val="single" w:sz="4" w:space="0" w:color="auto"/>
                    <w:right w:val="single" w:sz="4" w:space="0" w:color="auto"/>
                  </w:tcBorders>
                  <w:shd w:val="clear" w:color="auto" w:fill="auto"/>
                  <w:hideMark/>
                </w:tcPr>
                <w:p w14:paraId="262C9D1E" w14:textId="77777777" w:rsidR="00C1793C" w:rsidRPr="00120098" w:rsidRDefault="00C1793C" w:rsidP="00690A0C">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18945980" w14:textId="77777777" w:rsidR="00C1793C" w:rsidRPr="00120098" w:rsidRDefault="00C1793C" w:rsidP="00F47F0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E3A2F90"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693F534B"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739" w:type="dxa"/>
                  <w:tcBorders>
                    <w:top w:val="single" w:sz="4" w:space="0" w:color="auto"/>
                    <w:left w:val="nil"/>
                    <w:bottom w:val="single" w:sz="4" w:space="0" w:color="auto"/>
                    <w:right w:val="single" w:sz="4" w:space="0" w:color="auto"/>
                  </w:tcBorders>
                  <w:vAlign w:val="center"/>
                </w:tcPr>
                <w:p w14:paraId="3D6B55FD"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E9A68"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66067D44"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220092B7"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9375F"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r>
            <w:tr w:rsidR="006854AC" w:rsidRPr="00120098" w14:paraId="465DB72A" w14:textId="77777777" w:rsidTr="008A1DD0">
              <w:trPr>
                <w:trHeight w:val="300"/>
              </w:trPr>
              <w:tc>
                <w:tcPr>
                  <w:tcW w:w="736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70D69CC" w14:textId="77777777" w:rsidR="006854AC" w:rsidRPr="00120098" w:rsidRDefault="006854AC" w:rsidP="006854AC">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18A0881D" w14:textId="77777777" w:rsidR="006854AC" w:rsidRPr="00120098" w:rsidRDefault="006854AC" w:rsidP="006854AC">
                  <w:pPr>
                    <w:spacing w:after="0" w:line="256" w:lineRule="auto"/>
                    <w:rPr>
                      <w:rFonts w:eastAsiaTheme="minorEastAsia" w:cs="Times New Roman"/>
                      <w:color w:val="000000" w:themeColor="text1"/>
                      <w:lang w:eastAsia="lt-LT"/>
                    </w:rPr>
                  </w:pPr>
                </w:p>
              </w:tc>
              <w:tc>
                <w:tcPr>
                  <w:tcW w:w="739" w:type="dxa"/>
                  <w:tcBorders>
                    <w:top w:val="single" w:sz="4" w:space="0" w:color="auto"/>
                    <w:left w:val="nil"/>
                    <w:bottom w:val="single" w:sz="4" w:space="0" w:color="auto"/>
                    <w:right w:val="single" w:sz="4" w:space="0" w:color="auto"/>
                  </w:tcBorders>
                </w:tcPr>
                <w:p w14:paraId="61927236" w14:textId="77777777" w:rsidR="006854AC" w:rsidRPr="00120098" w:rsidRDefault="006854AC" w:rsidP="006854AC">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46BDD" w14:textId="77777777" w:rsidR="006854AC" w:rsidRPr="00120098" w:rsidRDefault="006854AC" w:rsidP="006854AC">
                  <w:pPr>
                    <w:spacing w:after="0" w:line="256" w:lineRule="auto"/>
                    <w:rPr>
                      <w:rFonts w:eastAsiaTheme="minorEastAsia" w:cs="Times New Roman"/>
                      <w:color w:val="000000" w:themeColor="text1"/>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1AECDA"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1BFD52CB"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E094A"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2401" w:type="dxa"/>
                  <w:vAlign w:val="center"/>
                </w:tcPr>
                <w:p w14:paraId="12974A08"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50FFC8D5"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7FC8687E" w14:textId="77777777" w:rsidR="006854AC" w:rsidRPr="00120098" w:rsidRDefault="006854AC" w:rsidP="006854AC">
                  <w:pPr>
                    <w:spacing w:after="0" w:line="240" w:lineRule="auto"/>
                    <w:jc w:val="center"/>
                    <w:rPr>
                      <w:rFonts w:ascii="Times New Roman" w:eastAsia="Times New Roman" w:hAnsi="Times New Roman" w:cs="Times New Roman"/>
                      <w:color w:val="000000" w:themeColor="text1"/>
                      <w:lang w:eastAsia="lt-LT"/>
                    </w:rPr>
                  </w:pPr>
                </w:p>
              </w:tc>
            </w:tr>
          </w:tbl>
          <w:p w14:paraId="144896CF"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66986B0F" w14:textId="77777777" w:rsidR="007735D2" w:rsidRDefault="007735D2" w:rsidP="00C1793C">
      <w:pPr>
        <w:pStyle w:val="Default"/>
        <w:tabs>
          <w:tab w:val="left" w:pos="1985"/>
        </w:tabs>
        <w:rPr>
          <w:color w:val="000000" w:themeColor="text1"/>
        </w:rPr>
      </w:pPr>
    </w:p>
    <w:p w14:paraId="01AEBE97" w14:textId="77777777" w:rsidR="005D60AA" w:rsidRPr="0019775F" w:rsidRDefault="005D60AA" w:rsidP="00FA184C">
      <w:pPr>
        <w:pStyle w:val="Default"/>
        <w:tabs>
          <w:tab w:val="left" w:pos="1985"/>
        </w:tabs>
        <w:rPr>
          <w:color w:val="000000" w:themeColor="text1"/>
          <w:sz w:val="22"/>
          <w:szCs w:val="22"/>
        </w:rPr>
      </w:pPr>
    </w:p>
    <w:sectPr w:rsidR="005D60AA" w:rsidRPr="0019775F" w:rsidSect="00E96696">
      <w:pgSz w:w="16838" w:h="11906" w:orient="landscape"/>
      <w:pgMar w:top="851"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ED201A"/>
    <w:multiLevelType w:val="hybridMultilevel"/>
    <w:tmpl w:val="05D2B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4FF6AE7"/>
    <w:multiLevelType w:val="hybridMultilevel"/>
    <w:tmpl w:val="BA06F33A"/>
    <w:lvl w:ilvl="0" w:tplc="0427000F">
      <w:start w:val="1"/>
      <w:numFmt w:val="decimal"/>
      <w:lvlText w:val="%1."/>
      <w:lvlJc w:val="left"/>
      <w:pPr>
        <w:ind w:left="1062" w:hanging="360"/>
      </w:p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4" w15:restartNumberingAfterBreak="0">
    <w:nsid w:val="120879A7"/>
    <w:multiLevelType w:val="hybridMultilevel"/>
    <w:tmpl w:val="7BF62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6C1792"/>
    <w:multiLevelType w:val="hybridMultilevel"/>
    <w:tmpl w:val="BA3C1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31750DDC"/>
    <w:multiLevelType w:val="hybridMultilevel"/>
    <w:tmpl w:val="D6D078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2"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5"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CF2705"/>
    <w:multiLevelType w:val="hybridMultilevel"/>
    <w:tmpl w:val="B7FAA0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64793F"/>
    <w:multiLevelType w:val="hybridMultilevel"/>
    <w:tmpl w:val="C1D819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BE281E"/>
    <w:multiLevelType w:val="hybridMultilevel"/>
    <w:tmpl w:val="003EC0EC"/>
    <w:lvl w:ilvl="0" w:tplc="56128844">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24"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6"/>
  </w:num>
  <w:num w:numId="2">
    <w:abstractNumId w:val="5"/>
  </w:num>
  <w:num w:numId="3">
    <w:abstractNumId w:val="17"/>
  </w:num>
  <w:num w:numId="4">
    <w:abstractNumId w:val="19"/>
  </w:num>
  <w:num w:numId="5">
    <w:abstractNumId w:val="13"/>
  </w:num>
  <w:num w:numId="6">
    <w:abstractNumId w:val="0"/>
  </w:num>
  <w:num w:numId="7">
    <w:abstractNumId w:val="12"/>
  </w:num>
  <w:num w:numId="8">
    <w:abstractNumId w:val="2"/>
  </w:num>
  <w:num w:numId="9">
    <w:abstractNumId w:val="9"/>
  </w:num>
  <w:num w:numId="10">
    <w:abstractNumId w:val="16"/>
  </w:num>
  <w:num w:numId="11">
    <w:abstractNumId w:val="24"/>
  </w:num>
  <w:num w:numId="12">
    <w:abstractNumId w:val="11"/>
  </w:num>
  <w:num w:numId="13">
    <w:abstractNumId w:val="21"/>
  </w:num>
  <w:num w:numId="14">
    <w:abstractNumId w:val="14"/>
  </w:num>
  <w:num w:numId="15">
    <w:abstractNumId w:val="22"/>
  </w:num>
  <w:num w:numId="16">
    <w:abstractNumId w:val="15"/>
  </w:num>
  <w:num w:numId="17">
    <w:abstractNumId w:val="18"/>
  </w:num>
  <w:num w:numId="18">
    <w:abstractNumId w:val="8"/>
  </w:num>
  <w:num w:numId="19">
    <w:abstractNumId w:val="20"/>
  </w:num>
  <w:num w:numId="20">
    <w:abstractNumId w:val="1"/>
  </w:num>
  <w:num w:numId="21">
    <w:abstractNumId w:val="3"/>
  </w:num>
  <w:num w:numId="22">
    <w:abstractNumId w:val="10"/>
  </w:num>
  <w:num w:numId="23">
    <w:abstractNumId w:val="4"/>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1A26"/>
    <w:rsid w:val="00013ACF"/>
    <w:rsid w:val="00020681"/>
    <w:rsid w:val="00024214"/>
    <w:rsid w:val="00024667"/>
    <w:rsid w:val="00026FA9"/>
    <w:rsid w:val="00027DEC"/>
    <w:rsid w:val="000366C1"/>
    <w:rsid w:val="00046D6A"/>
    <w:rsid w:val="00047CAE"/>
    <w:rsid w:val="000560F6"/>
    <w:rsid w:val="0005621C"/>
    <w:rsid w:val="000624FE"/>
    <w:rsid w:val="00062DF8"/>
    <w:rsid w:val="00065356"/>
    <w:rsid w:val="00070431"/>
    <w:rsid w:val="00071B83"/>
    <w:rsid w:val="0007623C"/>
    <w:rsid w:val="000766C0"/>
    <w:rsid w:val="000801D1"/>
    <w:rsid w:val="00080575"/>
    <w:rsid w:val="00092444"/>
    <w:rsid w:val="00093C9F"/>
    <w:rsid w:val="00097FDD"/>
    <w:rsid w:val="000A565C"/>
    <w:rsid w:val="000C55AA"/>
    <w:rsid w:val="000C7A02"/>
    <w:rsid w:val="000D7F91"/>
    <w:rsid w:val="000E2C83"/>
    <w:rsid w:val="000F4AD0"/>
    <w:rsid w:val="000F66EA"/>
    <w:rsid w:val="0011121C"/>
    <w:rsid w:val="00111F31"/>
    <w:rsid w:val="001148A6"/>
    <w:rsid w:val="00120098"/>
    <w:rsid w:val="001211A1"/>
    <w:rsid w:val="00124F69"/>
    <w:rsid w:val="00132EC4"/>
    <w:rsid w:val="0013449E"/>
    <w:rsid w:val="00137B6C"/>
    <w:rsid w:val="0014558C"/>
    <w:rsid w:val="00146E22"/>
    <w:rsid w:val="001639A6"/>
    <w:rsid w:val="00165C27"/>
    <w:rsid w:val="001710FA"/>
    <w:rsid w:val="00183722"/>
    <w:rsid w:val="001849C9"/>
    <w:rsid w:val="00185409"/>
    <w:rsid w:val="001956C8"/>
    <w:rsid w:val="0019775F"/>
    <w:rsid w:val="001A09FB"/>
    <w:rsid w:val="001A161F"/>
    <w:rsid w:val="001A1C4B"/>
    <w:rsid w:val="001B103C"/>
    <w:rsid w:val="001B252B"/>
    <w:rsid w:val="001B30EC"/>
    <w:rsid w:val="001B63FA"/>
    <w:rsid w:val="001B7AE2"/>
    <w:rsid w:val="001C0DB7"/>
    <w:rsid w:val="001D1CBC"/>
    <w:rsid w:val="001E054C"/>
    <w:rsid w:val="001E690A"/>
    <w:rsid w:val="001E694A"/>
    <w:rsid w:val="001F04DF"/>
    <w:rsid w:val="001F093E"/>
    <w:rsid w:val="001F3E86"/>
    <w:rsid w:val="00203EBE"/>
    <w:rsid w:val="00216727"/>
    <w:rsid w:val="00216A12"/>
    <w:rsid w:val="00216B27"/>
    <w:rsid w:val="00223BA1"/>
    <w:rsid w:val="0023113C"/>
    <w:rsid w:val="00237FDA"/>
    <w:rsid w:val="00244239"/>
    <w:rsid w:val="00252C52"/>
    <w:rsid w:val="00254E80"/>
    <w:rsid w:val="00266E4B"/>
    <w:rsid w:val="0029003C"/>
    <w:rsid w:val="002B004F"/>
    <w:rsid w:val="002B0807"/>
    <w:rsid w:val="002B4933"/>
    <w:rsid w:val="002C30AB"/>
    <w:rsid w:val="002C7C6C"/>
    <w:rsid w:val="002E5616"/>
    <w:rsid w:val="002F5E46"/>
    <w:rsid w:val="002F67A2"/>
    <w:rsid w:val="00302585"/>
    <w:rsid w:val="00317098"/>
    <w:rsid w:val="00323729"/>
    <w:rsid w:val="00324856"/>
    <w:rsid w:val="00325933"/>
    <w:rsid w:val="00332A0E"/>
    <w:rsid w:val="0033790A"/>
    <w:rsid w:val="003507F3"/>
    <w:rsid w:val="00355398"/>
    <w:rsid w:val="003614FD"/>
    <w:rsid w:val="00366809"/>
    <w:rsid w:val="003717CD"/>
    <w:rsid w:val="00372410"/>
    <w:rsid w:val="00374BD2"/>
    <w:rsid w:val="003768B3"/>
    <w:rsid w:val="00387ED3"/>
    <w:rsid w:val="003A1D23"/>
    <w:rsid w:val="003A2DF6"/>
    <w:rsid w:val="003A3E8B"/>
    <w:rsid w:val="003B650C"/>
    <w:rsid w:val="003E5699"/>
    <w:rsid w:val="00400B79"/>
    <w:rsid w:val="004115A7"/>
    <w:rsid w:val="00414ED9"/>
    <w:rsid w:val="004165FA"/>
    <w:rsid w:val="004226DC"/>
    <w:rsid w:val="00430DCC"/>
    <w:rsid w:val="00437FD7"/>
    <w:rsid w:val="0045733A"/>
    <w:rsid w:val="00476EB5"/>
    <w:rsid w:val="00480140"/>
    <w:rsid w:val="004856E6"/>
    <w:rsid w:val="00487426"/>
    <w:rsid w:val="00496A98"/>
    <w:rsid w:val="004A00ED"/>
    <w:rsid w:val="004A0702"/>
    <w:rsid w:val="004A2713"/>
    <w:rsid w:val="004B411C"/>
    <w:rsid w:val="004E4427"/>
    <w:rsid w:val="004E63E4"/>
    <w:rsid w:val="004F48D9"/>
    <w:rsid w:val="00510F16"/>
    <w:rsid w:val="00516ED9"/>
    <w:rsid w:val="00545137"/>
    <w:rsid w:val="00556AF1"/>
    <w:rsid w:val="00575EE5"/>
    <w:rsid w:val="005849E3"/>
    <w:rsid w:val="005A3CE8"/>
    <w:rsid w:val="005B1DA1"/>
    <w:rsid w:val="005B1F05"/>
    <w:rsid w:val="005C6929"/>
    <w:rsid w:val="005D3BEF"/>
    <w:rsid w:val="005D60AA"/>
    <w:rsid w:val="005D701C"/>
    <w:rsid w:val="005E1AF6"/>
    <w:rsid w:val="005E293F"/>
    <w:rsid w:val="005E7A5D"/>
    <w:rsid w:val="005F0069"/>
    <w:rsid w:val="005F6423"/>
    <w:rsid w:val="005F6A37"/>
    <w:rsid w:val="00601E21"/>
    <w:rsid w:val="006210A8"/>
    <w:rsid w:val="00625EFE"/>
    <w:rsid w:val="00637EF6"/>
    <w:rsid w:val="00655590"/>
    <w:rsid w:val="00655B06"/>
    <w:rsid w:val="00675A0C"/>
    <w:rsid w:val="006854AC"/>
    <w:rsid w:val="0068586F"/>
    <w:rsid w:val="006A1EB7"/>
    <w:rsid w:val="006A6959"/>
    <w:rsid w:val="006C3AC1"/>
    <w:rsid w:val="006C4FEC"/>
    <w:rsid w:val="006D4982"/>
    <w:rsid w:val="006E0555"/>
    <w:rsid w:val="006F0192"/>
    <w:rsid w:val="006F3AF4"/>
    <w:rsid w:val="00713E6E"/>
    <w:rsid w:val="00714B8E"/>
    <w:rsid w:val="00717FDB"/>
    <w:rsid w:val="0072777E"/>
    <w:rsid w:val="007411FB"/>
    <w:rsid w:val="007464E2"/>
    <w:rsid w:val="0074744B"/>
    <w:rsid w:val="0077133E"/>
    <w:rsid w:val="007735D2"/>
    <w:rsid w:val="00776E8F"/>
    <w:rsid w:val="00792B9F"/>
    <w:rsid w:val="007A31C9"/>
    <w:rsid w:val="007B104C"/>
    <w:rsid w:val="007B2F2B"/>
    <w:rsid w:val="007B4041"/>
    <w:rsid w:val="007B4438"/>
    <w:rsid w:val="007B7266"/>
    <w:rsid w:val="007C20BE"/>
    <w:rsid w:val="007E49C8"/>
    <w:rsid w:val="00821FAE"/>
    <w:rsid w:val="008234AA"/>
    <w:rsid w:val="00824373"/>
    <w:rsid w:val="00836401"/>
    <w:rsid w:val="00842815"/>
    <w:rsid w:val="00853213"/>
    <w:rsid w:val="00857CB8"/>
    <w:rsid w:val="00860F61"/>
    <w:rsid w:val="00877A58"/>
    <w:rsid w:val="00881B44"/>
    <w:rsid w:val="008A1DD0"/>
    <w:rsid w:val="008A669C"/>
    <w:rsid w:val="008B3A97"/>
    <w:rsid w:val="008B5261"/>
    <w:rsid w:val="008C3634"/>
    <w:rsid w:val="008C688E"/>
    <w:rsid w:val="008D3FAD"/>
    <w:rsid w:val="008D4E9B"/>
    <w:rsid w:val="008D5309"/>
    <w:rsid w:val="008E3228"/>
    <w:rsid w:val="008E6350"/>
    <w:rsid w:val="008F14FA"/>
    <w:rsid w:val="008F5ED5"/>
    <w:rsid w:val="008F6FB7"/>
    <w:rsid w:val="00901B45"/>
    <w:rsid w:val="00914A20"/>
    <w:rsid w:val="00914CD3"/>
    <w:rsid w:val="00920456"/>
    <w:rsid w:val="00926A0F"/>
    <w:rsid w:val="009359BC"/>
    <w:rsid w:val="00940782"/>
    <w:rsid w:val="009515FC"/>
    <w:rsid w:val="00963B26"/>
    <w:rsid w:val="00963C10"/>
    <w:rsid w:val="00984979"/>
    <w:rsid w:val="00986180"/>
    <w:rsid w:val="00986EAA"/>
    <w:rsid w:val="009A0F36"/>
    <w:rsid w:val="009A5F6E"/>
    <w:rsid w:val="009B3A74"/>
    <w:rsid w:val="009B43C4"/>
    <w:rsid w:val="009C2D51"/>
    <w:rsid w:val="009D75C5"/>
    <w:rsid w:val="009F7D7D"/>
    <w:rsid w:val="00A218C2"/>
    <w:rsid w:val="00A21CA2"/>
    <w:rsid w:val="00A239D2"/>
    <w:rsid w:val="00A27DB8"/>
    <w:rsid w:val="00A36565"/>
    <w:rsid w:val="00A4010E"/>
    <w:rsid w:val="00A40BE9"/>
    <w:rsid w:val="00A41655"/>
    <w:rsid w:val="00A50571"/>
    <w:rsid w:val="00A5193B"/>
    <w:rsid w:val="00A562D2"/>
    <w:rsid w:val="00A62B78"/>
    <w:rsid w:val="00A62FA9"/>
    <w:rsid w:val="00A6398E"/>
    <w:rsid w:val="00A64118"/>
    <w:rsid w:val="00A67011"/>
    <w:rsid w:val="00A67787"/>
    <w:rsid w:val="00A859C9"/>
    <w:rsid w:val="00A913C3"/>
    <w:rsid w:val="00A94151"/>
    <w:rsid w:val="00A9480E"/>
    <w:rsid w:val="00AA2BD1"/>
    <w:rsid w:val="00AB133A"/>
    <w:rsid w:val="00AB2966"/>
    <w:rsid w:val="00AB738D"/>
    <w:rsid w:val="00AC5EAD"/>
    <w:rsid w:val="00AE5C39"/>
    <w:rsid w:val="00AF0019"/>
    <w:rsid w:val="00AF138D"/>
    <w:rsid w:val="00AF779D"/>
    <w:rsid w:val="00B11E27"/>
    <w:rsid w:val="00B14D48"/>
    <w:rsid w:val="00B20125"/>
    <w:rsid w:val="00B20A4F"/>
    <w:rsid w:val="00B25567"/>
    <w:rsid w:val="00B35128"/>
    <w:rsid w:val="00B41FFD"/>
    <w:rsid w:val="00B46973"/>
    <w:rsid w:val="00B5043B"/>
    <w:rsid w:val="00B53222"/>
    <w:rsid w:val="00B5372A"/>
    <w:rsid w:val="00B617FD"/>
    <w:rsid w:val="00B64D8F"/>
    <w:rsid w:val="00B65CBC"/>
    <w:rsid w:val="00B71C24"/>
    <w:rsid w:val="00B7246E"/>
    <w:rsid w:val="00B73658"/>
    <w:rsid w:val="00B75C45"/>
    <w:rsid w:val="00B8765A"/>
    <w:rsid w:val="00B967EB"/>
    <w:rsid w:val="00B972E4"/>
    <w:rsid w:val="00BB375B"/>
    <w:rsid w:val="00BD017D"/>
    <w:rsid w:val="00BD4FDE"/>
    <w:rsid w:val="00BD68F2"/>
    <w:rsid w:val="00BE7EFB"/>
    <w:rsid w:val="00BF09AC"/>
    <w:rsid w:val="00BF4A88"/>
    <w:rsid w:val="00C014AF"/>
    <w:rsid w:val="00C02F05"/>
    <w:rsid w:val="00C049B7"/>
    <w:rsid w:val="00C1372A"/>
    <w:rsid w:val="00C1793C"/>
    <w:rsid w:val="00C23294"/>
    <w:rsid w:val="00C252B5"/>
    <w:rsid w:val="00C310C5"/>
    <w:rsid w:val="00C33900"/>
    <w:rsid w:val="00C447F4"/>
    <w:rsid w:val="00C44F04"/>
    <w:rsid w:val="00C46107"/>
    <w:rsid w:val="00C474B7"/>
    <w:rsid w:val="00C5274A"/>
    <w:rsid w:val="00C5555A"/>
    <w:rsid w:val="00C5687B"/>
    <w:rsid w:val="00C60E84"/>
    <w:rsid w:val="00C63142"/>
    <w:rsid w:val="00C63345"/>
    <w:rsid w:val="00C73877"/>
    <w:rsid w:val="00C74D7B"/>
    <w:rsid w:val="00C77100"/>
    <w:rsid w:val="00C82532"/>
    <w:rsid w:val="00C82EE5"/>
    <w:rsid w:val="00C867EA"/>
    <w:rsid w:val="00C9125C"/>
    <w:rsid w:val="00CA39E3"/>
    <w:rsid w:val="00CA3B5C"/>
    <w:rsid w:val="00CB096A"/>
    <w:rsid w:val="00CB0AFD"/>
    <w:rsid w:val="00CB62E7"/>
    <w:rsid w:val="00CC5AF4"/>
    <w:rsid w:val="00CD2DAD"/>
    <w:rsid w:val="00CD504B"/>
    <w:rsid w:val="00CD71EC"/>
    <w:rsid w:val="00CE09BE"/>
    <w:rsid w:val="00CE5895"/>
    <w:rsid w:val="00CF669C"/>
    <w:rsid w:val="00D01CCB"/>
    <w:rsid w:val="00D116D6"/>
    <w:rsid w:val="00D1227C"/>
    <w:rsid w:val="00D1307F"/>
    <w:rsid w:val="00D14E2D"/>
    <w:rsid w:val="00D1757C"/>
    <w:rsid w:val="00D20422"/>
    <w:rsid w:val="00D204EE"/>
    <w:rsid w:val="00D21E28"/>
    <w:rsid w:val="00D22357"/>
    <w:rsid w:val="00D23D1B"/>
    <w:rsid w:val="00D2429B"/>
    <w:rsid w:val="00D26FCB"/>
    <w:rsid w:val="00D33BF8"/>
    <w:rsid w:val="00D40394"/>
    <w:rsid w:val="00D44AD8"/>
    <w:rsid w:val="00D51B9D"/>
    <w:rsid w:val="00D54E6B"/>
    <w:rsid w:val="00D57EF2"/>
    <w:rsid w:val="00D62C2D"/>
    <w:rsid w:val="00DA0A34"/>
    <w:rsid w:val="00DA561E"/>
    <w:rsid w:val="00DA613A"/>
    <w:rsid w:val="00DA7AE5"/>
    <w:rsid w:val="00DD28FD"/>
    <w:rsid w:val="00DF61FB"/>
    <w:rsid w:val="00E00CB0"/>
    <w:rsid w:val="00E0618C"/>
    <w:rsid w:val="00E123C7"/>
    <w:rsid w:val="00E16DA5"/>
    <w:rsid w:val="00E22177"/>
    <w:rsid w:val="00E24E14"/>
    <w:rsid w:val="00E278BE"/>
    <w:rsid w:val="00E343D4"/>
    <w:rsid w:val="00E35ABB"/>
    <w:rsid w:val="00E473DF"/>
    <w:rsid w:val="00E56D36"/>
    <w:rsid w:val="00E74243"/>
    <w:rsid w:val="00E7467E"/>
    <w:rsid w:val="00E80D95"/>
    <w:rsid w:val="00E91B4C"/>
    <w:rsid w:val="00E96696"/>
    <w:rsid w:val="00EA0790"/>
    <w:rsid w:val="00EA3C01"/>
    <w:rsid w:val="00EA52CF"/>
    <w:rsid w:val="00EA699B"/>
    <w:rsid w:val="00EC6600"/>
    <w:rsid w:val="00EC7034"/>
    <w:rsid w:val="00ED3A27"/>
    <w:rsid w:val="00EE5E2B"/>
    <w:rsid w:val="00F1190D"/>
    <w:rsid w:val="00F27A7B"/>
    <w:rsid w:val="00F341E1"/>
    <w:rsid w:val="00F40DF7"/>
    <w:rsid w:val="00F41AF6"/>
    <w:rsid w:val="00F47F05"/>
    <w:rsid w:val="00F56B40"/>
    <w:rsid w:val="00F5703D"/>
    <w:rsid w:val="00F61267"/>
    <w:rsid w:val="00F612AC"/>
    <w:rsid w:val="00F638B2"/>
    <w:rsid w:val="00F64DDF"/>
    <w:rsid w:val="00F7127A"/>
    <w:rsid w:val="00F72EA9"/>
    <w:rsid w:val="00F85B53"/>
    <w:rsid w:val="00F933B9"/>
    <w:rsid w:val="00FA184C"/>
    <w:rsid w:val="00FB2750"/>
    <w:rsid w:val="00FB7308"/>
    <w:rsid w:val="00FC52DE"/>
    <w:rsid w:val="00FC5805"/>
    <w:rsid w:val="00FD031F"/>
    <w:rsid w:val="00FD0C62"/>
    <w:rsid w:val="00FE52F5"/>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B8BD"/>
  <w15:docId w15:val="{20E6AE10-CA75-4B17-AD83-15A685F1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99"/>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1"/>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 w:type="character" w:styleId="Emphasis">
    <w:name w:val="Emphasis"/>
    <w:basedOn w:val="DefaultParagraphFont"/>
    <w:uiPriority w:val="20"/>
    <w:qFormat/>
    <w:rsid w:val="00252C52"/>
    <w:rPr>
      <w:i/>
      <w:iCs/>
    </w:rPr>
  </w:style>
  <w:style w:type="character" w:styleId="Strong">
    <w:name w:val="Strong"/>
    <w:basedOn w:val="DefaultParagraphFont"/>
    <w:uiPriority w:val="22"/>
    <w:qFormat/>
    <w:rsid w:val="00183722"/>
    <w:rPr>
      <w:b/>
      <w:bCs/>
    </w:rPr>
  </w:style>
  <w:style w:type="paragraph" w:styleId="BalloonText">
    <w:name w:val="Balloon Text"/>
    <w:basedOn w:val="Normal"/>
    <w:link w:val="BalloonTextChar"/>
    <w:uiPriority w:val="99"/>
    <w:semiHidden/>
    <w:unhideWhenUsed/>
    <w:rsid w:val="00516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9E1679-FDF8-47C8-8E08-B4F44412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5171</Words>
  <Characters>2949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2026-07-14T06:51:00Z</cp:lastPrinted>
  <dcterms:created xsi:type="dcterms:W3CDTF">2026-07-14T06:51:00Z</dcterms:created>
  <dcterms:modified xsi:type="dcterms:W3CDTF">2026-07-14T06:55:00Z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