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484AC2" w14:textId="2586CD35" w:rsidR="003A1558" w:rsidRDefault="00CB515B">
      <w:pPr>
        <w:pStyle w:val="P68B1DB1-Normal1"/>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pPr>
      <w:r>
        <w:t>APPROVED:</w:t>
      </w:r>
    </w:p>
    <w:p w14:paraId="793839E7" w14:textId="47BC442E" w:rsidR="00347711" w:rsidRDefault="00347711">
      <w:pPr>
        <w:pStyle w:val="P68B1DB1-Normal1"/>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pPr>
      <w:r>
        <w:t>by Protocol</w:t>
      </w:r>
      <w:r w:rsidRPr="00347711">
        <w:t xml:space="preserve"> </w:t>
      </w:r>
      <w:r>
        <w:t>No. __</w:t>
      </w:r>
    </w:p>
    <w:p w14:paraId="6968D369" w14:textId="494690D2" w:rsidR="003A1558" w:rsidRDefault="00347711">
      <w:pPr>
        <w:pStyle w:val="P68B1DB1-Normal1"/>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pPr>
      <w:r>
        <w:t xml:space="preserve">of the </w:t>
      </w:r>
      <w:r w:rsidR="00CB515B">
        <w:t>Public Procurement Commission</w:t>
      </w:r>
    </w:p>
    <w:p w14:paraId="7583424D" w14:textId="6BBA416A" w:rsidR="003A1558" w:rsidRDefault="00CB515B">
      <w:pPr>
        <w:pStyle w:val="P68B1DB1-Normal1"/>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pPr>
      <w:r>
        <w:tab/>
      </w:r>
      <w:r>
        <w:tab/>
      </w:r>
      <w:r>
        <w:tab/>
      </w:r>
      <w:r>
        <w:tab/>
      </w:r>
      <w:r>
        <w:tab/>
      </w:r>
      <w:r>
        <w:tab/>
      </w:r>
      <w:r>
        <w:tab/>
      </w:r>
      <w:r>
        <w:tab/>
        <w:t xml:space="preserve">dated ___ </w:t>
      </w:r>
      <w:r w:rsidR="00A365A9">
        <w:t xml:space="preserve">Jully </w:t>
      </w:r>
      <w:r>
        <w:t>2026</w:t>
      </w:r>
    </w:p>
    <w:p w14:paraId="47937809" w14:textId="77777777" w:rsidR="003A1558" w:rsidRDefault="003A1558">
      <w:pPr>
        <w:pStyle w:val="Heading"/>
        <w:rPr>
          <w:rFonts w:cs="Times New Roman"/>
          <w:sz w:val="24"/>
          <w:szCs w:val="24"/>
        </w:rPr>
      </w:pPr>
    </w:p>
    <w:p w14:paraId="7F70D90B" w14:textId="77777777" w:rsidR="003A1558" w:rsidRDefault="003A1558">
      <w:pPr>
        <w:pStyle w:val="Body2"/>
        <w:rPr>
          <w:rFonts w:cs="Times New Roman"/>
          <w:color w:val="000000" w:themeColor="text1"/>
          <w:sz w:val="24"/>
          <w:szCs w:val="24"/>
        </w:rPr>
      </w:pPr>
    </w:p>
    <w:p w14:paraId="27436ACA" w14:textId="7959BDD2" w:rsidR="003A1558" w:rsidRDefault="00CB515B">
      <w:pPr>
        <w:pStyle w:val="P68B1DB1-Heading2"/>
        <w:jc w:val="center"/>
      </w:pPr>
      <w:r>
        <w:t>Defence Resources Agency under the Ministry of National Defence</w:t>
      </w:r>
    </w:p>
    <w:p w14:paraId="6064A185" w14:textId="77777777" w:rsidR="003A1558" w:rsidRDefault="003A1558">
      <w:pPr>
        <w:pStyle w:val="Heading"/>
        <w:jc w:val="center"/>
        <w:rPr>
          <w:rFonts w:cs="Times New Roman"/>
          <w:color w:val="000000" w:themeColor="text1"/>
          <w:sz w:val="24"/>
          <w:szCs w:val="24"/>
        </w:rPr>
      </w:pPr>
    </w:p>
    <w:p w14:paraId="0F9558DD" w14:textId="0B12C8EB" w:rsidR="003A1558" w:rsidRDefault="00CB515B">
      <w:pPr>
        <w:pStyle w:val="Heading"/>
        <w:jc w:val="center"/>
        <w:rPr>
          <w:rFonts w:cs="Times New Roman"/>
          <w:color w:val="000000" w:themeColor="text1"/>
          <w:sz w:val="24"/>
          <w:szCs w:val="24"/>
        </w:rPr>
      </w:pPr>
      <w:r>
        <w:rPr>
          <w:rFonts w:cs="Times New Roman"/>
          <w:color w:val="000000" w:themeColor="text1"/>
          <w:sz w:val="24"/>
          <w:szCs w:val="24"/>
        </w:rPr>
        <w:t>Restricted tender (VPAGSSĮ</w:t>
      </w:r>
      <w:r>
        <w:rPr>
          <w:rStyle w:val="FootnoteReference"/>
          <w:rFonts w:cs="Times New Roman"/>
          <w:color w:val="000000" w:themeColor="text1"/>
          <w:sz w:val="24"/>
          <w:szCs w:val="24"/>
        </w:rPr>
        <w:footnoteReference w:id="1"/>
      </w:r>
      <w:r>
        <w:rPr>
          <w:rFonts w:cs="Times New Roman"/>
          <w:color w:val="000000" w:themeColor="text1"/>
          <w:sz w:val="24"/>
          <w:szCs w:val="24"/>
        </w:rPr>
        <w:t>)</w:t>
      </w:r>
    </w:p>
    <w:p w14:paraId="6F7EDF30" w14:textId="77777777" w:rsidR="003A1558" w:rsidRDefault="003A1558">
      <w:pPr>
        <w:pStyle w:val="Heading"/>
        <w:jc w:val="center"/>
        <w:rPr>
          <w:rFonts w:cs="Times New Roman"/>
          <w:color w:val="000000" w:themeColor="text1"/>
          <w:sz w:val="24"/>
          <w:szCs w:val="24"/>
        </w:rPr>
      </w:pPr>
    </w:p>
    <w:p w14:paraId="71452A86" w14:textId="7539C06A" w:rsidR="003A1558" w:rsidRDefault="00CB515B">
      <w:pPr>
        <w:pStyle w:val="P68B1DB1-Body3"/>
        <w:jc w:val="center"/>
        <w:rPr>
          <w:szCs w:val="24"/>
        </w:rPr>
      </w:pPr>
      <w:r>
        <w:t>BALLISTIC HELMETS</w:t>
      </w:r>
    </w:p>
    <w:p w14:paraId="057D3AB6" w14:textId="77777777" w:rsidR="003A1558" w:rsidRDefault="003A1558">
      <w:pPr>
        <w:pStyle w:val="Body2"/>
        <w:rPr>
          <w:rFonts w:cs="Times New Roman"/>
          <w:sz w:val="24"/>
          <w:szCs w:val="24"/>
        </w:rPr>
      </w:pPr>
    </w:p>
    <w:p w14:paraId="30421E7A" w14:textId="6B0AC48C" w:rsidR="003A1558" w:rsidRDefault="00CB515B">
      <w:pPr>
        <w:ind w:firstLine="567"/>
        <w:jc w:val="both"/>
        <w:rPr>
          <w:rFonts w:eastAsia="Times New Roman"/>
          <w:b/>
          <w:strike/>
          <w:bdr w:val="none" w:sz="0" w:space="0" w:color="auto"/>
        </w:rPr>
      </w:pPr>
      <w:r>
        <w:tab/>
        <w:t>1. GENERAL PROVISIONS</w:t>
      </w:r>
      <w:r>
        <w:tab/>
      </w:r>
      <w:r>
        <w:br/>
      </w:r>
      <w:r>
        <w:tab/>
      </w:r>
      <w:r>
        <w:br/>
      </w:r>
      <w:r>
        <w:tab/>
        <w:t xml:space="preserve">1.1. The </w:t>
      </w:r>
      <w:r w:rsidR="00347711">
        <w:t>Contracting Authority</w:t>
      </w:r>
      <w:r>
        <w:t xml:space="preserve">, the </w:t>
      </w:r>
      <w:proofErr w:type="spellStart"/>
      <w:r>
        <w:t>Defence</w:t>
      </w:r>
      <w:proofErr w:type="spellEnd"/>
      <w:r>
        <w:t xml:space="preserve"> Resources Agency under the Ministry of National </w:t>
      </w:r>
      <w:proofErr w:type="spellStart"/>
      <w:r>
        <w:t>Defence</w:t>
      </w:r>
      <w:proofErr w:type="spellEnd"/>
      <w:r>
        <w:t xml:space="preserve">, legal entity code 304740061, address </w:t>
      </w:r>
      <w:proofErr w:type="spellStart"/>
      <w:r>
        <w:t>Giedraičių</w:t>
      </w:r>
      <w:proofErr w:type="spellEnd"/>
      <w:r>
        <w:t xml:space="preserve"> </w:t>
      </w:r>
      <w:r w:rsidR="00347711">
        <w:t>str</w:t>
      </w:r>
      <w:r>
        <w:t xml:space="preserve">. 41, LT-09303 Vilnius, Lithuania (hereinafter – the </w:t>
      </w:r>
      <w:r w:rsidR="00347711">
        <w:t>Contracting Authority</w:t>
      </w:r>
      <w:r>
        <w:t xml:space="preserve">), in carrying out this public procurement, intends to acquire the procurement object specified in Annex 1 to the procurement conditions “Technical </w:t>
      </w:r>
      <w:r w:rsidR="00347711">
        <w:t xml:space="preserve">Specification </w:t>
      </w:r>
      <w:r>
        <w:t xml:space="preserve">for </w:t>
      </w:r>
      <w:r w:rsidR="00347711">
        <w:t>Ballistic Helmets</w:t>
      </w:r>
      <w:r>
        <w:t>”.</w:t>
      </w:r>
      <w:r>
        <w:tab/>
      </w:r>
      <w:r>
        <w:br/>
      </w:r>
      <w:r>
        <w:tab/>
        <w:t xml:space="preserve">1.2. The </w:t>
      </w:r>
      <w:r w:rsidR="00347711" w:rsidRPr="00347711">
        <w:t>Contracting Authority</w:t>
      </w:r>
      <w:r>
        <w:t xml:space="preserve"> is a value added tax (hereinafter – VAT) payer.</w:t>
      </w:r>
      <w:r>
        <w:tab/>
      </w:r>
      <w:r>
        <w:br/>
      </w:r>
      <w:r>
        <w:tab/>
        <w:t xml:space="preserve">1.3. The procurement is carried out in accordance with the Law on Public Procurement in the </w:t>
      </w:r>
      <w:proofErr w:type="spellStart"/>
      <w:r>
        <w:t>Defence</w:t>
      </w:r>
      <w:proofErr w:type="spellEnd"/>
      <w:r>
        <w:t xml:space="preserve"> and Security Sector (hereinafter – the Law), other legal acts regulating public procurement in the </w:t>
      </w:r>
      <w:proofErr w:type="spellStart"/>
      <w:r>
        <w:t>defence</w:t>
      </w:r>
      <w:proofErr w:type="spellEnd"/>
      <w:r>
        <w:t xml:space="preserve"> and security sector, the Civil Code of the Republic of Lithuania, as well as these restricted tender procurement documents (hereinafter – the procurement documents).</w:t>
      </w:r>
      <w:r>
        <w:tab/>
      </w:r>
      <w:r>
        <w:br/>
      </w:r>
      <w:r>
        <w:tab/>
        <w:t>1.4. The terms used in the procurement documents shall be understood as defined in the Law and the Law on Public Procurement of the Republic of Lithuania.</w:t>
      </w:r>
      <w:r>
        <w:tab/>
      </w:r>
      <w:r>
        <w:br/>
      </w:r>
      <w:r>
        <w:tab/>
        <w:t>1.5. The procurement is carried out in compliance with the principles of equal treatment, non-discrimination, mutual recognition, proportionality and transparency.</w:t>
      </w:r>
      <w:r>
        <w:tab/>
      </w:r>
      <w:r>
        <w:br/>
      </w:r>
      <w:r>
        <w:tab/>
        <w:t>1.6. A prior information notice about the procurement has not been published.</w:t>
      </w:r>
      <w:r>
        <w:tab/>
      </w:r>
      <w:r>
        <w:br/>
      </w:r>
      <w:r>
        <w:tab/>
        <w:t>1.7. All procurement conditions are set out in the procurement documents, which consist of:</w:t>
      </w:r>
      <w:r>
        <w:tab/>
        <w:t>1.7.1. the procurement notice;</w:t>
      </w:r>
      <w:r>
        <w:tab/>
      </w:r>
      <w:r>
        <w:br/>
      </w:r>
      <w:r>
        <w:tab/>
        <w:t>1.7.2. the procurement documents (together with annexes);</w:t>
      </w:r>
      <w:r>
        <w:tab/>
      </w:r>
      <w:r>
        <w:br/>
      </w:r>
      <w:r>
        <w:tab/>
        <w:t>1.7.3. explanations (clarifications) of the procurement documents, as well as answers to suppliers’ questions (if any);</w:t>
      </w:r>
      <w:r>
        <w:tab/>
      </w:r>
      <w:r>
        <w:br/>
      </w:r>
      <w:r>
        <w:tab/>
        <w:t>1.7.4. other information provided by means of the Central Public Procurement Information System (hereinafter – CVP IS).</w:t>
      </w:r>
      <w:r>
        <w:tab/>
      </w:r>
      <w:r>
        <w:br/>
      </w:r>
      <w:r>
        <w:tab/>
        <w:t xml:space="preserve">1.8. Communication and exchange of information between the </w:t>
      </w:r>
      <w:r w:rsidR="00347711" w:rsidRPr="00347711">
        <w:t>Contracting Authority</w:t>
      </w:r>
      <w:r>
        <w:t xml:space="preserve"> and suppliers in carrying out this procurement shall take place using the means of the CVP IS in Lithuanian or English.</w:t>
      </w:r>
      <w:r>
        <w:tab/>
      </w:r>
      <w:r>
        <w:br/>
      </w:r>
      <w:r>
        <w:tab/>
      </w:r>
      <w:r>
        <w:rPr>
          <w:b/>
        </w:rPr>
        <w:t xml:space="preserve">1.9. </w:t>
      </w:r>
      <w:r>
        <w:rPr>
          <w:rFonts w:eastAsia="Times New Roman"/>
          <w:b/>
          <w:bdr w:val="none" w:sz="0" w:space="0" w:color="auto"/>
        </w:rPr>
        <w:t xml:space="preserve">In this procurement, the </w:t>
      </w:r>
      <w:r w:rsidR="00347711" w:rsidRPr="00347711">
        <w:rPr>
          <w:rFonts w:eastAsia="Times New Roman"/>
          <w:b/>
          <w:bdr w:val="none" w:sz="0" w:space="0" w:color="auto"/>
        </w:rPr>
        <w:t>Contracting Authority</w:t>
      </w:r>
      <w:r>
        <w:rPr>
          <w:rFonts w:eastAsia="Times New Roman"/>
          <w:b/>
          <w:bdr w:val="none" w:sz="0" w:space="0" w:color="auto"/>
        </w:rPr>
        <w:t xml:space="preserve"> does not allow participation of suppliers (legal entities)/subcontractors, economic operators on whose capacities the procurement participant relies, who are not registered (if the supplier is a natural person – not permanently residing or not holding citizenship) in a Member State of the European Union, a NATO Member State </w:t>
      </w:r>
    </w:p>
    <w:p w14:paraId="66F0F692" w14:textId="0049F796" w:rsidR="003A1558" w:rsidRDefault="00CB515B">
      <w:pPr>
        <w:pStyle w:val="P68B1DB1-Normal4"/>
        <w:ind w:firstLine="567"/>
        <w:jc w:val="both"/>
        <w:rPr>
          <w:rFonts w:eastAsia="Times New Roman"/>
          <w:bdr w:val="none" w:sz="0" w:space="0" w:color="auto"/>
        </w:rPr>
      </w:pPr>
      <w:r>
        <w:lastRenderedPageBreak/>
        <w:t xml:space="preserve">1.10. Pursuant to Article 44(3) of the Law, the </w:t>
      </w:r>
      <w:r w:rsidR="00347711" w:rsidRPr="00347711">
        <w:t>Contracting Authority</w:t>
      </w:r>
      <w:r>
        <w:t xml:space="preserve"> establishes in this procurement a prohibition on offering goods that are manufactured in the states or territories listed in the list provided for in Article 92(14) of the Law on Public Procurement.</w:t>
      </w:r>
    </w:p>
    <w:p w14:paraId="12AEE43E" w14:textId="30ABF782" w:rsidR="003A1558" w:rsidRDefault="00CB515B">
      <w:pPr>
        <w:pStyle w:val="P68B1DB1-Body25"/>
        <w:spacing w:after="0"/>
        <w:ind w:firstLine="567"/>
      </w:pPr>
      <w:r>
        <w:rPr>
          <w:rFonts w:eastAsia="Times New Roman"/>
          <w:bdr w:val="none" w:sz="0" w:space="0" w:color="auto"/>
        </w:rPr>
        <w:t xml:space="preserve">1.11. </w:t>
      </w:r>
      <w:r>
        <w:t xml:space="preserve">The authorized representative of the </w:t>
      </w:r>
      <w:r w:rsidR="00347711" w:rsidRPr="00347711">
        <w:t>Contracting Authority</w:t>
      </w:r>
      <w:r>
        <w:t xml:space="preserve"> responsible for maintaining direct contact with suppliers is Ramunė Skliaustienė, e-mail </w:t>
      </w:r>
      <w:proofErr w:type="spellStart"/>
      <w:r>
        <w:t>ramune.skliaustiene@kam.lt</w:t>
      </w:r>
      <w:proofErr w:type="spellEnd"/>
      <w:r>
        <w:t xml:space="preserve">, the deputy person – Olga Glebova, e-mail </w:t>
      </w:r>
      <w:proofErr w:type="spellStart"/>
      <w:r>
        <w:t>olga.glebova@kam.lt</w:t>
      </w:r>
      <w:proofErr w:type="spellEnd"/>
      <w:r>
        <w:t>.</w:t>
      </w:r>
    </w:p>
    <w:p w14:paraId="3C4C109A" w14:textId="45A819F4" w:rsidR="003A1558" w:rsidRDefault="00CB515B">
      <w:pPr>
        <w:pStyle w:val="P68B1DB1-Body25"/>
        <w:spacing w:after="0"/>
        <w:ind w:firstLine="567"/>
      </w:pPr>
      <w:r>
        <w:t xml:space="preserve">1.12. For questions related to the specifics of the operation of the CVP IS system, contact – </w:t>
      </w:r>
      <w:proofErr w:type="spellStart"/>
      <w:r>
        <w:t>pagalba@vpt.lt</w:t>
      </w:r>
      <w:proofErr w:type="spellEnd"/>
      <w:r>
        <w:t>.</w:t>
      </w:r>
      <w:r>
        <w:tab/>
      </w:r>
      <w:r>
        <w:br/>
      </w:r>
      <w:r>
        <w:tab/>
      </w:r>
    </w:p>
    <w:p w14:paraId="74B38494" w14:textId="6E292A63" w:rsidR="003A1558" w:rsidRDefault="00CB515B">
      <w:pPr>
        <w:pStyle w:val="P68B1DB1-Body25"/>
        <w:spacing w:after="0"/>
        <w:ind w:firstLine="567"/>
      </w:pPr>
      <w:r>
        <w:tab/>
        <w:t>2. SUBJECT OF THE PROCUREMENT</w:t>
      </w:r>
    </w:p>
    <w:p w14:paraId="6B9EDA8B" w14:textId="77777777" w:rsidR="003A1558" w:rsidRDefault="003A1558">
      <w:pPr>
        <w:pStyle w:val="Body2"/>
        <w:spacing w:after="0"/>
        <w:ind w:firstLine="567"/>
        <w:rPr>
          <w:sz w:val="24"/>
          <w:szCs w:val="24"/>
        </w:rPr>
      </w:pPr>
    </w:p>
    <w:p w14:paraId="1B333410" w14:textId="5CE15737" w:rsidR="003A1558" w:rsidRDefault="00CB515B">
      <w:pPr>
        <w:pStyle w:val="P68B1DB1-Body25"/>
        <w:spacing w:after="0"/>
        <w:ind w:firstLine="567"/>
        <w:rPr>
          <w:rFonts w:cs="Times New Roman"/>
        </w:rPr>
      </w:pPr>
      <w:r>
        <w:t xml:space="preserve">2.1. The subject of this procurement – </w:t>
      </w:r>
      <w:r>
        <w:rPr>
          <w:b/>
        </w:rPr>
        <w:t>ballistic helmets</w:t>
      </w:r>
      <w:r>
        <w:t xml:space="preserve"> (hereinafter – the goods).</w:t>
      </w:r>
    </w:p>
    <w:p w14:paraId="6A5BA50C" w14:textId="03EEE6C5" w:rsidR="003A1558" w:rsidRDefault="00CB515B">
      <w:pPr>
        <w:pStyle w:val="P68B1DB1-Body25"/>
        <w:spacing w:after="0"/>
        <w:ind w:firstLine="567"/>
        <w:rPr>
          <w:rFonts w:cs="Times New Roman"/>
        </w:rPr>
      </w:pPr>
      <w:r>
        <w:t>2.2. This procurement is not divided into lots. Suppliers must offer the entire scope of the subject of the procurement specified in Annex 5 to the procurement conditions “Tender Form” (hereinafter – Annex 5).</w:t>
      </w:r>
    </w:p>
    <w:p w14:paraId="7C34CE9E" w14:textId="35A4100E" w:rsidR="003A1558" w:rsidRDefault="00CB515B">
      <w:pPr>
        <w:ind w:firstLine="567"/>
        <w:jc w:val="both"/>
      </w:pPr>
      <w:r>
        <w:tab/>
        <w:t>2.3. The characteristics of the goods are described in Annex 1 “</w:t>
      </w:r>
      <w:r w:rsidRPr="00CB515B">
        <w:t>Technical Specification for Ballistic Helmets</w:t>
      </w:r>
      <w:r>
        <w:t>”.</w:t>
      </w:r>
    </w:p>
    <w:p w14:paraId="791168AE" w14:textId="7208CA7D" w:rsidR="003A1558" w:rsidRDefault="00CB515B">
      <w:pPr>
        <w:ind w:firstLine="567"/>
        <w:jc w:val="both"/>
      </w:pPr>
      <w:r>
        <w:t xml:space="preserve">2.4. The quantities of Goods planned to be purchased by the </w:t>
      </w:r>
      <w:r w:rsidR="00347711" w:rsidRPr="00347711">
        <w:t>Contracting Authority</w:t>
      </w:r>
      <w:r>
        <w:t xml:space="preserve"> during the entire term of the contract (36 months): </w:t>
      </w:r>
      <w:r>
        <w:rPr>
          <w:b/>
        </w:rPr>
        <w:t>minimum quantity – 10,635</w:t>
      </w:r>
      <w:r>
        <w:t xml:space="preserve"> (ten thousand six hundred thirty-five) units, </w:t>
      </w:r>
      <w:r>
        <w:rPr>
          <w:b/>
        </w:rPr>
        <w:t>maximum quantity – 13,825</w:t>
      </w:r>
      <w:r>
        <w:t xml:space="preserve"> (thirteen thousand eight hundred twenty-five) units.</w:t>
      </w:r>
    </w:p>
    <w:p w14:paraId="7B865BF6" w14:textId="564D22B5" w:rsidR="00347711" w:rsidRDefault="00CB515B">
      <w:pPr>
        <w:ind w:firstLine="709"/>
        <w:jc w:val="both"/>
      </w:pPr>
      <w:r>
        <w:t xml:space="preserve">2.5. The Goods are delivered to Lithuanian Armed Forces warehouses in Lithuania, in accordance </w:t>
      </w:r>
      <w:proofErr w:type="gramStart"/>
      <w:r>
        <w:t xml:space="preserve">with </w:t>
      </w:r>
      <w:r>
        <w:rPr>
          <w:rFonts w:eastAsia="Times New Roman"/>
          <w:bdr w:val="none" w:sz="0" w:space="0" w:color="auto"/>
        </w:rPr>
        <w:t xml:space="preserve"> </w:t>
      </w:r>
      <w:r>
        <w:t>terms</w:t>
      </w:r>
      <w:proofErr w:type="gramEnd"/>
      <w:r>
        <w:t xml:space="preserve"> under INCOTERMS 2020 DDP.</w:t>
      </w:r>
      <w:r>
        <w:tab/>
      </w:r>
      <w:r>
        <w:br/>
      </w:r>
      <w:r>
        <w:tab/>
        <w:t>2.6. Suppliers are not permitted to submit alternative tenders. If a supplier submits an alternative tender, its tender and the alternative tender (alternative tenders) will be rejected.</w:t>
      </w:r>
      <w:r>
        <w:tab/>
      </w:r>
      <w:r>
        <w:br/>
      </w:r>
      <w:r>
        <w:tab/>
        <w:t xml:space="preserve">2.7. If a specific model or supply source, standard, specific process or trademark, patent, types, specific origin or production is indicated in the procurement documents, this also includes equivalent products or processes (i.e., the supplier may also offer relevant equivalent products or processes), regardless of whether the note “or equivalent” is included (the condition does not apply if a specific model or supply source, standard, specific process or trademark, patent, types, specific origin or production is indicated when defining the products owned by the </w:t>
      </w:r>
      <w:r w:rsidR="00347711" w:rsidRPr="00347711">
        <w:t>Contracting Authority</w:t>
      </w:r>
      <w:r>
        <w:t xml:space="preserve"> or partners or existing processes). Proof of equivalence is the supplier’s responsibility.</w:t>
      </w:r>
      <w:r>
        <w:tab/>
      </w:r>
      <w:r>
        <w:br/>
      </w:r>
      <w:r>
        <w:tab/>
      </w:r>
      <w:r>
        <w:br/>
      </w:r>
      <w:r>
        <w:tab/>
        <w:t>3. SUBMISSION OF APPLICATIONS</w:t>
      </w:r>
      <w:r>
        <w:tab/>
      </w:r>
      <w:r>
        <w:br/>
      </w:r>
      <w:r>
        <w:tab/>
      </w:r>
      <w:r>
        <w:br/>
      </w:r>
      <w:r>
        <w:tab/>
        <w:t>3.1. Suppliers prepare and submit applications to participate in the restricted tender. The application must include:</w:t>
      </w:r>
      <w:r>
        <w:tab/>
      </w:r>
    </w:p>
    <w:p w14:paraId="6DB3D232" w14:textId="10C89EF2" w:rsidR="003A1558" w:rsidRDefault="00CB515B">
      <w:pPr>
        <w:ind w:firstLine="709"/>
        <w:jc w:val="both"/>
        <w:rPr>
          <w:b/>
        </w:rPr>
      </w:pPr>
      <w:r>
        <w:rPr>
          <w:b/>
        </w:rPr>
        <w:t>3.1.1. an authorization or another document (e.g., a job description) granting the right to sign the supplier’s application when the application is signed with an electronic signature not by the head of the legal entity but by a person authorized by him/her;</w:t>
      </w:r>
    </w:p>
    <w:p w14:paraId="7F79C9D2" w14:textId="77777777" w:rsidR="003A1558" w:rsidRDefault="00CB515B">
      <w:pPr>
        <w:pStyle w:val="P68B1DB1-Normal4"/>
        <w:ind w:firstLine="709"/>
        <w:jc w:val="both"/>
      </w:pPr>
      <w:r>
        <w:tab/>
        <w:t>3.1.2. a completed application in accordance with the application form set out in Annex 2 to the procurement conditions “Application Form”;</w:t>
      </w:r>
    </w:p>
    <w:p w14:paraId="74CA96B6" w14:textId="5E796AB5" w:rsidR="003A1558" w:rsidRDefault="00CB515B">
      <w:pPr>
        <w:ind w:firstLine="709"/>
        <w:jc w:val="both"/>
        <w:rPr>
          <w:b/>
        </w:rPr>
      </w:pPr>
      <w:r>
        <w:rPr>
          <w:b/>
        </w:rPr>
        <w:tab/>
        <w:t>3.1.3. supporting documents substantiating the absence of the grounds for exclusion and restriction of suppliers’ participation in the procurement and the qualification requirements set out in Annex 3 to the procurement conditions “</w:t>
      </w:r>
      <w:r w:rsidRPr="00CB515B">
        <w:rPr>
          <w:b/>
          <w:color w:val="000000" w:themeColor="text1"/>
        </w:rPr>
        <w:t>Conditions under Which Participation Is Prohibited or Restricted and Qualification Requirements</w:t>
      </w:r>
      <w:r>
        <w:rPr>
          <w:b/>
        </w:rPr>
        <w:t>” (hereinafter – Annex 3);</w:t>
      </w:r>
      <w:r>
        <w:tab/>
      </w:r>
    </w:p>
    <w:p w14:paraId="6076D9FD" w14:textId="221F54D5" w:rsidR="003A1558" w:rsidRDefault="00CB515B">
      <w:pPr>
        <w:pStyle w:val="P68B1DB1-Normal4"/>
        <w:ind w:firstLine="709"/>
        <w:jc w:val="both"/>
      </w:pPr>
      <w:r>
        <w:t xml:space="preserve">3.1.4. the completed Annex 4 to the procurement conditions “Declaration of </w:t>
      </w:r>
      <w:r w:rsidR="00347711">
        <w:t xml:space="preserve">Compliance </w:t>
      </w:r>
      <w:r>
        <w:t xml:space="preserve">with </w:t>
      </w:r>
      <w:r w:rsidR="00347711">
        <w:t>National Security Requirements</w:t>
      </w:r>
      <w:r>
        <w:t>” (hereinafter – Annex 4). If doubts arise as to the supplier’s (non-)compliance with national security provisions, the Contracting Authority will request documents proving the correctness of the data provided in the declaration;</w:t>
      </w:r>
    </w:p>
    <w:p w14:paraId="0F623CC4" w14:textId="7A355654" w:rsidR="003A1558" w:rsidRDefault="00CB515B">
      <w:pPr>
        <w:ind w:firstLine="709"/>
        <w:jc w:val="both"/>
      </w:pPr>
      <w:r>
        <w:rPr>
          <w:b/>
        </w:rPr>
        <w:t>3.1.5. a joint activity agreement, if a group of economic operators participates.</w:t>
      </w:r>
      <w:r>
        <w:tab/>
      </w:r>
    </w:p>
    <w:p w14:paraId="4E3049F4" w14:textId="4332E04B" w:rsidR="003A1558" w:rsidRDefault="00CB515B">
      <w:pPr>
        <w:ind w:firstLine="709"/>
        <w:jc w:val="both"/>
      </w:pPr>
      <w:r>
        <w:lastRenderedPageBreak/>
        <w:tab/>
        <w:t xml:space="preserve">3.2. The application must be submitted by electronic means using the CVP IS, accessible at </w:t>
      </w:r>
      <w:hyperlink r:id="rId7" w:history="1">
        <w:r>
          <w:rPr>
            <w:rStyle w:val="Hyperlink"/>
          </w:rPr>
          <w:t>https://viesiejipirkimai.lt/</w:t>
        </w:r>
      </w:hyperlink>
      <w:r>
        <w:t>, by the end of the deadline indicated in the procurement notice. Applications received late will not be accepted. The Contracting Authority has the right to extend the deadline for the submission of applications. The Contracting Authority shall announce the new deadline for the submission of applications in accordance with the procedure established by the Law and shall notify in writing all suppliers participating in the procurement.</w:t>
      </w:r>
      <w:r>
        <w:tab/>
      </w:r>
      <w:r>
        <w:br/>
      </w:r>
      <w:r>
        <w:tab/>
        <w:t>3.3. Applications submitted through the CVP IS will be reviewed at a meeting of the Public Procurement Commission (hereinafter – the Commission). Suppliers or their representatives do not participate in the procedure of reviewing the submitted applications.</w:t>
      </w:r>
    </w:p>
    <w:p w14:paraId="1E70864B" w14:textId="77777777" w:rsidR="003A1558" w:rsidRDefault="00CB515B">
      <w:pPr>
        <w:ind w:firstLine="567"/>
        <w:jc w:val="both"/>
      </w:pPr>
      <w:r>
        <w:t xml:space="preserve">3.4. The application must be signed by the supplier or its </w:t>
      </w:r>
      <w:proofErr w:type="spellStart"/>
      <w:r>
        <w:t>authorised</w:t>
      </w:r>
      <w:proofErr w:type="spellEnd"/>
      <w:r>
        <w:t xml:space="preserve"> person with a qualified electronic signature meeting the requirements of Regulation (EU) No 910/2014 of the European Parliament and of the Council of 23 July 2014 on electronic identification and trust services for electronic transactions in the internal market and repealing Directive 1999/93/EC (OJ 2014 L 273, p. 73).</w:t>
      </w:r>
    </w:p>
    <w:p w14:paraId="2BF18354" w14:textId="71770330" w:rsidR="003A1558" w:rsidRDefault="00CB515B">
      <w:pPr>
        <w:ind w:firstLine="567"/>
        <w:jc w:val="both"/>
        <w:rPr>
          <w:b/>
          <w:bCs/>
        </w:rPr>
      </w:pPr>
      <w:r>
        <w:tab/>
        <w:t xml:space="preserve">3.5. All documents confirming that suppliers’ qualifications comply with the qualification requirements set out in the procurement documents, and other documents to be submitted, must be provided in electronic form, i.e. digital copies of the documents must be submitted. The submitted documents or their digital copies must be accessible using commonly available file formats (e.g. jpg, doc, pdf, etc.). </w:t>
      </w:r>
      <w:r>
        <w:rPr>
          <w:b/>
        </w:rPr>
        <w:t xml:space="preserve">The Contracting Authority reserves the right to request the originals of documents. </w:t>
      </w:r>
      <w:r>
        <w:t xml:space="preserve">When uploading files to the CVP IS, we recommend using file compression programs (zip, 7-zip, </w:t>
      </w:r>
      <w:proofErr w:type="spellStart"/>
      <w:r>
        <w:t>rar</w:t>
      </w:r>
      <w:proofErr w:type="spellEnd"/>
      <w:r>
        <w:t>).</w:t>
      </w:r>
      <w:r>
        <w:tab/>
      </w:r>
      <w:r>
        <w:br/>
      </w:r>
      <w:r>
        <w:tab/>
        <w:t>3.6. An application submitted by means other than the CVP IS will not be examined and it will be deemed that the procurement candidate did not submit an application for procurement.</w:t>
      </w:r>
      <w:r>
        <w:tab/>
      </w:r>
      <w:r>
        <w:br/>
      </w:r>
      <w:r>
        <w:tab/>
        <w:t xml:space="preserve">3.7. </w:t>
      </w:r>
      <w:r>
        <w:rPr>
          <w:b/>
        </w:rPr>
        <w:t xml:space="preserve">The application and other documents shall be submitted in Lithuanian or English. </w:t>
      </w:r>
      <w:r>
        <w:t xml:space="preserve">If the relevant documents are issued in a language other than those indicated, a duly certified translation into Lithuanian or English must be provided, certified by the translator’s signature and the translation office stamp (if any) or translated by the supplier itself (certified by the signature and stamp (if any) of the supplier or its </w:t>
      </w:r>
      <w:proofErr w:type="spellStart"/>
      <w:r>
        <w:t>authorised</w:t>
      </w:r>
      <w:proofErr w:type="spellEnd"/>
      <w:r>
        <w:t xml:space="preserve"> person).</w:t>
      </w:r>
      <w:r>
        <w:tab/>
      </w:r>
      <w:r>
        <w:br/>
      </w:r>
      <w:r>
        <w:tab/>
        <w:t>3.8. The Contracting Authority reserves the right to request the originals of documents.</w:t>
      </w:r>
      <w:r>
        <w:tab/>
      </w:r>
      <w:r>
        <w:br/>
      </w:r>
      <w:r>
        <w:tab/>
      </w:r>
      <w:r>
        <w:br/>
      </w:r>
      <w:r>
        <w:tab/>
        <w:t>4. REQUIRED QUALIFICATION</w:t>
      </w:r>
      <w:r>
        <w:tab/>
      </w:r>
      <w:r>
        <w:br/>
      </w:r>
      <w:r>
        <w:tab/>
      </w:r>
      <w:r>
        <w:br/>
      </w:r>
      <w:r>
        <w:tab/>
        <w:t>4.1. A supplier participating in the procurement must meet the qualification requirements set out in Annex 3 to the procurement conditions.</w:t>
      </w:r>
      <w:r>
        <w:rPr>
          <w:color w:val="FF0000"/>
        </w:rPr>
        <w:tab/>
      </w:r>
      <w:r>
        <w:rPr>
          <w:color w:val="FF0000"/>
        </w:rPr>
        <w:br/>
      </w:r>
      <w:r>
        <w:tab/>
        <w:t>4.2. The supplier may rely on the economic, financial, technical and professional capacities of other economic operators, regardless of the legal nature of its links with them. In this case, the candidate or tenderer must prove to the Contracting Authority that those resources will be available to it for the performance of the contract. Such proof may be contracts or letters of intent, or other equivalent documents. Under the same conditions, a group of economic operators may rely on the capacities of the members of the group of economic operators or other economic operators.</w:t>
      </w:r>
      <w:r>
        <w:tab/>
      </w:r>
      <w:r>
        <w:br/>
      </w:r>
      <w:r>
        <w:tab/>
      </w:r>
      <w:r>
        <w:br/>
      </w:r>
      <w:r>
        <w:tab/>
        <w:t>5. PARTICIPATION OF GROUPS OF ECONOMIC OPERATORS IN PROCUREMENT PROCEDURES</w:t>
      </w:r>
      <w:r>
        <w:tab/>
      </w:r>
      <w:r>
        <w:br/>
      </w:r>
      <w:r>
        <w:tab/>
      </w:r>
      <w:r>
        <w:br/>
      </w:r>
      <w:r>
        <w:tab/>
        <w:t xml:space="preserve">5.1. If a group of economic operators participates in the procurement procedures, it shall submit a joint activity agreement or a duly certified copy thereof. The joint activity agreement must specify the obligations of each party to this agreement in performing the intended procurement contract to be concluded with the Contracting Authority, the share of the value of these obligations expressed as a percentage included in the total value of the procurement contract. The joint activity agreement must provide for the joint and several liability of all parties to this agreement for non-performance of obligations to the Contracting Authority. The joint activity agreement must also specify which person represents the group of economic operators (with whom the Contracting Authority should communicate </w:t>
      </w:r>
      <w:r>
        <w:lastRenderedPageBreak/>
        <w:t>regarding issues arising during the evaluation of the tender and provide information related to the evaluation of the tender).</w:t>
      </w:r>
      <w:r>
        <w:tab/>
      </w:r>
      <w:r>
        <w:br/>
      </w:r>
      <w:r>
        <w:tab/>
        <w:t xml:space="preserve">5.2. The Contracting Authority does not require that, after the tender submitted by the group of economic operators has been </w:t>
      </w:r>
      <w:proofErr w:type="spellStart"/>
      <w:r>
        <w:t>recognised</w:t>
      </w:r>
      <w:proofErr w:type="spellEnd"/>
      <w:r>
        <w:t xml:space="preserve"> as the best and the Contracting Authority has proposed to conclude the procurement contract, this group of economic operators acquire a specific legal form.</w:t>
      </w:r>
      <w:r>
        <w:tab/>
      </w:r>
      <w:r>
        <w:br/>
      </w:r>
      <w:r>
        <w:tab/>
        <w:t>6. PARTICIPATION OF SUBCONTRACTORS IN PROCUREMENT PROCEDURES</w:t>
      </w:r>
      <w:r>
        <w:tab/>
      </w:r>
      <w:r>
        <w:br/>
      </w:r>
      <w:r>
        <w:tab/>
      </w:r>
      <w:r>
        <w:br/>
      </w:r>
      <w:r>
        <w:tab/>
        <w:t>6.1. In the application, the supplier shall indicate which subcontractors and for which part of the procurement contract it intends to engage for the performance of the subcontracting contract.</w:t>
      </w:r>
      <w:r>
        <w:tab/>
      </w:r>
      <w:r>
        <w:br/>
      </w:r>
      <w:r>
        <w:tab/>
        <w:t>6.2. In the application, the supplier shall indicate a commitment to notify the Contracting Authority of any change of subcontractors during the performance of the procurement contract. During the period of performance of the procurement contract, the supplier may change subcontractors only with the consent of the Contracting Authority.</w:t>
      </w:r>
      <w:r>
        <w:tab/>
      </w:r>
      <w:r>
        <w:br/>
      </w:r>
      <w:r>
        <w:tab/>
      </w:r>
      <w:r>
        <w:br/>
      </w:r>
      <w:r>
        <w:tab/>
        <w:t>7. ASSESSMENT OF SUPPLIERS’ QUALIFICATIONS AND GROUNDS FOR REJECTION OF APPLICATIONS</w:t>
      </w:r>
      <w:r>
        <w:tab/>
      </w:r>
      <w:r>
        <w:br/>
      </w:r>
      <w:r>
        <w:tab/>
        <w:t>7.1. The Contracting Authority verifies whether the supplier that submitted the application is not subject to the grounds for exclusion and restriction of suppliers’ participation in the procurement and whether the supplier meets the qualification requirements set out in Annex 3. If the Contracting Authority considers that the supplier has provided inaccurate or incomplete data on its qualifications, it requests the supplier to supplement or clarify these data within a reasonable period.</w:t>
      </w:r>
      <w:r>
        <w:tab/>
      </w:r>
      <w:r>
        <w:br/>
      </w:r>
      <w:r>
        <w:tab/>
      </w:r>
      <w:r>
        <w:rPr>
          <w:b/>
        </w:rPr>
        <w:t>7.2. The supplier’s application is rejected and it is not invited to submit a tender when:</w:t>
      </w:r>
      <w:r>
        <w:tab/>
      </w:r>
      <w:r>
        <w:rPr>
          <w:b/>
        </w:rPr>
        <w:t xml:space="preserve">7.2.1. the supplier that submitted the application meets at least one ground prohibiting and restricting suppliers’ participation in the procurement or the supplier that submitted the application does not meet the qualification requirements set out in Annex 3, or, at the request of the Contracting Authority, did not </w:t>
      </w:r>
      <w:r w:rsidR="00C974CA">
        <w:rPr>
          <w:b/>
        </w:rPr>
        <w:t>clar</w:t>
      </w:r>
      <w:r>
        <w:rPr>
          <w:b/>
        </w:rPr>
        <w:t>ify the provided inaccurate or incomplete data on its qualifications or on the absence of the grounds prohibiting and restricting suppliers’ participation in the procurement;</w:t>
      </w:r>
      <w:r>
        <w:tab/>
      </w:r>
      <w:r>
        <w:br/>
      </w:r>
      <w:r>
        <w:rPr>
          <w:b/>
        </w:rPr>
        <w:tab/>
        <w:t>7.2.2. the application does not comply with the requirements set out in the procurement documents;</w:t>
      </w:r>
      <w:r>
        <w:tab/>
      </w:r>
      <w:r>
        <w:br/>
      </w:r>
      <w:r>
        <w:rPr>
          <w:b/>
        </w:rPr>
        <w:tab/>
        <w:t>7.2.3. there is evidence confirming that the supplier is not reliable and poses a threat to national security or the security of another Member State;</w:t>
      </w:r>
      <w:r>
        <w:tab/>
      </w:r>
      <w:r>
        <w:br/>
      </w:r>
      <w:r>
        <w:rPr>
          <w:b/>
        </w:rPr>
        <w:tab/>
        <w:t xml:space="preserve">7.2.4. the supplier, within the specified time limit, as indicated in Article </w:t>
      </w:r>
      <w:r>
        <w:rPr>
          <w:b/>
          <w:color w:val="000000" w:themeColor="text1"/>
        </w:rPr>
        <w:t xml:space="preserve">28(4) of the </w:t>
      </w:r>
      <w:proofErr w:type="gramStart"/>
      <w:r>
        <w:rPr>
          <w:b/>
          <w:color w:val="000000" w:themeColor="text1"/>
        </w:rPr>
        <w:t xml:space="preserve">Law, </w:t>
      </w:r>
      <w:r>
        <w:rPr>
          <w:b/>
        </w:rPr>
        <w:t xml:space="preserve"> did</w:t>
      </w:r>
      <w:proofErr w:type="gramEnd"/>
      <w:r>
        <w:rPr>
          <w:b/>
        </w:rPr>
        <w:t xml:space="preserve"> not clarify, supplement or submit the documents indicated in the procurement documents to be submitted together with the application;</w:t>
      </w:r>
    </w:p>
    <w:p w14:paraId="52908DFF" w14:textId="77777777" w:rsidR="003A1558" w:rsidRDefault="00CB515B">
      <w:pPr>
        <w:pStyle w:val="P68B1DB1-Normal4"/>
        <w:ind w:firstLine="567"/>
        <w:jc w:val="both"/>
        <w:rPr>
          <w:bCs/>
        </w:rPr>
      </w:pPr>
      <w:r>
        <w:t>7.2.5. the candidate does not meet the requirements specified in Clause 1.9 of the tender conditions;</w:t>
      </w:r>
    </w:p>
    <w:p w14:paraId="1F8405D9" w14:textId="77777777" w:rsidR="003A1558" w:rsidRDefault="00CB515B">
      <w:pPr>
        <w:pStyle w:val="P68B1DB1-Normal4"/>
        <w:ind w:firstLine="567"/>
        <w:jc w:val="both"/>
        <w:rPr>
          <w:bCs/>
        </w:rPr>
      </w:pPr>
      <w:r>
        <w:tab/>
        <w:t>7.2.6. the application is submitted not by means of the CVP IS;</w:t>
      </w:r>
    </w:p>
    <w:p w14:paraId="74CF02E7" w14:textId="27064194" w:rsidR="003A1558" w:rsidRDefault="00CB515B">
      <w:pPr>
        <w:ind w:firstLine="567"/>
        <w:jc w:val="both"/>
        <w:rPr>
          <w:b/>
          <w:bCs/>
        </w:rPr>
      </w:pPr>
      <w:r>
        <w:tab/>
      </w:r>
      <w:r>
        <w:rPr>
          <w:b/>
        </w:rPr>
        <w:t xml:space="preserve">7.2.7. when the competent authorities provide information that the supplier, its subcontractor or manufacturer (including its management bodies, shareholders, the characteristics of the services provided, the equipment) poses a threat to national security or the security of another Member State, or has a conflict of interest that may adversely affect the performance of the procurement contract and thus pose a threat to national security. In all cases, the </w:t>
      </w:r>
      <w:r w:rsidR="00347711" w:rsidRPr="00347711">
        <w:rPr>
          <w:b/>
        </w:rPr>
        <w:t>Contracting Authority</w:t>
      </w:r>
      <w:r>
        <w:rPr>
          <w:b/>
        </w:rPr>
        <w:t xml:space="preserve"> may consider that the supplier poses a threat to national security or the security of another Member State if it receives confirming information provided by the competent authorities;</w:t>
      </w:r>
    </w:p>
    <w:p w14:paraId="6AEBC499" w14:textId="77777777" w:rsidR="00347711" w:rsidRDefault="00CB515B">
      <w:pPr>
        <w:ind w:firstLine="567"/>
        <w:jc w:val="both"/>
        <w:rPr>
          <w:b/>
        </w:rPr>
      </w:pPr>
      <w:r>
        <w:rPr>
          <w:b/>
        </w:rPr>
        <w:t xml:space="preserve"> 7.2.8. the supplier does not submit the documents or information requested in Clause 7.4 of the Procurement Conditions.</w:t>
      </w:r>
    </w:p>
    <w:p w14:paraId="07882409" w14:textId="668C30FE" w:rsidR="003A1558" w:rsidRDefault="00CB515B">
      <w:pPr>
        <w:ind w:firstLine="567"/>
        <w:jc w:val="both"/>
      </w:pPr>
      <w:r>
        <w:lastRenderedPageBreak/>
        <w:tab/>
        <w:t xml:space="preserve">7.3. The </w:t>
      </w:r>
      <w:r w:rsidR="00347711" w:rsidRPr="00347711">
        <w:t>Contracting Authority</w:t>
      </w:r>
      <w:r>
        <w:t xml:space="preserve"> shall notify each interested candidate or tenderer in writing of the results of the qualification assessment no later than within 3 working days from the date of adoption of the decision, substantiating the decisions taken.</w:t>
      </w:r>
    </w:p>
    <w:p w14:paraId="2E4B62F0" w14:textId="36C11EF6" w:rsidR="003A1558" w:rsidRDefault="00CB515B">
      <w:pPr>
        <w:ind w:firstLine="567"/>
        <w:jc w:val="both"/>
      </w:pPr>
      <w:r>
        <w:tab/>
        <w:t xml:space="preserve">7.4. Regarding the supplier’s (non-)compliance with national security provisions, the </w:t>
      </w:r>
      <w:r w:rsidR="00347711" w:rsidRPr="00347711">
        <w:t>Contracting Authority</w:t>
      </w:r>
      <w:r>
        <w:t xml:space="preserve"> may request submission of documents proving the correctness of the data provided in the supplier’s declaration of compliance with national security requirements (Annex 4 to the procurement conditions). For compliance with national security interests, the supplier shall be required to provide the documents and information necessary for such verification.</w:t>
      </w:r>
      <w:r>
        <w:br/>
      </w:r>
      <w:r>
        <w:tab/>
      </w:r>
      <w:r>
        <w:br/>
      </w:r>
      <w:r>
        <w:tab/>
        <w:t>8. INVITATION TO SUBMIT TENDERS</w:t>
      </w:r>
      <w:r>
        <w:tab/>
      </w:r>
      <w:r>
        <w:br/>
      </w:r>
      <w:r>
        <w:tab/>
      </w:r>
      <w:r>
        <w:br/>
      </w:r>
      <w:r>
        <w:tab/>
        <w:t>8.1. All candidates who have submitted applications in accordance with the requirements of Section 3 and who meet the established minimum qualification requirements will be invited to submit tenders.</w:t>
      </w:r>
      <w:r>
        <w:tab/>
      </w:r>
      <w:r>
        <w:br/>
      </w:r>
      <w:r>
        <w:tab/>
        <w:t>8.2. The deadline for submission of tenders will be specified in a separate invitation to submit a tender and set in the CVP IS.</w:t>
      </w:r>
      <w:r>
        <w:tab/>
      </w:r>
      <w:r>
        <w:br/>
      </w:r>
      <w:r>
        <w:tab/>
        <w:t xml:space="preserve">8.3. In the invitations to submit tenders, the </w:t>
      </w:r>
      <w:r w:rsidR="00347711" w:rsidRPr="00347711">
        <w:t>Contracting Authority</w:t>
      </w:r>
      <w:r>
        <w:t xml:space="preserve"> will indicate the information contained in paragraphs 5–8 of Article 21 of the Law.</w:t>
      </w:r>
      <w:r>
        <w:tab/>
      </w:r>
      <w:r>
        <w:br/>
      </w:r>
      <w:r>
        <w:tab/>
      </w:r>
      <w:r>
        <w:br/>
      </w:r>
      <w:r>
        <w:tab/>
        <w:t>9. PREPARATION, SUBMISSION, AMENDMENT OF TENDERS</w:t>
      </w:r>
      <w:r>
        <w:tab/>
      </w:r>
      <w:r>
        <w:br/>
      </w:r>
      <w:r>
        <w:tab/>
      </w:r>
      <w:r>
        <w:br/>
      </w:r>
      <w:r>
        <w:tab/>
        <w:t xml:space="preserve">9.1. By submitting a tender, the supplier agrees to the procurement documents and confirms that the information provided in its tender is correct and includes everything necessary for proper performance of the procurement contract. The supplier shall bear all costs related to the preparation and submission of the tender; the </w:t>
      </w:r>
      <w:r w:rsidR="00347711" w:rsidRPr="00347711">
        <w:t>Contracting Authority</w:t>
      </w:r>
      <w:r>
        <w:t xml:space="preserve"> is not responsible or liable for these costs. The </w:t>
      </w:r>
      <w:r w:rsidR="00347711" w:rsidRPr="00347711">
        <w:t>Contracting Authority</w:t>
      </w:r>
      <w:r>
        <w:t xml:space="preserve"> shall not reimburse or assume these costs, regardless of how the public procurement is conducted and concluded.</w:t>
      </w:r>
      <w:r>
        <w:tab/>
      </w:r>
      <w:r>
        <w:br/>
      </w:r>
      <w:r>
        <w:tab/>
        <w:t xml:space="preserve">9.2. </w:t>
      </w:r>
      <w:r>
        <w:rPr>
          <w:b/>
        </w:rPr>
        <w:t>The tender must be submitted by electronic means using the CVP IS. Tenders submitted on paper in envelopes will be returned unopened to the suppliers or returned by registered mail and will not be accepted or evaluated. If the supplier has submitted the same tender both in writing (paper form, in envelopes) and using the CVP IS, it shall be considered that the supplier has submitted more than one tender, and all its tenders shall be rejected.</w:t>
      </w:r>
      <w:r>
        <w:tab/>
      </w:r>
      <w:r>
        <w:br/>
      </w:r>
      <w:r>
        <w:tab/>
        <w:t xml:space="preserve">9.3. Tenders may be submitted by electronic means only by suppliers registered in the CVP IS (https://viesiejipirkimai.lt/). Registration in the CVP IS </w:t>
      </w:r>
      <w:proofErr w:type="spellStart"/>
      <w:r>
        <w:t>is</w:t>
      </w:r>
      <w:proofErr w:type="spellEnd"/>
      <w:r>
        <w:t xml:space="preserve"> free of charge.</w:t>
      </w:r>
      <w:r>
        <w:tab/>
      </w:r>
    </w:p>
    <w:p w14:paraId="4594CD60" w14:textId="6EE72A15" w:rsidR="003A1558" w:rsidRDefault="00CB515B">
      <w:pPr>
        <w:ind w:firstLine="567"/>
        <w:jc w:val="both"/>
        <w:rPr>
          <w:b/>
        </w:rPr>
      </w:pPr>
      <w:r>
        <w:t xml:space="preserve">9.4. The tender must be signed by the supplier or its </w:t>
      </w:r>
      <w:proofErr w:type="spellStart"/>
      <w:r>
        <w:t>authorised</w:t>
      </w:r>
      <w:proofErr w:type="spellEnd"/>
      <w:r>
        <w:t xml:space="preserve"> person with a qualified electronic signature meeting the requirements of Regulation (EU) No 910/2014 of the European Parliament and of the Council of 23 July 2014 on electronic identification and trust services for electronic transactions in the internal market and repealing Directive 1999/93/EC (OJ 2014 L 273, p. 73).</w:t>
      </w:r>
      <w:r>
        <w:tab/>
      </w:r>
      <w:r>
        <w:br/>
      </w:r>
      <w:r>
        <w:tab/>
        <w:t xml:space="preserve">9.5. </w:t>
      </w:r>
      <w:r>
        <w:rPr>
          <w:b/>
        </w:rPr>
        <w:t>The supplier’s tender and other documents shall be submitted in Lithuanian or English.</w:t>
      </w:r>
      <w:r>
        <w:t xml:space="preserve"> If the relevant documents are issued in another language, a duly certified translation into Lithuanian or English must be provided, certified by the translator’s signature and the translation office seal (if any), or translated by the supplier itself (certified by the signature and seal (if any) of the supplier or its </w:t>
      </w:r>
      <w:proofErr w:type="spellStart"/>
      <w:r>
        <w:t>authorised</w:t>
      </w:r>
      <w:proofErr w:type="spellEnd"/>
      <w:r>
        <w:t xml:space="preserve"> person).</w:t>
      </w:r>
      <w:r>
        <w:tab/>
      </w:r>
      <w:r>
        <w:br/>
      </w:r>
      <w:r>
        <w:tab/>
        <w:t xml:space="preserve">9.6. All documents must be submitted in electronic form, i.e., digital copies of documents must be provided. The submitted documents or digital copies of documents must be accessible using non-discriminatory, universally available file formats (e.g., pdf, jpg, doc, etc.). </w:t>
      </w:r>
      <w:r>
        <w:rPr>
          <w:b/>
        </w:rPr>
        <w:t xml:space="preserve">The </w:t>
      </w:r>
      <w:r w:rsidR="00347711" w:rsidRPr="00347711">
        <w:rPr>
          <w:b/>
        </w:rPr>
        <w:t>Contracting Authority</w:t>
      </w:r>
      <w:r>
        <w:rPr>
          <w:b/>
        </w:rPr>
        <w:t xml:space="preserve"> reserves the right to request the originals of documents.</w:t>
      </w:r>
      <w:r>
        <w:t xml:space="preserve"> When uploading files to the CVP IS, we recommend using file compression programs (zip, 7-zip, </w:t>
      </w:r>
      <w:proofErr w:type="spellStart"/>
      <w:r>
        <w:t>rar</w:t>
      </w:r>
      <w:proofErr w:type="spellEnd"/>
      <w:r>
        <w:t>).</w:t>
      </w:r>
      <w:r>
        <w:tab/>
      </w:r>
      <w:r>
        <w:br/>
      </w:r>
      <w:r>
        <w:tab/>
        <w:t xml:space="preserve">9.7. </w:t>
      </w:r>
      <w:r>
        <w:rPr>
          <w:b/>
        </w:rPr>
        <w:t>The supplier may submit only one tender</w:t>
      </w:r>
      <w:r>
        <w:t xml:space="preserve"> – individually or as a member of a group of economic operators. If a supplier submits more than one tender, or as a member of a group of economic </w:t>
      </w:r>
      <w:r>
        <w:lastRenderedPageBreak/>
        <w:t>operators participates in submitting several tenders, all such tenders will be rejected.</w:t>
      </w:r>
      <w:r>
        <w:tab/>
      </w:r>
      <w:r>
        <w:br/>
      </w:r>
      <w:r>
        <w:tab/>
        <w:t xml:space="preserve">9.8. The electronic tender must be submitted by the end of the deadline specified in the invitation to submit a tender via the CVP IS. A tender received later is inadmissible and will not be considered. The </w:t>
      </w:r>
      <w:r w:rsidR="00347711" w:rsidRPr="00347711">
        <w:t>Contracting Authority</w:t>
      </w:r>
      <w:r>
        <w:t xml:space="preserve"> is not responsible for electricity supply failures, disruptions of the CVP IS or other unforeseen cases due to which tenders were not received, were received late or became inaccessible. When submitting a tender, the supplier should assess the risk of possible disruptions (internet connection speed, internet connection interruption, electricity supply failure, changes in computer workstation settings, updating software required for the use of the electronic signature, system slowdown, throughput and performance of third-party information systems, etc.) and allocate sufficient time for submission of the tender or clarification, not attempt to submit documents at the last minute, because until the set deadline applications and tenders are protected, technically not activated and inaccessible.</w:t>
      </w:r>
      <w:r>
        <w:tab/>
      </w:r>
      <w:r>
        <w:br/>
        <w:t xml:space="preserve"> 9.9. The </w:t>
      </w:r>
      <w:r w:rsidR="00347711" w:rsidRPr="00347711">
        <w:t>Contracting Authority</w:t>
      </w:r>
      <w:r>
        <w:t xml:space="preserve"> has the right to extend the deadline for acceptance of tenders. The </w:t>
      </w:r>
      <w:r w:rsidR="00347711" w:rsidRPr="00347711">
        <w:t>Contracting Authority</w:t>
      </w:r>
      <w:r>
        <w:t xml:space="preserve"> shall notify of the new deadline for submission of tenders via the CVP IS.</w:t>
      </w:r>
      <w:r>
        <w:tab/>
      </w:r>
      <w:r>
        <w:br/>
        <w:t xml:space="preserve"> 9.10. The supplier’s tender must be submitted in accordance with the tender form provided in Annex 5 to the procurement conditions “Tender Form”. This form will be completed only by those suppliers who will be invited to submit tenders. </w:t>
      </w:r>
      <w:r>
        <w:rPr>
          <w:b/>
        </w:rPr>
        <w:t>The supplier’s tender must include:</w:t>
      </w:r>
      <w:r>
        <w:tab/>
      </w:r>
      <w:r>
        <w:br/>
        <w:t xml:space="preserve"> </w:t>
      </w:r>
      <w:r>
        <w:rPr>
          <w:b/>
        </w:rPr>
        <w:t>9.10.1.</w:t>
      </w:r>
      <w:r>
        <w:t xml:space="preserve"> </w:t>
      </w:r>
      <w:r>
        <w:rPr>
          <w:b/>
        </w:rPr>
        <w:t>a completed tender in accordance with the tender form set out in Annex 5 to the procurement conditions “Tender Form”;</w:t>
      </w:r>
    </w:p>
    <w:p w14:paraId="19A5FFEA" w14:textId="4F0232C6" w:rsidR="003A1558" w:rsidRDefault="00CB515B">
      <w:pPr>
        <w:ind w:firstLine="567"/>
        <w:jc w:val="both"/>
        <w:rPr>
          <w:strike/>
        </w:rPr>
      </w:pPr>
      <w:r>
        <w:rPr>
          <w:b/>
        </w:rPr>
        <w:t>9.10.2.</w:t>
      </w:r>
      <w:r>
        <w:t xml:space="preserve"> </w:t>
      </w:r>
      <w:r>
        <w:rPr>
          <w:b/>
        </w:rPr>
        <w:t>the completed appendix to Annex 5 “Tender Form”, “Technical parameters of the offered ballistic helmets”;</w:t>
      </w:r>
    </w:p>
    <w:p w14:paraId="726263F5" w14:textId="3038C77D" w:rsidR="003A1558" w:rsidRDefault="00CB515B">
      <w:pPr>
        <w:pStyle w:val="P68B1DB1-Normal4"/>
        <w:widowControl w:val="0"/>
        <w:tabs>
          <w:tab w:val="left" w:pos="567"/>
          <w:tab w:val="left" w:pos="1260"/>
        </w:tabs>
        <w:ind w:firstLine="567"/>
        <w:contextualSpacing/>
        <w:jc w:val="both"/>
      </w:pPr>
      <w:r>
        <w:t xml:space="preserve">9.10.2. a power of attorney or other document (e.g., job description) granting the right to sign the supplier’s tender, where the tender is signed with an electronic signature not by the head of the legal entity but by its </w:t>
      </w:r>
      <w:proofErr w:type="spellStart"/>
      <w:r>
        <w:t>authorised</w:t>
      </w:r>
      <w:proofErr w:type="spellEnd"/>
      <w:r>
        <w:t xml:space="preserve"> person;</w:t>
      </w:r>
    </w:p>
    <w:p w14:paraId="72543CC3" w14:textId="69676794" w:rsidR="003A1558" w:rsidRDefault="00CB515B">
      <w:pPr>
        <w:widowControl w:val="0"/>
        <w:tabs>
          <w:tab w:val="left" w:pos="567"/>
          <w:tab w:val="left" w:pos="1260"/>
        </w:tabs>
        <w:ind w:firstLine="567"/>
        <w:contextualSpacing/>
        <w:jc w:val="both"/>
        <w:rPr>
          <w:rFonts w:eastAsia="Calibri"/>
          <w:b/>
        </w:rPr>
      </w:pPr>
      <w:r>
        <w:rPr>
          <w:b/>
        </w:rPr>
        <w:t xml:space="preserve">9.10.3. </w:t>
      </w:r>
      <w:r>
        <w:tab/>
      </w:r>
      <w:r>
        <w:rPr>
          <w:b/>
        </w:rPr>
        <w:t>A copy of the joint activity agreement (if the tender is submitted by a group of economic operators)</w:t>
      </w:r>
      <w:r>
        <w:rPr>
          <w:rFonts w:eastAsia="Calibri"/>
          <w:b/>
        </w:rPr>
        <w:t>;</w:t>
      </w:r>
    </w:p>
    <w:p w14:paraId="4E6A6D5F" w14:textId="1C6E95CC" w:rsidR="003A1558" w:rsidRDefault="00CB515B">
      <w:pPr>
        <w:pStyle w:val="P68B1DB1-Normal4"/>
        <w:ind w:firstLine="567"/>
        <w:jc w:val="both"/>
      </w:pPr>
      <w:r>
        <w:rPr>
          <w:rFonts w:eastAsia="Calibri"/>
        </w:rPr>
        <w:t xml:space="preserve">9.10.4. </w:t>
      </w:r>
      <w:r>
        <w:t xml:space="preserve">manufacturer’s technical documents for the offered goods substantiating the technical requirements specified in Annex 5 and its appendix, as indicated in Appendix 5 (manufacturer-prepared catalogues and/or descriptions of the technical characteristics of the offered goods, brochures and/or other data (in pdf format) and manufacturer’s letters (or) declarations, signed with an electronic or physical (written) signature, confirming the conformity of the offered goods, accredited laboratory test reports (to confirm compliance with the requirements set out in the appendix to Annex 5 of the procurement conditions) and </w:t>
      </w:r>
      <w:bookmarkStart w:id="0" w:name="_Hlk226718605"/>
      <w:r>
        <w:t xml:space="preserve">the accreditation certificate of the laboratory (whose test reports are provided) and the annex to the certificate (Eng. </w:t>
      </w:r>
      <w:r>
        <w:rPr>
          <w:i/>
        </w:rPr>
        <w:t xml:space="preserve">Scope of </w:t>
      </w:r>
      <w:proofErr w:type="spellStart"/>
      <w:r>
        <w:rPr>
          <w:i/>
        </w:rPr>
        <w:t>Acreditation</w:t>
      </w:r>
      <w:proofErr w:type="spellEnd"/>
      <w:r>
        <w:t>);</w:t>
      </w:r>
    </w:p>
    <w:bookmarkEnd w:id="0"/>
    <w:p w14:paraId="0B363DDB" w14:textId="2C8C541E" w:rsidR="003A1558" w:rsidRDefault="00CB515B">
      <w:pPr>
        <w:pStyle w:val="P68B1DB1-Normal4"/>
        <w:ind w:firstLine="567"/>
        <w:jc w:val="both"/>
      </w:pPr>
      <w:r>
        <w:t>9.10.5. other documents which, in the supplier’s opinion, are necessary to substantiate the information provided in the tender.</w:t>
      </w:r>
    </w:p>
    <w:p w14:paraId="52437B31" w14:textId="5A0204CC" w:rsidR="003A1558" w:rsidRDefault="00CB515B">
      <w:pPr>
        <w:widowControl w:val="0"/>
        <w:tabs>
          <w:tab w:val="left" w:pos="567"/>
          <w:tab w:val="left" w:pos="1260"/>
        </w:tabs>
        <w:ind w:firstLine="567"/>
        <w:contextualSpacing/>
        <w:jc w:val="both"/>
      </w:pPr>
      <w:r>
        <w:t>9.11. If the data and information specified in the tender differ from the data and information specified in the annexes to the tender, the data and information specified in the tender shall be considered correct.</w:t>
      </w:r>
      <w:r>
        <w:tab/>
      </w:r>
      <w:r>
        <w:br/>
      </w:r>
      <w:r>
        <w:tab/>
        <w:t>9.12. The prices specified in tenders must be expressed and calculated as specified in Annex 5 to the procurement conditions “Tender Form”. When calculating the tender price, account must be taken of all requirements specified in the technical specification, the quantity (scope) of goods specified in the procurement documents, the component parts of the price and other requirements. The tender price must include all taxes (including VAT, except in the cases specified in Clause 14.3) and all supplier’s costs that may affect the price. In cases where, under applicable legislation, the supplier is not required to pay VAT, the supplier shall offer prices without VAT and must indicate the reasons why it does not pay VAT. Prices in all tender documents must be entered rounded to two decimal places.</w:t>
      </w:r>
      <w:r>
        <w:tab/>
      </w:r>
      <w:r>
        <w:br/>
      </w:r>
      <w:r>
        <w:tab/>
        <w:t xml:space="preserve">9.13. In the tender, suppliers must indicate which information provided in the tender is confidential. Such information consists, first of all, of trade (production) secrets and confidential aspects of tenders. Information which the laws of the Republic of Lithuania oblige to be published publicly, as well as the </w:t>
      </w:r>
      <w:r>
        <w:lastRenderedPageBreak/>
        <w:t xml:space="preserve">total tender price or individual prices/rates of the respective type of goods, publicly available supplier details or other information made public by it, may not be indicated by the supplier as confidential. Suppliers must be careful when preparing their tenders and, when indicating confidential information, should follow the ruling of the Supreme Court of Lithuania of 4 January 2018 in civil case No. e3K-3-16-378/2018 and the guidelines of the Public Procurement Office (VPT) published on the VPT website at: </w:t>
      </w:r>
      <w:hyperlink r:id="rId8" w:history="1">
        <w:r>
          <w:rPr>
            <w:rStyle w:val="Hyperlink"/>
          </w:rPr>
          <w:t>https://vpt.lrv.lt/media/viesa/saugykla/2024/5/XNqhLtSLXOs.pdf</w:t>
        </w:r>
      </w:hyperlink>
      <w:r>
        <w:t>.</w:t>
      </w:r>
      <w:r>
        <w:br/>
        <w:t xml:space="preserve">The </w:t>
      </w:r>
      <w:r w:rsidR="00347711" w:rsidRPr="00347711">
        <w:t>Contracting Authority</w:t>
      </w:r>
      <w:r>
        <w:t>, the Commission, its members or experts and other persons may not disclose to third parties information received from the supplier that the supplier has indicated as confidential. If the supplier has not indicated confidential information, it shall be considered that there is no such information in the supplier’s tender.</w:t>
      </w:r>
      <w:r>
        <w:tab/>
      </w:r>
      <w:r>
        <w:br/>
      </w:r>
      <w:r>
        <w:tab/>
        <w:t xml:space="preserve">9.14. If the </w:t>
      </w:r>
      <w:r w:rsidR="00347711" w:rsidRPr="00347711">
        <w:t>Contracting Authority</w:t>
      </w:r>
      <w:r>
        <w:t xml:space="preserve"> has doubts regarding the confidentiality of the information indicated in the supplier’s tender, it must request the supplier to prove why the indicated information is confidential. If the supplier, within the time limit specified by the </w:t>
      </w:r>
      <w:r w:rsidR="00347711" w:rsidRPr="00347711">
        <w:t>Contracting Authority</w:t>
      </w:r>
      <w:r>
        <w:t>, which may not be shorter than 5 working days, fails to provide such evidence or provides inappropriate evidence, such information shall be considered non-confidential.</w:t>
      </w:r>
      <w:r>
        <w:tab/>
      </w:r>
      <w:r>
        <w:br/>
      </w:r>
      <w:r>
        <w:tab/>
        <w:t xml:space="preserve">9.15. </w:t>
      </w:r>
      <w:r>
        <w:rPr>
          <w:b/>
        </w:rPr>
        <w:t>The tender must be valid for at least 180 days from the end of the tender submission deadline.</w:t>
      </w:r>
      <w:r>
        <w:t xml:space="preserve"> If the validity period is not specified in the tender, it shall be considered that the tender is valid for the period provided for in the procurement documents.</w:t>
      </w:r>
      <w:r>
        <w:tab/>
      </w:r>
      <w:r>
        <w:br/>
      </w:r>
      <w:r>
        <w:tab/>
        <w:t xml:space="preserve">9.16. Until the tender validity period expires, the </w:t>
      </w:r>
      <w:r w:rsidR="00347711">
        <w:t>Contracting Authority</w:t>
      </w:r>
      <w:r>
        <w:t xml:space="preserve"> has the right to request suppliers to extend their validity until a specifically indicated time. The supplier may refuse such a request.</w:t>
      </w:r>
      <w:r>
        <w:tab/>
      </w:r>
      <w:r>
        <w:br/>
      </w:r>
      <w:r>
        <w:tab/>
        <w:t xml:space="preserve">9.17. Until the tender submission deadline has expired, the supplier may amend or withdraw its tender. Such amendment or notice that the tender is withdrawn shall be </w:t>
      </w:r>
      <w:proofErr w:type="spellStart"/>
      <w:r>
        <w:t>recognised</w:t>
      </w:r>
      <w:proofErr w:type="spellEnd"/>
      <w:r>
        <w:t xml:space="preserve"> as valid if the </w:t>
      </w:r>
      <w:r w:rsidR="00347711">
        <w:t>Contracting Authority</w:t>
      </w:r>
      <w:r>
        <w:t xml:space="preserve"> received it in writing via the CVP IS tools before the end of the tender submission deadline. In order to submit the withdrawn and amended tender again, the supplier must submit it anew.</w:t>
      </w:r>
      <w:r>
        <w:tab/>
        <w:t>9.18. A tender submitted by a supplier may be encrypted. A supplier who decides to submit an encrypted tender must:</w:t>
      </w:r>
      <w:r>
        <w:tab/>
      </w:r>
      <w:r>
        <w:br/>
      </w:r>
      <w:r>
        <w:tab/>
        <w:t>9.18.1. by the end of the tender submission deadline, submit an encrypted tender using CVP IS tools (either the entire tender or the tender document in which the tender price is specified is encrypted). Instructions on how a supplier can encrypt a document can be found at: https://vpt.lrv.lt/uploads/vpt/documents/files/LT_versija/CVP_IS/Mokymu_medziaga/Tiekejams/Uzsifravimo_instrukcija.pdf.</w:t>
      </w:r>
      <w:r>
        <w:br/>
      </w:r>
      <w:r>
        <w:tab/>
        <w:t xml:space="preserve">9.18.2. before the start of the procedure (meeting) for reviewing tenders, submit via the CVP IS correspondence tools the password with which the </w:t>
      </w:r>
      <w:r w:rsidR="00347711">
        <w:t>Contracting Authority</w:t>
      </w:r>
      <w:r>
        <w:t xml:space="preserve"> will be able to decrypt the submitted tender. In the event of CVP IS technical problems, when the supplier is unable to submit the password via the CVP IS correspondence tools, the supplier has the right to submit the password by other means of its choice: via the </w:t>
      </w:r>
      <w:r w:rsidR="00347711">
        <w:t>Contracting Authority</w:t>
      </w:r>
      <w:r>
        <w:t xml:space="preserve">’s official email, by fax or in writing. In such a case, the supplier should be proactive and ensure that the submitted password reaches the addressee in time (for example, by contacting the </w:t>
      </w:r>
      <w:r w:rsidR="00347711">
        <w:t>Contracting Authority</w:t>
      </w:r>
      <w:r>
        <w:t xml:space="preserve"> via its official telephone and/or other means).</w:t>
      </w:r>
      <w:r>
        <w:tab/>
      </w:r>
      <w:r>
        <w:br/>
      </w:r>
      <w:r>
        <w:tab/>
        <w:t xml:space="preserve">9.19. If the supplier encrypts the entire tender and, before the start of the procedure (meeting) for reviewing tenders, fails (through its own fault) to submit the password or submits an incorrect password, as a result of which the </w:t>
      </w:r>
      <w:r w:rsidR="00347711">
        <w:t>Contracting Authority</w:t>
      </w:r>
      <w:r>
        <w:t xml:space="preserve"> could not decrypt the tender, the tender shall be considered not submitted and shall not be evaluated. If, in the specified case, the supplier encrypted only the tender document in which the tender price is specified and submitted other tender documents unencrypted, the </w:t>
      </w:r>
      <w:r w:rsidR="00347711">
        <w:t>Contracting Authority</w:t>
      </w:r>
      <w:r>
        <w:t xml:space="preserve"> rejects the supplier’s tender as not meeting the requirements set out in the procurement documents (the supplier did not submit the tender price).</w:t>
      </w:r>
      <w:r>
        <w:tab/>
      </w:r>
      <w:r>
        <w:br/>
      </w:r>
      <w:r>
        <w:tab/>
      </w:r>
      <w:r>
        <w:br/>
      </w:r>
      <w:r>
        <w:tab/>
        <w:t>10. SECURING TENDER VALIDITY</w:t>
      </w:r>
      <w:r>
        <w:tab/>
      </w:r>
      <w:r>
        <w:br/>
      </w:r>
      <w:r>
        <w:tab/>
      </w:r>
      <w:r>
        <w:br/>
      </w:r>
      <w:r>
        <w:lastRenderedPageBreak/>
        <w:tab/>
        <w:t>10.1. Tender validity is secured by liquidated damages (a fine) of 2% of the tender price in EUR excluding VAT. Suppliers are not required to submit a tender validity security issued by a bank or an insurance company.</w:t>
      </w:r>
    </w:p>
    <w:p w14:paraId="602B02C0" w14:textId="4A4AF154" w:rsidR="003A1558" w:rsidRDefault="00CB515B">
      <w:pPr>
        <w:widowControl w:val="0"/>
        <w:tabs>
          <w:tab w:val="left" w:pos="567"/>
          <w:tab w:val="left" w:pos="1260"/>
        </w:tabs>
        <w:ind w:firstLine="567"/>
        <w:contextualSpacing/>
        <w:jc w:val="both"/>
      </w:pPr>
      <w:r>
        <w:t xml:space="preserve">10.2. By submitting a tender, the supplier undertakes to pay the </w:t>
      </w:r>
      <w:r w:rsidR="00347711">
        <w:t>Contracting Authority</w:t>
      </w:r>
      <w:r>
        <w:t xml:space="preserve"> the liquidated damages (fine) in the amount specified in Clause 10.1 if at least one of the following conditions occurs:</w:t>
      </w:r>
      <w:r>
        <w:tab/>
      </w:r>
      <w:r>
        <w:br/>
      </w:r>
      <w:r>
        <w:tab/>
        <w:t>10.2.1. the participant withdraws its tender or part of it (the procurement object specified in the tender, its quantity (scope), the offered prices, delivery or payment terms, other conditions specified in the tender) while the tender validity period has not yet expired;</w:t>
      </w:r>
      <w:r>
        <w:tab/>
      </w:r>
      <w:r>
        <w:br/>
      </w:r>
      <w:r>
        <w:tab/>
        <w:t xml:space="preserve">10.2.2. the participant who has won the public procurement refuses to sign the procurement contract under the main terms of the procurement contract set out in Annex 7 to the procurement conditions “Draft </w:t>
      </w:r>
      <w:r w:rsidR="00347711">
        <w:t>Public Procurement</w:t>
      </w:r>
      <w:r>
        <w:t>-</w:t>
      </w:r>
      <w:r w:rsidR="00347711">
        <w:t>Sale Contract</w:t>
      </w:r>
      <w:r>
        <w:t xml:space="preserve">”. If it does not sign the procurement contract by the time specified by the </w:t>
      </w:r>
      <w:r w:rsidR="00347711">
        <w:t>Contracting Authority</w:t>
      </w:r>
      <w:r>
        <w:t>, it shall be considered that the participant refused to sign the procurement contract.</w:t>
      </w:r>
      <w:r>
        <w:tab/>
      </w:r>
    </w:p>
    <w:p w14:paraId="0D204AED" w14:textId="299965FE" w:rsidR="003A1558" w:rsidRDefault="00CB515B">
      <w:pPr>
        <w:widowControl w:val="0"/>
        <w:tabs>
          <w:tab w:val="left" w:pos="567"/>
          <w:tab w:val="left" w:pos="1260"/>
        </w:tabs>
        <w:ind w:firstLine="567"/>
        <w:contextualSpacing/>
        <w:jc w:val="both"/>
      </w:pPr>
      <w:r>
        <w:br/>
      </w:r>
      <w:r>
        <w:tab/>
        <w:t>11. CLARIFICATION AND AMENDMENT OF PROCUREMENT DOCUMENTS</w:t>
      </w:r>
      <w:r>
        <w:tab/>
      </w:r>
      <w:r>
        <w:br/>
      </w:r>
      <w:r>
        <w:tab/>
      </w:r>
      <w:r>
        <w:br/>
      </w:r>
      <w:r>
        <w:tab/>
        <w:t xml:space="preserve">11.1. Procurement documents may be clarified and amended at the initiative of suppliers by contacting the </w:t>
      </w:r>
      <w:r w:rsidR="00347711">
        <w:t>Contracting Authority</w:t>
      </w:r>
      <w:r>
        <w:t xml:space="preserve">. Requests to clarify procurement documents may be submitted to the </w:t>
      </w:r>
      <w:r w:rsidR="00347711">
        <w:t>Contracting Authority</w:t>
      </w:r>
      <w:r>
        <w:t xml:space="preserve"> </w:t>
      </w:r>
      <w:r>
        <w:rPr>
          <w:b/>
        </w:rPr>
        <w:t>no later than 9 calendar days before the end of the deadline for submitting applications/tenders</w:t>
      </w:r>
      <w:r>
        <w:t>.</w:t>
      </w:r>
      <w:r>
        <w:tab/>
      </w:r>
      <w:r>
        <w:br/>
      </w:r>
      <w:r>
        <w:tab/>
        <w:t xml:space="preserve">11.2. The </w:t>
      </w:r>
      <w:r w:rsidR="00347711">
        <w:t>Contracting Authority</w:t>
      </w:r>
      <w:r>
        <w:t xml:space="preserve"> shall respond to suppliers’ queries received in due time no later than 6 calendar days before the end of the deadline for submitting applications/tenders.</w:t>
      </w:r>
      <w:r>
        <w:tab/>
      </w:r>
      <w:r>
        <w:br/>
      </w:r>
      <w:r>
        <w:tab/>
        <w:t xml:space="preserve">11.3. Before the deadline for submitting applications/tenders expires, the </w:t>
      </w:r>
      <w:r w:rsidR="00347711">
        <w:t>Contracting Authority</w:t>
      </w:r>
      <w:r>
        <w:t xml:space="preserve"> has the right, on its own initiative, to clarify and amend the procurement documents. This clarification must be made </w:t>
      </w:r>
      <w:r>
        <w:rPr>
          <w:b/>
        </w:rPr>
        <w:t>no later than 6 calendar days before the end of the deadline for submitting applications/tenders</w:t>
      </w:r>
      <w:r>
        <w:t>.</w:t>
      </w:r>
      <w:r>
        <w:tab/>
      </w:r>
      <w:r>
        <w:br/>
      </w:r>
      <w:r>
        <w:tab/>
        <w:t xml:space="preserve">11.4. When responding to a supplier’s request to clarify procurement documents, if it was submitted before the expiry of the time limit specified in Clause 11.1 of the procurement documents, or when clarifying and amending procurement documents on its own initiative, the </w:t>
      </w:r>
      <w:r w:rsidR="00347711">
        <w:t>Contracting Authority</w:t>
      </w:r>
      <w:r>
        <w:t xml:space="preserve"> publishes the clarifications and amendments in the CVP IS and sends them to all suppliers who have joined the procurement. The </w:t>
      </w:r>
      <w:r w:rsidR="00347711">
        <w:t>Contracting Authority</w:t>
      </w:r>
      <w:r>
        <w:t xml:space="preserve"> publishes all clarifications and amendments in the CVP IS both on its own initiative and at the initiative of suppliers.</w:t>
      </w:r>
      <w:r>
        <w:tab/>
      </w:r>
      <w:r>
        <w:br/>
      </w:r>
      <w:r>
        <w:tab/>
        <w:t xml:space="preserve">11.5. When clarifying or amending procurement documents, the </w:t>
      </w:r>
      <w:r w:rsidR="00347711">
        <w:t>Contracting Authority</w:t>
      </w:r>
      <w:r>
        <w:t xml:space="preserve"> ensures suppliers’ anonymity, i.e. ensures that the supplier does not learn the names and other details of other suppliers participating in the procurement procedures.</w:t>
      </w:r>
      <w:r>
        <w:tab/>
      </w:r>
      <w:r>
        <w:br/>
      </w:r>
      <w:r>
        <w:tab/>
        <w:t xml:space="preserve">11.6. In the event that published information is amended, the </w:t>
      </w:r>
      <w:r w:rsidR="00347711">
        <w:t>Contracting Authority</w:t>
      </w:r>
      <w:r>
        <w:t xml:space="preserve"> accordingly amends the procurement notice and, if necessary, extends the tender submission deadline to a reasonable period during which suppliers, when preparing tenders, could take the amendments into account. The extension of the tender submission deadline shall be announced by amending the procurement notice. Notices of postponement of the tender submission deadline are also published in the CVP IS and sent to suppliers participating in the procurement.</w:t>
      </w:r>
      <w:r>
        <w:tab/>
      </w:r>
      <w:r>
        <w:br/>
      </w:r>
      <w:r>
        <w:tab/>
        <w:t xml:space="preserve">11.7. Suppliers should be proactive and submit questions or request clarification of procurement documents immediately after </w:t>
      </w:r>
      <w:proofErr w:type="spellStart"/>
      <w:r>
        <w:t>analysing</w:t>
      </w:r>
      <w:proofErr w:type="spellEnd"/>
      <w:r>
        <w:t xml:space="preserve"> them, taking into account that, after the tender submission deadline has expired, it will not be possible to change the content of the tender or the procurement object.</w:t>
      </w:r>
      <w:r>
        <w:tab/>
      </w:r>
    </w:p>
    <w:p w14:paraId="650B70C4" w14:textId="7CEA7B1D" w:rsidR="003A1558" w:rsidRDefault="00CB515B">
      <w:pPr>
        <w:widowControl w:val="0"/>
        <w:tabs>
          <w:tab w:val="left" w:pos="567"/>
          <w:tab w:val="left" w:pos="1260"/>
        </w:tabs>
        <w:ind w:firstLine="567"/>
        <w:contextualSpacing/>
        <w:jc w:val="both"/>
      </w:pPr>
      <w:r>
        <w:t>11.8. If technical errors were found in these procurement documents, provisions contrary to legal acts regulating public procurement, the procurement documents would not be amended, but would be interpreted in accordance with the provisions of the said legal acts.</w:t>
      </w:r>
      <w:r>
        <w:tab/>
      </w:r>
      <w:r>
        <w:br/>
      </w:r>
      <w:r>
        <w:tab/>
      </w:r>
      <w:r>
        <w:br/>
      </w:r>
      <w:r>
        <w:lastRenderedPageBreak/>
        <w:tab/>
        <w:t>12. PROCEDURE FOR INITIAL REVIEW OF TENDERS</w:t>
      </w:r>
      <w:r>
        <w:tab/>
      </w:r>
      <w:r>
        <w:br/>
      </w:r>
      <w:r>
        <w:tab/>
      </w:r>
      <w:r>
        <w:br/>
      </w:r>
      <w:r>
        <w:tab/>
        <w:t>12.1. The initial review of suppliers’ tenders submitted via CVP IS tools will take place at a meeting of the Commission.</w:t>
      </w:r>
      <w:r>
        <w:tab/>
      </w:r>
      <w:r>
        <w:br/>
      </w:r>
      <w:r>
        <w:tab/>
        <w:t>12.2. Suppliers or their representatives do not participate in the procedure for reviewing tenders received via CVP IS tools.</w:t>
      </w:r>
      <w:r>
        <w:tab/>
      </w:r>
      <w:r>
        <w:br/>
      </w:r>
      <w:r>
        <w:tab/>
        <w:t xml:space="preserve">12.3. Taking into account that tenders are submitted by electronic means, the results of the tender review procedure </w:t>
      </w:r>
      <w:proofErr w:type="spellStart"/>
      <w:r>
        <w:t>formalised</w:t>
      </w:r>
      <w:proofErr w:type="spellEnd"/>
      <w:r>
        <w:t xml:space="preserve"> in a protocol will not be communicated.</w:t>
      </w:r>
      <w:r>
        <w:tab/>
      </w:r>
      <w:r>
        <w:br/>
      </w:r>
      <w:r>
        <w:tab/>
      </w:r>
      <w:r>
        <w:br/>
      </w:r>
      <w:r>
        <w:tab/>
        <w:t>13. EXAMINATION OF TENDERS AND REASONS FOR REJECTION OF TENDERS</w:t>
      </w:r>
      <w:r>
        <w:tab/>
      </w:r>
      <w:r>
        <w:br/>
      </w:r>
      <w:r>
        <w:tab/>
      </w:r>
      <w:r>
        <w:br/>
      </w:r>
      <w:r>
        <w:tab/>
        <w:t>13.1. Tenders are examined, evaluated and compared confidentially, without the participation of representatives of the suppliers who submitted the tenders.</w:t>
      </w:r>
      <w:r>
        <w:tab/>
      </w:r>
      <w:r>
        <w:br/>
      </w:r>
      <w:r>
        <w:tab/>
        <w:t xml:space="preserve">13.2. If the supplier has submitted inaccurate, incomplete or incorrect documents or data on compliance with the requirements of the procurement documents, or such documents or data are missing, the </w:t>
      </w:r>
      <w:r w:rsidR="00347711">
        <w:t>Contracting Authority</w:t>
      </w:r>
      <w:r>
        <w:t xml:space="preserve"> requests (where it can do so without violating the principles of equal treatment and transparency) the supplier to clarify, supplement or explain these documents or data within a reasonable time limit set by it. Data and/or documents are clarified, explained or supplemented in accordance with the Rules for Clarification, Supplementation or Explanation of Tenders approved by Order No. 1S-240 of the Director of the Public Procurement Office of 30 December 2022.</w:t>
      </w:r>
    </w:p>
    <w:p w14:paraId="203680A0" w14:textId="114274DD" w:rsidR="003A1558" w:rsidRDefault="00CB515B">
      <w:pPr>
        <w:widowControl w:val="0"/>
        <w:tabs>
          <w:tab w:val="left" w:pos="567"/>
          <w:tab w:val="left" w:pos="1260"/>
        </w:tabs>
        <w:ind w:firstLine="567"/>
        <w:contextualSpacing/>
        <w:jc w:val="both"/>
      </w:pPr>
      <w:r>
        <w:t xml:space="preserve">13.3. If the price specified in the submitted tender is abnormally low, the </w:t>
      </w:r>
      <w:r w:rsidR="00347711">
        <w:t>Contracting Authority</w:t>
      </w:r>
      <w:r>
        <w:t xml:space="preserve"> must require the participant to substantiate the offered price, and if the participant does not provide appropriate evidence of the substantiation of the price, the </w:t>
      </w:r>
      <w:r w:rsidR="00347711">
        <w:t>Contracting Authority</w:t>
      </w:r>
      <w:r>
        <w:t xml:space="preserve"> must reject the tender.</w:t>
      </w:r>
      <w:r>
        <w:tab/>
        <w:t xml:space="preserve">13.4. The </w:t>
      </w:r>
      <w:r w:rsidR="00347711">
        <w:t>Contracting Authority</w:t>
      </w:r>
      <w:r>
        <w:t xml:space="preserve"> may refrain from evaluating the entire tender of a participant if, after checking part of it, it determines that, in accordance with the requirements of the Law, the tender must be rejected.</w:t>
      </w:r>
      <w:r>
        <w:tab/>
      </w:r>
    </w:p>
    <w:p w14:paraId="78E63E9C" w14:textId="45EEECE2" w:rsidR="003A1558" w:rsidRDefault="00CB515B">
      <w:pPr>
        <w:widowControl w:val="0"/>
        <w:tabs>
          <w:tab w:val="left" w:pos="567"/>
          <w:tab w:val="left" w:pos="1260"/>
        </w:tabs>
        <w:ind w:firstLine="567"/>
        <w:contextualSpacing/>
        <w:jc w:val="both"/>
        <w:rPr>
          <w:b/>
          <w:bCs/>
        </w:rPr>
      </w:pPr>
      <w:r>
        <w:t xml:space="preserve">13.5. Regarding the supplier’s (non-)compliance with national security provisions, the </w:t>
      </w:r>
      <w:r w:rsidR="00347711">
        <w:t>Contracting Authority</w:t>
      </w:r>
      <w:r>
        <w:t xml:space="preserve"> may request submission of documents proving the correctness of the data provided in the supplier’s declaration of compliance with national security requirements (Annex 4 to the procurement documents). For compliance with national security interests, the supplier will have to provide the documents and </w:t>
      </w:r>
      <w:r>
        <w:tab/>
      </w:r>
      <w:proofErr w:type="gramStart"/>
      <w:r>
        <w:t>information  required</w:t>
      </w:r>
      <w:proofErr w:type="gramEnd"/>
      <w:r>
        <w:t xml:space="preserve"> for such verification.</w:t>
      </w:r>
      <w:r>
        <w:br/>
      </w:r>
      <w:r>
        <w:tab/>
      </w:r>
      <w:r>
        <w:rPr>
          <w:b/>
        </w:rPr>
        <w:t>13.6. The Commission rejects the tender if:</w:t>
      </w:r>
      <w:r>
        <w:tab/>
      </w:r>
      <w:r>
        <w:br/>
      </w:r>
      <w:r>
        <w:rPr>
          <w:b/>
        </w:rPr>
        <w:tab/>
        <w:t xml:space="preserve">13.6.1. the tender or the offered goods do not comply with the requirements set out in the procurement documents, e.g., the tender is submitted not via the electronic means specified by the </w:t>
      </w:r>
      <w:r w:rsidR="00347711">
        <w:rPr>
          <w:b/>
        </w:rPr>
        <w:t>Contracting Authority</w:t>
      </w:r>
      <w:r>
        <w:rPr>
          <w:b/>
        </w:rPr>
        <w:t>, the completed Annex 5 to the procurement conditions “Tender Form” is not submitted, the offered object does not meet the requirements set out in Annex 1 to the procurement conditions, the tender does not meet the requirements set out in the draft contract, etc.;</w:t>
      </w:r>
      <w:r>
        <w:tab/>
      </w:r>
      <w:r>
        <w:br/>
      </w:r>
      <w:r>
        <w:rPr>
          <w:b/>
        </w:rPr>
        <w:tab/>
        <w:t>13.6.2. the participant does not explain the tender within the time limit set by it;</w:t>
      </w:r>
      <w:r>
        <w:tab/>
      </w:r>
      <w:r>
        <w:br/>
      </w:r>
      <w:r>
        <w:rPr>
          <w:b/>
        </w:rPr>
        <w:tab/>
        <w:t xml:space="preserve">13.6.3. the participant, within the time limit set by it, as specified in </w:t>
      </w:r>
      <w:r>
        <w:rPr>
          <w:b/>
          <w:color w:val="000000" w:themeColor="text1"/>
        </w:rPr>
        <w:t>Article 28(4) of the Law</w:t>
      </w:r>
      <w:r>
        <w:rPr>
          <w:b/>
        </w:rPr>
        <w:t>, did not clarify, supplement or submit the documents indicated in the procurement documents that are to be submitted together with the tender;</w:t>
      </w:r>
      <w:r>
        <w:tab/>
      </w:r>
      <w:r>
        <w:br/>
      </w:r>
      <w:r>
        <w:rPr>
          <w:b/>
        </w:rPr>
        <w:tab/>
        <w:t>13.6.4. the participant did not substantiate an abnormally low price;</w:t>
      </w:r>
      <w:r>
        <w:tab/>
      </w:r>
      <w:r>
        <w:br/>
      </w:r>
      <w:r>
        <w:rPr>
          <w:b/>
        </w:rPr>
        <w:tab/>
        <w:t xml:space="preserve">13.6.5. the price indicated in the tender is too high and unacceptable to the </w:t>
      </w:r>
      <w:r w:rsidR="00347711">
        <w:rPr>
          <w:b/>
        </w:rPr>
        <w:t>Contracting Authority</w:t>
      </w:r>
      <w:r>
        <w:rPr>
          <w:b/>
        </w:rPr>
        <w:t xml:space="preserve"> (if the price indicated in the most economically advantageous tender is too high and unacceptable and the </w:t>
      </w:r>
      <w:r w:rsidR="00347711">
        <w:rPr>
          <w:b/>
        </w:rPr>
        <w:t>Contracting Authority</w:t>
      </w:r>
      <w:r>
        <w:rPr>
          <w:b/>
        </w:rPr>
        <w:t xml:space="preserve"> has not indicated the amount of funds allocated for the procurement in the procurement documents, other tenders in the ranking may not be determined as winners);</w:t>
      </w:r>
    </w:p>
    <w:p w14:paraId="67E0E5FE" w14:textId="7A026D92" w:rsidR="003A1558" w:rsidRDefault="00CB515B">
      <w:pPr>
        <w:pStyle w:val="P68B1DB1-Normal4"/>
        <w:widowControl w:val="0"/>
        <w:tabs>
          <w:tab w:val="left" w:pos="567"/>
          <w:tab w:val="left" w:pos="1260"/>
        </w:tabs>
        <w:ind w:firstLine="567"/>
        <w:contextualSpacing/>
        <w:jc w:val="both"/>
        <w:rPr>
          <w:bCs/>
        </w:rPr>
      </w:pPr>
      <w:r>
        <w:t xml:space="preserve">13.6.6. the tenderer has provided false information regarding compliance with the established requirements, which the </w:t>
      </w:r>
      <w:r w:rsidR="00347711">
        <w:t>Contracting Authority</w:t>
      </w:r>
      <w:r>
        <w:t xml:space="preserve"> can prove by any lawful means.</w:t>
      </w:r>
    </w:p>
    <w:p w14:paraId="2285C9F9" w14:textId="091D5A11" w:rsidR="003A1558" w:rsidRDefault="00CB515B">
      <w:pPr>
        <w:pStyle w:val="P68B1DB1-Normal4"/>
        <w:widowControl w:val="0"/>
        <w:tabs>
          <w:tab w:val="left" w:pos="567"/>
          <w:tab w:val="left" w:pos="1260"/>
        </w:tabs>
        <w:ind w:firstLine="567"/>
        <w:contextualSpacing/>
        <w:jc w:val="both"/>
        <w:rPr>
          <w:bCs/>
        </w:rPr>
      </w:pPr>
      <w:r>
        <w:lastRenderedPageBreak/>
        <w:t>13.6.7. the supplier does not meet the requirements related to national security;</w:t>
      </w:r>
    </w:p>
    <w:p w14:paraId="4695F43F" w14:textId="2C0A5AF8" w:rsidR="003A1558" w:rsidRDefault="00CB515B">
      <w:pPr>
        <w:pStyle w:val="P68B1DB1-Normal4"/>
        <w:widowControl w:val="0"/>
        <w:tabs>
          <w:tab w:val="left" w:pos="720"/>
        </w:tabs>
        <w:ind w:firstLine="567"/>
        <w:jc w:val="both"/>
      </w:pPr>
      <w:r>
        <w:t>13.6.8. the goods offered by the tenderer are manufactured in the states or territories indicated in the list provided for in Article 92(14) of the Law on Public Procurement;</w:t>
      </w:r>
    </w:p>
    <w:p w14:paraId="2E1EAE1D" w14:textId="0BD6656F" w:rsidR="003A1558" w:rsidRDefault="00CB515B">
      <w:pPr>
        <w:pStyle w:val="P68B1DB1-Body26"/>
        <w:ind w:firstLine="567"/>
      </w:pPr>
      <w:r>
        <w:t>13.6.9. when it becomes apparent that there are circumstances referred to in Article 40(9) of the Law and in points 1-6 of Article 33(9) of the Law;</w:t>
      </w:r>
    </w:p>
    <w:p w14:paraId="32824CFD" w14:textId="4A326137" w:rsidR="003A1558" w:rsidRDefault="00CB515B">
      <w:pPr>
        <w:pStyle w:val="P68B1DB1-Body26"/>
        <w:ind w:firstLine="567"/>
      </w:pPr>
      <w:r>
        <w:t xml:space="preserve">13.6.10. where the competent authorities provide information that the tenderer, its subcontractor or manufacturer (including its management bodies, shareholders, the characteristics of the services provided, goods supplied, equipment) poses a threat to national security or the security of another Member State or has a conflict of interest that may adversely affect the performance of the procurement contract and thus pose a threat to national security. In all cases, the </w:t>
      </w:r>
      <w:r w:rsidR="00347711">
        <w:t>Contracting Authority</w:t>
      </w:r>
      <w:r>
        <w:t xml:space="preserve"> may consider that the tenderer poses a threat to national security or the security of another Member State if it receives confirming information provided by the competent authorities;</w:t>
      </w:r>
    </w:p>
    <w:p w14:paraId="4C65576D" w14:textId="09C85978" w:rsidR="003A1558" w:rsidRDefault="00CB515B">
      <w:pPr>
        <w:pStyle w:val="P68B1DB1-Body26"/>
        <w:ind w:firstLine="567"/>
      </w:pPr>
      <w:r>
        <w:t xml:space="preserve">13.6.11. at the request of the </w:t>
      </w:r>
      <w:r w:rsidR="00347711">
        <w:t>Contracting Authority</w:t>
      </w:r>
      <w:r>
        <w:t>, the tenderer did not submit the documents or information specified in clause 13.5 of the Procurement Conditions.</w:t>
      </w:r>
    </w:p>
    <w:p w14:paraId="43E3E0C5" w14:textId="77777777" w:rsidR="00A83BF8" w:rsidRDefault="00CB515B">
      <w:pPr>
        <w:widowControl w:val="0"/>
        <w:tabs>
          <w:tab w:val="left" w:pos="567"/>
          <w:tab w:val="left" w:pos="1260"/>
        </w:tabs>
        <w:ind w:firstLine="567"/>
        <w:contextualSpacing/>
        <w:jc w:val="both"/>
      </w:pPr>
      <w:r>
        <w:tab/>
      </w:r>
      <w:r>
        <w:br/>
      </w:r>
      <w:r>
        <w:tab/>
        <w:t>14. EVALUATION OF TENDERS</w:t>
      </w:r>
      <w:r>
        <w:tab/>
      </w:r>
      <w:r>
        <w:br/>
      </w:r>
      <w:r>
        <w:tab/>
      </w:r>
      <w:r>
        <w:br/>
      </w:r>
      <w:r>
        <w:tab/>
        <w:t xml:space="preserve">14.1. The </w:t>
      </w:r>
      <w:r w:rsidR="00347711">
        <w:t>Contracting Authority</w:t>
      </w:r>
      <w:r>
        <w:t xml:space="preserve"> selects the most economically advantageous tender according to the price/cost and quality ratio (the technical characteristics of the tender are assessed quantitatively), by applying the tender evaluation criteria and procedure specified in Annex 6 to the procurement conditions “Methodology for Evaluating the Most Economically Advantageous Tender for Ballistic Helmets”.</w:t>
      </w:r>
      <w:r>
        <w:tab/>
        <w:t>14.2. The prices indicated in the tenders will be evaluated in euros. The price indicated in the tender in a foreign currency will be converted into euros according to the reference exchange rate between the euro and foreign currencies published by the European Central Bank, and where the European Central Bank does not publish a reference exchange rate between the euro and foreign currencies – according to the reference exchange rate between the euro and the foreign currency established and published by the Bank of Lithuania on the last day for submission of tenders.</w:t>
      </w:r>
      <w:r>
        <w:tab/>
      </w:r>
      <w:r>
        <w:br/>
      </w:r>
      <w:r>
        <w:tab/>
        <w:t>14.3</w:t>
      </w:r>
      <w:r w:rsidR="00A83BF8" w:rsidRPr="00A83BF8">
        <w:t xml:space="preserve"> In the event that, in accordance with the procedure established by the laws regulating taxes and their implementing legal acts, the contracting authority must itself pay value added tax (hereinafter referred to as VAT) for the purchased procurement object from a foreign supplier to the state budget, this tax must be included in the price of the tender. If the supplier did not include the tax when submitting the tender, the tax shall be included by the contracting authority when comparing the tenders. If the tender is submitted by a company registered in Lithuania that is not a VAT payer, VAT will not be added when evaluating the tender.</w:t>
      </w:r>
    </w:p>
    <w:p w14:paraId="1C978FF7" w14:textId="0089DCAF" w:rsidR="00347711" w:rsidRDefault="00CB515B">
      <w:pPr>
        <w:widowControl w:val="0"/>
        <w:tabs>
          <w:tab w:val="left" w:pos="567"/>
          <w:tab w:val="left" w:pos="1260"/>
        </w:tabs>
        <w:ind w:firstLine="567"/>
        <w:contextualSpacing/>
        <w:jc w:val="both"/>
      </w:pPr>
      <w:r>
        <w:tab/>
      </w:r>
      <w:r>
        <w:br/>
      </w:r>
      <w:r>
        <w:tab/>
        <w:t>15. RANKING OF TENDERS AND DETERMINATION OF THE WINNER</w:t>
      </w:r>
      <w:r>
        <w:tab/>
      </w:r>
      <w:r>
        <w:br/>
      </w:r>
      <w:r>
        <w:tab/>
      </w:r>
      <w:r>
        <w:br/>
      </w:r>
      <w:r>
        <w:tab/>
        <w:t xml:space="preserve">15.1. In order to take a decision to conclude the procurement contract, the </w:t>
      </w:r>
      <w:r w:rsidR="00347711">
        <w:t>Contracting Authority</w:t>
      </w:r>
      <w:r>
        <w:t>, in accordance with the evaluation criteria and procedure set out in the procurement documents, promptly evaluates the submitted tenders of the tenderers, determines the ranking of tenders (except where only one supplier submits a tender) and the winning tender. The ranking of tenders is determined in descending order of economic advantage. Where the economic advantage of tenders submitted by several suppliers is the same, when drawing up the ranking of tenders, the supplier whose tender was submitted the earliest by electronic means is entered earlier in this ranking.</w:t>
      </w:r>
      <w:r>
        <w:tab/>
      </w:r>
      <w:r>
        <w:br/>
      </w:r>
      <w:r>
        <w:tab/>
        <w:t xml:space="preserve">15.2. The </w:t>
      </w:r>
      <w:r w:rsidR="00347711">
        <w:t>Contracting Authority</w:t>
      </w:r>
      <w:r>
        <w:t xml:space="preserve"> shall, in writing, no later than within 5 working days, inform the interested tenderers of the decision taken to determine the winning tender for which the procurement contract will be concluded, provide a summary of the relevant information referred to in Article 47(2) of the Law that has not yet been provided during the procurement procedure, indicate the established ranking of tenders, the winning tender, and the standstill period for concluding the procurement contract. The </w:t>
      </w:r>
      <w:r w:rsidR="00347711">
        <w:lastRenderedPageBreak/>
        <w:t>Contracting Authority</w:t>
      </w:r>
      <w:r>
        <w:t xml:space="preserve"> must also indicate the reasons why a decision was taken not to conclude the procurement contract or to restart the procurement.</w:t>
      </w:r>
      <w:r>
        <w:tab/>
      </w:r>
      <w:r>
        <w:br/>
      </w:r>
      <w:r>
        <w:tab/>
        <w:t>15.3. The procurement contract is concluded immediately, but not earlier than the expiry of the standstill period for concluding the procurement contract, which may not be shorter than 10 days. The standstill period may not be applied where the only interested tenderer is the one with whom the procurement contract is concluded.</w:t>
      </w:r>
    </w:p>
    <w:p w14:paraId="0ABE41C9" w14:textId="4FA13085" w:rsidR="003A1558" w:rsidRDefault="00CB515B">
      <w:pPr>
        <w:widowControl w:val="0"/>
        <w:tabs>
          <w:tab w:val="left" w:pos="567"/>
          <w:tab w:val="left" w:pos="1260"/>
        </w:tabs>
        <w:ind w:firstLine="567"/>
        <w:contextualSpacing/>
        <w:jc w:val="both"/>
      </w:pPr>
      <w:r>
        <w:tab/>
        <w:t xml:space="preserve">15.4. The </w:t>
      </w:r>
      <w:r w:rsidR="00347711">
        <w:t>Contracting Authority</w:t>
      </w:r>
      <w:r>
        <w:t xml:space="preserve"> proposes to conclude the procurement contract with the tenderer whose tender has been </w:t>
      </w:r>
      <w:proofErr w:type="spellStart"/>
      <w:r>
        <w:t>recognised</w:t>
      </w:r>
      <w:proofErr w:type="spellEnd"/>
      <w:r>
        <w:t xml:space="preserve"> as the winning one. The tenderer is invited to conclude the procurement contract by means of the CVP IS and is informed of the time by which they must arrive to conclude the procurement contract. The winning tenderer must sign the procurement contract within the time limit specified by the </w:t>
      </w:r>
      <w:r w:rsidR="00347711">
        <w:t>Contracting Authority</w:t>
      </w:r>
      <w:r>
        <w:t>. The time for signing the procurement contract may be set by a separate notice or indicated in the notice of the decision to conclude the procurement contract.</w:t>
      </w:r>
      <w:r>
        <w:tab/>
      </w:r>
      <w:r>
        <w:br/>
      </w:r>
      <w:r>
        <w:tab/>
        <w:t xml:space="preserve">15.5. If the tenderer to whom it was proposed to conclude the procurement contract refuses in writing to conclude it or fails to provide the performance security of the procurement contract required in the procurement documents, or if they fail to arrive by the time indicated by the </w:t>
      </w:r>
      <w:r w:rsidR="00347711">
        <w:t>Contracting Authority</w:t>
      </w:r>
      <w:r>
        <w:t xml:space="preserve"> to conclude the procurement contract or refuse to conclude the procurement contract under the conditions set out in the procurement documents, it shall be deemed that they have refused to conclude the procurement contract. In that case, the </w:t>
      </w:r>
      <w:r w:rsidR="00347711">
        <w:t>Contracting Authority</w:t>
      </w:r>
      <w:r>
        <w:t xml:space="preserve"> proposes to conclude the contract with the tenderer whose tender, according to the established ranking of tenders, is the first after the tenderer who refused to conclude the procurement contract.</w:t>
      </w:r>
      <w:r>
        <w:tab/>
      </w:r>
      <w:r>
        <w:br/>
      </w:r>
      <w:r>
        <w:tab/>
      </w:r>
      <w:r>
        <w:br/>
      </w:r>
      <w:r>
        <w:tab/>
        <w:t>16. CONTRACT PROVISIONS</w:t>
      </w:r>
      <w:r>
        <w:tab/>
      </w:r>
      <w:r>
        <w:br/>
      </w:r>
      <w:r>
        <w:tab/>
      </w:r>
      <w:r>
        <w:br/>
      </w:r>
      <w:r>
        <w:tab/>
        <w:t>16.1. The main conditions of the public procurement sale contract are provided in Annex 7 to the procurement conditions “</w:t>
      </w:r>
      <w:r w:rsidR="00347711" w:rsidRPr="00347711">
        <w:t>Draft Public Procurement-Sale Contract</w:t>
      </w:r>
      <w:r>
        <w:t>”.</w:t>
      </w:r>
      <w:r>
        <w:tab/>
      </w:r>
      <w:r>
        <w:br/>
      </w:r>
      <w:r>
        <w:tab/>
        <w:t xml:space="preserve">16.2. During the validity period of the procurement contract, it may be amended in accordance with Article 53 of the Law. Amendments to the contract terms are </w:t>
      </w:r>
      <w:proofErr w:type="spellStart"/>
      <w:r>
        <w:t>formalised</w:t>
      </w:r>
      <w:proofErr w:type="spellEnd"/>
      <w:r>
        <w:t xml:space="preserve"> by written agreements of the parties, which form an integral part of the contract.</w:t>
      </w:r>
      <w:r>
        <w:tab/>
      </w:r>
      <w:r>
        <w:br/>
      </w:r>
      <w:r>
        <w:tab/>
      </w:r>
      <w:r>
        <w:br/>
      </w:r>
      <w:r>
        <w:tab/>
        <w:t>17. DISPUTE SETTLEMENT PROCEDURE</w:t>
      </w:r>
      <w:r>
        <w:tab/>
      </w:r>
      <w:r>
        <w:br/>
      </w:r>
      <w:r>
        <w:tab/>
      </w:r>
      <w:r>
        <w:br/>
      </w:r>
      <w:r>
        <w:tab/>
        <w:t xml:space="preserve">17.1. Disputes between the </w:t>
      </w:r>
      <w:r w:rsidR="00347711">
        <w:t>Contracting Authority</w:t>
      </w:r>
      <w:r>
        <w:t xml:space="preserve"> and suppliers are examined in accordance with the procedure laid down in Chapter IV of the Law.</w:t>
      </w:r>
      <w:r>
        <w:tab/>
      </w:r>
      <w:r>
        <w:br/>
      </w:r>
      <w:r>
        <w:tab/>
        <w:t xml:space="preserve">17.2. A supplier who considers that the </w:t>
      </w:r>
      <w:r w:rsidR="00347711">
        <w:t>Contracting Authority</w:t>
      </w:r>
      <w:r>
        <w:t xml:space="preserve"> has not complied with the requirements of the Law and thereby has infringed or will infringe its legitimate interests has the right, before the conclusion of the procurement contract, to submit a complaint to the </w:t>
      </w:r>
      <w:r w:rsidR="00347711">
        <w:t>Contracting Authority</w:t>
      </w:r>
      <w:r>
        <w:t xml:space="preserve"> regarding the actions of the </w:t>
      </w:r>
      <w:r w:rsidR="00347711">
        <w:t>Contracting Authority</w:t>
      </w:r>
      <w:r>
        <w:t xml:space="preserve"> or the decisions taken. The submission of a complaint is a mandatory pre-trial stage of dispute resolution.</w:t>
      </w:r>
      <w:r>
        <w:tab/>
      </w:r>
      <w:r>
        <w:br/>
      </w:r>
      <w:r>
        <w:tab/>
        <w:t xml:space="preserve">17.3. The </w:t>
      </w:r>
      <w:r w:rsidR="00347711">
        <w:t>Contracting Authority</w:t>
      </w:r>
      <w:r>
        <w:t xml:space="preserve"> examines only those supplier complaints received before the conclusion of the procurement contract.</w:t>
      </w:r>
      <w:r>
        <w:tab/>
      </w:r>
      <w:r>
        <w:br/>
      </w:r>
      <w:r>
        <w:tab/>
        <w:t xml:space="preserve">17.4. Upon receipt of a supplier complaint, the </w:t>
      </w:r>
      <w:r w:rsidR="00347711">
        <w:t>Contracting Authority</w:t>
      </w:r>
      <w:r>
        <w:t xml:space="preserve"> suspends the procurement procedures until the complaint has been examined and a decision has been taken.</w:t>
      </w:r>
      <w:r>
        <w:tab/>
      </w:r>
      <w:r>
        <w:br/>
      </w:r>
      <w:r>
        <w:tab/>
        <w:t xml:space="preserve">17.5. The </w:t>
      </w:r>
      <w:r w:rsidR="00347711">
        <w:t>Contracting Authority</w:t>
      </w:r>
      <w:r>
        <w:t xml:space="preserve"> may not conclude the procurement contract earlier than 10 days from the day of sending the written notification of its decision to the supplier who submitted the complaint, to interested candidates and to interested tenderers.</w:t>
      </w:r>
      <w:r>
        <w:tab/>
      </w:r>
      <w:r>
        <w:br/>
      </w:r>
      <w:r>
        <w:tab/>
      </w:r>
      <w:r>
        <w:br/>
      </w:r>
      <w:r>
        <w:tab/>
        <w:t>18. ANNEXES TO THE PROCUREMENT CONDITIONS</w:t>
      </w:r>
      <w:r>
        <w:tab/>
      </w:r>
      <w:r>
        <w:br/>
      </w:r>
      <w:r>
        <w:tab/>
      </w:r>
      <w:r>
        <w:br/>
      </w:r>
      <w:r>
        <w:tab/>
        <w:t>18.1. The following annexes are attached to the procurement conditions:</w:t>
      </w:r>
      <w:r>
        <w:tab/>
      </w:r>
    </w:p>
    <w:p w14:paraId="53A1B626" w14:textId="77777777" w:rsidR="00105EE0" w:rsidRDefault="00CB515B" w:rsidP="00105EE0">
      <w:pPr>
        <w:tabs>
          <w:tab w:val="left" w:pos="567"/>
        </w:tabs>
        <w:ind w:left="567"/>
        <w:jc w:val="both"/>
      </w:pPr>
      <w:r>
        <w:lastRenderedPageBreak/>
        <w:t>18.1.1. Annex 1 “</w:t>
      </w:r>
      <w:r w:rsidRPr="00CB515B">
        <w:t>Technical Specification for Ballistic Helmets</w:t>
      </w:r>
      <w:r>
        <w:t>”.</w:t>
      </w:r>
      <w:r>
        <w:tab/>
      </w:r>
      <w:r>
        <w:br/>
        <w:t>18.1.2. Annex 2 “Application Form”.</w:t>
      </w:r>
      <w:r>
        <w:tab/>
      </w:r>
    </w:p>
    <w:p w14:paraId="4C860DD1" w14:textId="09B186EB" w:rsidR="003A1558" w:rsidRDefault="00CB515B" w:rsidP="00105EE0">
      <w:pPr>
        <w:tabs>
          <w:tab w:val="left" w:pos="567"/>
        </w:tabs>
        <w:ind w:firstLine="567"/>
        <w:jc w:val="both"/>
        <w:rPr>
          <w:color w:val="000000" w:themeColor="text1"/>
        </w:rPr>
      </w:pPr>
      <w:r>
        <w:t>18.1.3. Annex 3 “</w:t>
      </w:r>
      <w:r w:rsidR="00C9417E" w:rsidRPr="00475FA5">
        <w:rPr>
          <w:bCs/>
          <w:color w:val="000000" w:themeColor="text1"/>
        </w:rPr>
        <w:t>Conditions under Which Participation Is Prohibited or Restricted and Qualification Requirements</w:t>
      </w:r>
      <w:r>
        <w:rPr>
          <w:color w:val="000000" w:themeColor="text1"/>
        </w:rPr>
        <w:t>”.</w:t>
      </w:r>
    </w:p>
    <w:p w14:paraId="5C2B1C5B" w14:textId="09A9FB58" w:rsidR="00A8387C" w:rsidRDefault="00CB515B">
      <w:pPr>
        <w:tabs>
          <w:tab w:val="left" w:pos="567"/>
        </w:tabs>
        <w:ind w:firstLine="567"/>
        <w:jc w:val="both"/>
      </w:pPr>
      <w:r>
        <w:t xml:space="preserve">18.1.4. </w:t>
      </w:r>
      <w:bookmarkStart w:id="1" w:name="_Hlk232764451"/>
      <w:r w:rsidRPr="00CB515B">
        <w:t>Appendix</w:t>
      </w:r>
      <w:r w:rsidR="00A8387C">
        <w:t xml:space="preserve"> 1</w:t>
      </w:r>
      <w:r w:rsidRPr="00CB515B">
        <w:t xml:space="preserve"> to </w:t>
      </w:r>
      <w:r>
        <w:t xml:space="preserve">Annex 3 </w:t>
      </w:r>
      <w:r w:rsidR="00A8387C">
        <w:t>“</w:t>
      </w:r>
      <w:r w:rsidR="00A8387C" w:rsidRPr="00A8387C">
        <w:t xml:space="preserve">List of provided </w:t>
      </w:r>
      <w:r w:rsidR="00347A54">
        <w:t>goods</w:t>
      </w:r>
      <w:r w:rsidR="00A8387C">
        <w:t>”.</w:t>
      </w:r>
    </w:p>
    <w:bookmarkEnd w:id="1"/>
    <w:p w14:paraId="3B17761B" w14:textId="6AC98966" w:rsidR="00A8387C" w:rsidRDefault="00A8387C">
      <w:pPr>
        <w:tabs>
          <w:tab w:val="left" w:pos="567"/>
        </w:tabs>
        <w:ind w:firstLine="567"/>
        <w:jc w:val="both"/>
      </w:pPr>
      <w:r>
        <w:t xml:space="preserve">18.1.5. </w:t>
      </w:r>
      <w:r w:rsidRPr="00A8387C">
        <w:t xml:space="preserve">Appendix </w:t>
      </w:r>
      <w:r>
        <w:t>2</w:t>
      </w:r>
      <w:r w:rsidRPr="00A8387C">
        <w:t xml:space="preserve"> to Annex 3 “</w:t>
      </w:r>
      <w:r w:rsidR="00A365A9">
        <w:t>C</w:t>
      </w:r>
      <w:r w:rsidR="00A365A9" w:rsidRPr="00A365A9">
        <w:t>ustomer certificate</w:t>
      </w:r>
      <w:r w:rsidRPr="00A8387C">
        <w:t>”.</w:t>
      </w:r>
    </w:p>
    <w:p w14:paraId="7767E4ED" w14:textId="30CDE8A7" w:rsidR="003A1558" w:rsidRDefault="005B5F99">
      <w:pPr>
        <w:tabs>
          <w:tab w:val="left" w:pos="567"/>
        </w:tabs>
        <w:ind w:firstLine="567"/>
        <w:jc w:val="both"/>
      </w:pPr>
      <w:r>
        <w:t>1</w:t>
      </w:r>
      <w:r w:rsidR="00CB515B">
        <w:t>8.1.</w:t>
      </w:r>
      <w:r>
        <w:t>6</w:t>
      </w:r>
      <w:r w:rsidR="00CB515B">
        <w:t>. Annex 4 “</w:t>
      </w:r>
      <w:r w:rsidR="00CB515B" w:rsidRPr="00CB515B">
        <w:t>Declaration of Compliance with National Security Requirements</w:t>
      </w:r>
      <w:r w:rsidR="00CB515B">
        <w:t>”.</w:t>
      </w:r>
    </w:p>
    <w:p w14:paraId="43914F65" w14:textId="03ABA533" w:rsidR="003A1558" w:rsidRDefault="00CB515B">
      <w:pPr>
        <w:tabs>
          <w:tab w:val="left" w:pos="567"/>
        </w:tabs>
        <w:ind w:firstLine="567"/>
        <w:jc w:val="both"/>
      </w:pPr>
      <w:r>
        <w:t>18.1.</w:t>
      </w:r>
      <w:r w:rsidR="005B5F99">
        <w:t>7</w:t>
      </w:r>
      <w:r>
        <w:t>. Annex 5 “Tender Form”.</w:t>
      </w:r>
    </w:p>
    <w:p w14:paraId="027BE19D" w14:textId="29591C98" w:rsidR="003A1558" w:rsidRDefault="00CB515B">
      <w:pPr>
        <w:tabs>
          <w:tab w:val="left" w:pos="567"/>
        </w:tabs>
        <w:ind w:firstLine="567"/>
        <w:jc w:val="both"/>
      </w:pPr>
      <w:r>
        <w:t>18.1.</w:t>
      </w:r>
      <w:r w:rsidR="005B5F99">
        <w:t>8</w:t>
      </w:r>
      <w:r>
        <w:t>. Appendix to Annex 5. Technical Parameters of the Proposed Ballistic Helmets.</w:t>
      </w:r>
      <w:r>
        <w:tab/>
      </w:r>
    </w:p>
    <w:p w14:paraId="499E6252" w14:textId="60F4BEE2" w:rsidR="00D34EF2" w:rsidRDefault="00CB515B">
      <w:pPr>
        <w:tabs>
          <w:tab w:val="left" w:pos="567"/>
        </w:tabs>
        <w:ind w:firstLine="567"/>
        <w:jc w:val="both"/>
        <w:rPr>
          <w:color w:val="000000" w:themeColor="text1"/>
        </w:rPr>
      </w:pPr>
      <w:r>
        <w:t>18.1.</w:t>
      </w:r>
      <w:r w:rsidR="005B5F99">
        <w:t>9</w:t>
      </w:r>
      <w:r>
        <w:rPr>
          <w:color w:val="000000" w:themeColor="text1"/>
        </w:rPr>
        <w:t>.</w:t>
      </w:r>
      <w:r>
        <w:rPr>
          <w:color w:val="FF0000"/>
        </w:rPr>
        <w:t xml:space="preserve"> </w:t>
      </w:r>
      <w:r>
        <w:rPr>
          <w:color w:val="000000" w:themeColor="text1"/>
        </w:rPr>
        <w:t>Annex 6. “</w:t>
      </w:r>
      <w:r w:rsidRPr="00CB515B">
        <w:rPr>
          <w:color w:val="000000" w:themeColor="text1"/>
        </w:rPr>
        <w:t>Methodology for Evaluating the Most Economically Advantageous Tender for Ballistic Helmets</w:t>
      </w:r>
      <w:r>
        <w:rPr>
          <w:color w:val="000000" w:themeColor="text1"/>
        </w:rPr>
        <w:t>”.</w:t>
      </w:r>
    </w:p>
    <w:p w14:paraId="27F71BAB" w14:textId="5F4F8264" w:rsidR="003A1558" w:rsidRDefault="00CB515B">
      <w:pPr>
        <w:tabs>
          <w:tab w:val="left" w:pos="567"/>
        </w:tabs>
        <w:ind w:firstLine="567"/>
        <w:jc w:val="both"/>
      </w:pPr>
      <w:r>
        <w:t>18.1.</w:t>
      </w:r>
      <w:r w:rsidR="005B5F99">
        <w:t>10</w:t>
      </w:r>
      <w:r>
        <w:t>. Annex 7 “</w:t>
      </w:r>
      <w:r w:rsidR="00347711" w:rsidRPr="00347711">
        <w:t>Draft Public Procurement-Sale Contract</w:t>
      </w:r>
      <w:r>
        <w:t>”.</w:t>
      </w:r>
      <w:r>
        <w:tab/>
      </w:r>
      <w:r>
        <w:tab/>
      </w:r>
    </w:p>
    <w:p w14:paraId="55FBFBC5" w14:textId="77777777" w:rsidR="003A1558" w:rsidRDefault="003A1558"/>
    <w:p w14:paraId="2C297125" w14:textId="77777777" w:rsidR="003A1558" w:rsidRDefault="003A1558"/>
    <w:p w14:paraId="1282EBD0" w14:textId="77777777" w:rsidR="003A1558" w:rsidRDefault="003A1558"/>
    <w:p w14:paraId="01E07D21" w14:textId="77777777" w:rsidR="003A1558" w:rsidRDefault="003A1558"/>
    <w:p w14:paraId="068B28AD" w14:textId="77777777" w:rsidR="003A1558" w:rsidRDefault="003A1558"/>
    <w:p w14:paraId="6DC271C4" w14:textId="77777777" w:rsidR="003A1558" w:rsidRDefault="003A1558"/>
    <w:p w14:paraId="4DBE2303" w14:textId="77777777" w:rsidR="003A1558" w:rsidRDefault="003A1558"/>
    <w:p w14:paraId="6DEF4455" w14:textId="77777777" w:rsidR="003A1558" w:rsidRDefault="003A1558"/>
    <w:p w14:paraId="735D9447" w14:textId="77777777" w:rsidR="003A1558" w:rsidRDefault="003A1558"/>
    <w:p w14:paraId="1C48EEF1" w14:textId="39362976" w:rsidR="003A1558" w:rsidRDefault="003A1558">
      <w:pPr>
        <w:ind w:firstLine="720"/>
      </w:pPr>
    </w:p>
    <w:sectPr w:rsidR="003A1558">
      <w:headerReference w:type="default" r:id="rId9"/>
      <w:footerReference w:type="default" r:id="rId10"/>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4235" w14:textId="77777777" w:rsidR="004768BF" w:rsidRDefault="004768BF">
      <w:r>
        <w:separator/>
      </w:r>
    </w:p>
  </w:endnote>
  <w:endnote w:type="continuationSeparator" w:id="0">
    <w:p w14:paraId="41DE55D6" w14:textId="77777777" w:rsidR="004768BF" w:rsidRDefault="0047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8DDD" w14:textId="6DB6858E" w:rsidR="003A1558" w:rsidRDefault="00CB515B">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rPr>
      <w:t xml:space="preserve"> of </w:t>
    </w:r>
    <w:r>
      <w:rPr>
        <w:rFonts w:ascii="Times New Roman" w:eastAsia="Times New Roman" w:hAnsi="Times New Roman" w:cs="Times New Roman"/>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6EB2" w14:textId="77777777" w:rsidR="004768BF" w:rsidRDefault="004768BF">
      <w:r>
        <w:separator/>
      </w:r>
    </w:p>
  </w:footnote>
  <w:footnote w:type="continuationSeparator" w:id="0">
    <w:p w14:paraId="24098FB5" w14:textId="77777777" w:rsidR="004768BF" w:rsidRDefault="004768BF">
      <w:r>
        <w:continuationSeparator/>
      </w:r>
    </w:p>
  </w:footnote>
  <w:footnote w:id="1">
    <w:p w14:paraId="6AB28941" w14:textId="01821342" w:rsidR="003A1558" w:rsidRDefault="00CB515B">
      <w:pPr>
        <w:pStyle w:val="FootnoteText"/>
      </w:pPr>
      <w:r>
        <w:rPr>
          <w:rStyle w:val="FootnoteReference"/>
        </w:rPr>
        <w:footnoteRef/>
      </w:r>
      <w:r>
        <w:t xml:space="preserve">VPAGSSĮ – Law of the Republic of Lithuania on Public Procurement in the </w:t>
      </w:r>
      <w:proofErr w:type="spellStart"/>
      <w:r>
        <w:t>Defence</w:t>
      </w:r>
      <w:proofErr w:type="spellEnd"/>
      <w:r>
        <w:t xml:space="preserve"> and Security 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5537" w14:textId="77777777" w:rsidR="003A1558" w:rsidRDefault="00CB515B">
    <w:r>
      <w:rPr>
        <w:noProof/>
      </w:rPr>
      <mc:AlternateContent>
        <mc:Choice Requires="wps">
          <w:drawing>
            <wp:anchor distT="152400" distB="152400" distL="152400" distR="152400" simplePos="0" relativeHeight="251658240" behindDoc="1" locked="0" layoutInCell="1" allowOverlap="1" wp14:anchorId="50CCCB9B" wp14:editId="5BABD8B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du="http://schemas.microsoft.com/office/word/2023/wordml/word16du">
          <w:pict>
            <v:line w14:anchorId="19B8AF30"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119BB"/>
    <w:rsid w:val="00026BE8"/>
    <w:rsid w:val="00027385"/>
    <w:rsid w:val="00031517"/>
    <w:rsid w:val="0004374D"/>
    <w:rsid w:val="000556B6"/>
    <w:rsid w:val="00071485"/>
    <w:rsid w:val="0007663B"/>
    <w:rsid w:val="00093518"/>
    <w:rsid w:val="00097FBD"/>
    <w:rsid w:val="000B061D"/>
    <w:rsid w:val="000E06DC"/>
    <w:rsid w:val="00104EED"/>
    <w:rsid w:val="00105EE0"/>
    <w:rsid w:val="001142B1"/>
    <w:rsid w:val="00114A07"/>
    <w:rsid w:val="001202D3"/>
    <w:rsid w:val="00120974"/>
    <w:rsid w:val="00152DA7"/>
    <w:rsid w:val="00152EFD"/>
    <w:rsid w:val="00156687"/>
    <w:rsid w:val="00174408"/>
    <w:rsid w:val="001753AF"/>
    <w:rsid w:val="0018423B"/>
    <w:rsid w:val="00184D3C"/>
    <w:rsid w:val="00186101"/>
    <w:rsid w:val="001A4F12"/>
    <w:rsid w:val="001B5102"/>
    <w:rsid w:val="001E5009"/>
    <w:rsid w:val="0020358A"/>
    <w:rsid w:val="002139FB"/>
    <w:rsid w:val="002216D8"/>
    <w:rsid w:val="002241B8"/>
    <w:rsid w:val="00227E65"/>
    <w:rsid w:val="002370A5"/>
    <w:rsid w:val="0023756A"/>
    <w:rsid w:val="00240F0C"/>
    <w:rsid w:val="00252A8E"/>
    <w:rsid w:val="00254A94"/>
    <w:rsid w:val="002735D0"/>
    <w:rsid w:val="00280710"/>
    <w:rsid w:val="00287C8C"/>
    <w:rsid w:val="00290C19"/>
    <w:rsid w:val="002B22CC"/>
    <w:rsid w:val="00303980"/>
    <w:rsid w:val="00311A1C"/>
    <w:rsid w:val="00311E0A"/>
    <w:rsid w:val="00312CBA"/>
    <w:rsid w:val="003133A7"/>
    <w:rsid w:val="003149F2"/>
    <w:rsid w:val="0033036E"/>
    <w:rsid w:val="00334BA1"/>
    <w:rsid w:val="00347711"/>
    <w:rsid w:val="00347A54"/>
    <w:rsid w:val="0035433B"/>
    <w:rsid w:val="00362806"/>
    <w:rsid w:val="00363577"/>
    <w:rsid w:val="00370648"/>
    <w:rsid w:val="00371B94"/>
    <w:rsid w:val="00386EE3"/>
    <w:rsid w:val="003962D3"/>
    <w:rsid w:val="003A1558"/>
    <w:rsid w:val="003A39AA"/>
    <w:rsid w:val="003B5B50"/>
    <w:rsid w:val="003B7110"/>
    <w:rsid w:val="003C1BE5"/>
    <w:rsid w:val="003C3585"/>
    <w:rsid w:val="003E5D5A"/>
    <w:rsid w:val="0040037C"/>
    <w:rsid w:val="00403FAF"/>
    <w:rsid w:val="00416927"/>
    <w:rsid w:val="004274E6"/>
    <w:rsid w:val="0043662B"/>
    <w:rsid w:val="004372F0"/>
    <w:rsid w:val="0043782D"/>
    <w:rsid w:val="0044726B"/>
    <w:rsid w:val="00453C25"/>
    <w:rsid w:val="004708A8"/>
    <w:rsid w:val="004727F6"/>
    <w:rsid w:val="004741E2"/>
    <w:rsid w:val="00475FA5"/>
    <w:rsid w:val="00476245"/>
    <w:rsid w:val="004768BF"/>
    <w:rsid w:val="0047730C"/>
    <w:rsid w:val="00481B4B"/>
    <w:rsid w:val="00491482"/>
    <w:rsid w:val="00492EFB"/>
    <w:rsid w:val="004B1D6F"/>
    <w:rsid w:val="004B3E88"/>
    <w:rsid w:val="004B5142"/>
    <w:rsid w:val="004F0FD3"/>
    <w:rsid w:val="004F6C6D"/>
    <w:rsid w:val="00507CC2"/>
    <w:rsid w:val="00520EF0"/>
    <w:rsid w:val="0052303D"/>
    <w:rsid w:val="00523E70"/>
    <w:rsid w:val="00531F1D"/>
    <w:rsid w:val="00540CEB"/>
    <w:rsid w:val="00545B37"/>
    <w:rsid w:val="00550F57"/>
    <w:rsid w:val="0056509C"/>
    <w:rsid w:val="0057150A"/>
    <w:rsid w:val="00575A6A"/>
    <w:rsid w:val="0058470D"/>
    <w:rsid w:val="005964BB"/>
    <w:rsid w:val="005B088F"/>
    <w:rsid w:val="005B5F99"/>
    <w:rsid w:val="005C347E"/>
    <w:rsid w:val="005D65FF"/>
    <w:rsid w:val="005E41C6"/>
    <w:rsid w:val="005E6FC1"/>
    <w:rsid w:val="00610F91"/>
    <w:rsid w:val="00612D45"/>
    <w:rsid w:val="006321F2"/>
    <w:rsid w:val="006329F2"/>
    <w:rsid w:val="00634896"/>
    <w:rsid w:val="00640A4E"/>
    <w:rsid w:val="006546B6"/>
    <w:rsid w:val="00673F00"/>
    <w:rsid w:val="00676592"/>
    <w:rsid w:val="006768C1"/>
    <w:rsid w:val="006833A4"/>
    <w:rsid w:val="00686895"/>
    <w:rsid w:val="006903D2"/>
    <w:rsid w:val="006975B3"/>
    <w:rsid w:val="006B3251"/>
    <w:rsid w:val="006E600B"/>
    <w:rsid w:val="006F1F8D"/>
    <w:rsid w:val="006F7E91"/>
    <w:rsid w:val="007012B5"/>
    <w:rsid w:val="00703597"/>
    <w:rsid w:val="0072636B"/>
    <w:rsid w:val="0073093D"/>
    <w:rsid w:val="007336AF"/>
    <w:rsid w:val="00734F21"/>
    <w:rsid w:val="0073554B"/>
    <w:rsid w:val="007412DA"/>
    <w:rsid w:val="007443E8"/>
    <w:rsid w:val="00747E8D"/>
    <w:rsid w:val="007673F8"/>
    <w:rsid w:val="00767BD5"/>
    <w:rsid w:val="00782A27"/>
    <w:rsid w:val="007A2262"/>
    <w:rsid w:val="007B06E8"/>
    <w:rsid w:val="007B4B52"/>
    <w:rsid w:val="007C6BCB"/>
    <w:rsid w:val="007E3B8C"/>
    <w:rsid w:val="007E65A4"/>
    <w:rsid w:val="007F0E85"/>
    <w:rsid w:val="0080650A"/>
    <w:rsid w:val="00810F5C"/>
    <w:rsid w:val="00812F17"/>
    <w:rsid w:val="0082164F"/>
    <w:rsid w:val="00830F1F"/>
    <w:rsid w:val="00836676"/>
    <w:rsid w:val="008558A7"/>
    <w:rsid w:val="008666C9"/>
    <w:rsid w:val="008677CA"/>
    <w:rsid w:val="00876971"/>
    <w:rsid w:val="00882B49"/>
    <w:rsid w:val="0089503B"/>
    <w:rsid w:val="008A363F"/>
    <w:rsid w:val="008B22A4"/>
    <w:rsid w:val="008B4C87"/>
    <w:rsid w:val="008D5D61"/>
    <w:rsid w:val="008E2B25"/>
    <w:rsid w:val="008F7C02"/>
    <w:rsid w:val="009007CE"/>
    <w:rsid w:val="00905724"/>
    <w:rsid w:val="00922876"/>
    <w:rsid w:val="0094655E"/>
    <w:rsid w:val="00962644"/>
    <w:rsid w:val="00970626"/>
    <w:rsid w:val="009712D8"/>
    <w:rsid w:val="0097148D"/>
    <w:rsid w:val="00973EBD"/>
    <w:rsid w:val="0097728E"/>
    <w:rsid w:val="009869CE"/>
    <w:rsid w:val="009B6577"/>
    <w:rsid w:val="009C127B"/>
    <w:rsid w:val="009C6A87"/>
    <w:rsid w:val="009D6D75"/>
    <w:rsid w:val="009E5DE2"/>
    <w:rsid w:val="009E6642"/>
    <w:rsid w:val="009E6AA3"/>
    <w:rsid w:val="009E7FB2"/>
    <w:rsid w:val="009F1D20"/>
    <w:rsid w:val="00A05388"/>
    <w:rsid w:val="00A05C34"/>
    <w:rsid w:val="00A16814"/>
    <w:rsid w:val="00A216CB"/>
    <w:rsid w:val="00A365A9"/>
    <w:rsid w:val="00A43D57"/>
    <w:rsid w:val="00A5117F"/>
    <w:rsid w:val="00A62024"/>
    <w:rsid w:val="00A760E6"/>
    <w:rsid w:val="00A8387C"/>
    <w:rsid w:val="00A83BF8"/>
    <w:rsid w:val="00A8613F"/>
    <w:rsid w:val="00A95A66"/>
    <w:rsid w:val="00AA124A"/>
    <w:rsid w:val="00AA1A78"/>
    <w:rsid w:val="00AA20CB"/>
    <w:rsid w:val="00AA22BA"/>
    <w:rsid w:val="00AB19B4"/>
    <w:rsid w:val="00AB404D"/>
    <w:rsid w:val="00AC1686"/>
    <w:rsid w:val="00AE46DE"/>
    <w:rsid w:val="00AF5E04"/>
    <w:rsid w:val="00AF7714"/>
    <w:rsid w:val="00B02661"/>
    <w:rsid w:val="00B11736"/>
    <w:rsid w:val="00B11AB5"/>
    <w:rsid w:val="00B138A9"/>
    <w:rsid w:val="00B27326"/>
    <w:rsid w:val="00B511E6"/>
    <w:rsid w:val="00B519F0"/>
    <w:rsid w:val="00B555E9"/>
    <w:rsid w:val="00B6545F"/>
    <w:rsid w:val="00B70893"/>
    <w:rsid w:val="00B73BBD"/>
    <w:rsid w:val="00B7753D"/>
    <w:rsid w:val="00B81C52"/>
    <w:rsid w:val="00B9135C"/>
    <w:rsid w:val="00B92FA5"/>
    <w:rsid w:val="00B94799"/>
    <w:rsid w:val="00BA72E0"/>
    <w:rsid w:val="00BB4474"/>
    <w:rsid w:val="00BB65DA"/>
    <w:rsid w:val="00BC1FF6"/>
    <w:rsid w:val="00BC280D"/>
    <w:rsid w:val="00BE4004"/>
    <w:rsid w:val="00BF0C0A"/>
    <w:rsid w:val="00BF4455"/>
    <w:rsid w:val="00BF7C16"/>
    <w:rsid w:val="00C0110C"/>
    <w:rsid w:val="00C05891"/>
    <w:rsid w:val="00C061AE"/>
    <w:rsid w:val="00C11AEA"/>
    <w:rsid w:val="00C11E05"/>
    <w:rsid w:val="00C17DDB"/>
    <w:rsid w:val="00C21ABA"/>
    <w:rsid w:val="00C235B7"/>
    <w:rsid w:val="00C23B2F"/>
    <w:rsid w:val="00C26343"/>
    <w:rsid w:val="00C3152A"/>
    <w:rsid w:val="00C4270F"/>
    <w:rsid w:val="00C45154"/>
    <w:rsid w:val="00C63C36"/>
    <w:rsid w:val="00C80B0C"/>
    <w:rsid w:val="00C834D4"/>
    <w:rsid w:val="00C9417E"/>
    <w:rsid w:val="00C95A60"/>
    <w:rsid w:val="00C974CA"/>
    <w:rsid w:val="00CA6DD8"/>
    <w:rsid w:val="00CB515B"/>
    <w:rsid w:val="00CC2C71"/>
    <w:rsid w:val="00CC5688"/>
    <w:rsid w:val="00CD4B4C"/>
    <w:rsid w:val="00D01AE7"/>
    <w:rsid w:val="00D30343"/>
    <w:rsid w:val="00D34EF2"/>
    <w:rsid w:val="00D37636"/>
    <w:rsid w:val="00D4051E"/>
    <w:rsid w:val="00D43960"/>
    <w:rsid w:val="00D5341F"/>
    <w:rsid w:val="00D722DD"/>
    <w:rsid w:val="00D72B06"/>
    <w:rsid w:val="00D839C2"/>
    <w:rsid w:val="00D91F27"/>
    <w:rsid w:val="00D94A95"/>
    <w:rsid w:val="00D9781E"/>
    <w:rsid w:val="00DA1313"/>
    <w:rsid w:val="00DB4EE2"/>
    <w:rsid w:val="00DB520E"/>
    <w:rsid w:val="00DC161A"/>
    <w:rsid w:val="00DE2A49"/>
    <w:rsid w:val="00DE33C5"/>
    <w:rsid w:val="00DF72BF"/>
    <w:rsid w:val="00E17FF9"/>
    <w:rsid w:val="00E20784"/>
    <w:rsid w:val="00E31903"/>
    <w:rsid w:val="00E40D93"/>
    <w:rsid w:val="00E41A4E"/>
    <w:rsid w:val="00E46BEF"/>
    <w:rsid w:val="00E54687"/>
    <w:rsid w:val="00E672CD"/>
    <w:rsid w:val="00E74A67"/>
    <w:rsid w:val="00E809AC"/>
    <w:rsid w:val="00E86F4D"/>
    <w:rsid w:val="00E8793B"/>
    <w:rsid w:val="00E93BB4"/>
    <w:rsid w:val="00EA2EFA"/>
    <w:rsid w:val="00EB748B"/>
    <w:rsid w:val="00EC18EA"/>
    <w:rsid w:val="00EC6006"/>
    <w:rsid w:val="00EE12D6"/>
    <w:rsid w:val="00EE73F5"/>
    <w:rsid w:val="00F06D78"/>
    <w:rsid w:val="00F41977"/>
    <w:rsid w:val="00F42309"/>
    <w:rsid w:val="00F468B6"/>
    <w:rsid w:val="00F841EC"/>
    <w:rsid w:val="00F916E1"/>
    <w:rsid w:val="00F91990"/>
    <w:rsid w:val="00F92586"/>
    <w:rsid w:val="00F937CB"/>
    <w:rsid w:val="00F941ED"/>
    <w:rsid w:val="00FC7E7C"/>
    <w:rsid w:val="00FD0B81"/>
    <w:rsid w:val="00FD1E6C"/>
    <w:rsid w:val="00FE0302"/>
    <w:rsid w:val="00FE1F08"/>
    <w:rsid w:val="00FF102A"/>
    <w:rsid w:val="00FF21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4FF9E"/>
  <w15:docId w15:val="{F3F2649A-08F2-40DB-85D8-9C7B2C08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640A4E"/>
    <w:rPr>
      <w:sz w:val="16"/>
      <w:szCs w:val="16"/>
    </w:rPr>
  </w:style>
  <w:style w:type="paragraph" w:styleId="CommentText">
    <w:name w:val="annotation text"/>
    <w:basedOn w:val="Normal"/>
    <w:link w:val="CommentTextChar"/>
    <w:uiPriority w:val="99"/>
    <w:semiHidden/>
    <w:unhideWhenUsed/>
    <w:rsid w:val="00640A4E"/>
    <w:rPr>
      <w:sz w:val="20"/>
      <w:szCs w:val="20"/>
    </w:rPr>
  </w:style>
  <w:style w:type="character" w:customStyle="1" w:styleId="CommentTextChar">
    <w:name w:val="Comment Text Char"/>
    <w:basedOn w:val="DefaultParagraphFont"/>
    <w:link w:val="CommentText"/>
    <w:uiPriority w:val="99"/>
    <w:semiHidden/>
    <w:rsid w:val="00640A4E"/>
  </w:style>
  <w:style w:type="paragraph" w:styleId="CommentSubject">
    <w:name w:val="annotation subject"/>
    <w:basedOn w:val="CommentText"/>
    <w:next w:val="CommentText"/>
    <w:link w:val="CommentSubjectChar"/>
    <w:uiPriority w:val="99"/>
    <w:semiHidden/>
    <w:unhideWhenUsed/>
    <w:rsid w:val="00640A4E"/>
    <w:rPr>
      <w:b/>
      <w:bCs/>
    </w:rPr>
  </w:style>
  <w:style w:type="character" w:customStyle="1" w:styleId="CommentSubjectChar">
    <w:name w:val="Comment Subject Char"/>
    <w:basedOn w:val="CommentTextChar"/>
    <w:link w:val="CommentSubject"/>
    <w:uiPriority w:val="99"/>
    <w:semiHidden/>
    <w:rsid w:val="00640A4E"/>
    <w:rPr>
      <w:b/>
      <w:bCs/>
    </w:rPr>
  </w:style>
  <w:style w:type="paragraph" w:styleId="BalloonText">
    <w:name w:val="Balloon Text"/>
    <w:basedOn w:val="Normal"/>
    <w:link w:val="BalloonTextChar"/>
    <w:uiPriority w:val="99"/>
    <w:semiHidden/>
    <w:unhideWhenUsed/>
    <w:rsid w:val="00640A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4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2F0"/>
    <w:rPr>
      <w:color w:val="605E5C"/>
      <w:shd w:val="clear" w:color="auto" w:fill="E1DFDD"/>
    </w:rPr>
  </w:style>
  <w:style w:type="paragraph" w:styleId="FootnoteText">
    <w:name w:val="footnote text"/>
    <w:basedOn w:val="Normal"/>
    <w:link w:val="FootnoteTextChar"/>
    <w:uiPriority w:val="99"/>
    <w:semiHidden/>
    <w:unhideWhenUsed/>
    <w:rsid w:val="00D72B06"/>
    <w:rPr>
      <w:sz w:val="20"/>
      <w:szCs w:val="20"/>
    </w:rPr>
  </w:style>
  <w:style w:type="character" w:customStyle="1" w:styleId="FootnoteTextChar">
    <w:name w:val="Footnote Text Char"/>
    <w:basedOn w:val="DefaultParagraphFont"/>
    <w:link w:val="FootnoteText"/>
    <w:uiPriority w:val="99"/>
    <w:semiHidden/>
    <w:rsid w:val="00D72B06"/>
  </w:style>
  <w:style w:type="character" w:styleId="FootnoteReference">
    <w:name w:val="footnote reference"/>
    <w:basedOn w:val="DefaultParagraphFont"/>
    <w:uiPriority w:val="99"/>
    <w:semiHidden/>
    <w:unhideWhenUsed/>
    <w:rsid w:val="00D72B06"/>
    <w:rPr>
      <w:vertAlign w:val="superscript"/>
    </w:rPr>
  </w:style>
  <w:style w:type="paragraph" w:customStyle="1" w:styleId="P68B1DB1-Normal1">
    <w:name w:val="P68B1DB1-Normal1"/>
    <w:basedOn w:val="Normal"/>
    <w:rPr>
      <w:color w:val="000000"/>
    </w:rPr>
  </w:style>
  <w:style w:type="paragraph" w:customStyle="1" w:styleId="P68B1DB1-Heading2">
    <w:name w:val="P68B1DB1-Heading2"/>
    <w:basedOn w:val="Heading"/>
    <w:rPr>
      <w:rFonts w:cs="Times New Roman"/>
      <w:color w:val="000000" w:themeColor="text1"/>
      <w:sz w:val="24"/>
      <w:szCs w:val="24"/>
    </w:rPr>
  </w:style>
  <w:style w:type="paragraph" w:customStyle="1" w:styleId="P68B1DB1-Body3">
    <w:name w:val="P68B1DB1-Body3"/>
    <w:basedOn w:val="Body"/>
    <w:rPr>
      <w:rFonts w:ascii="Times New Roman" w:eastAsia="Arial Unicode MS" w:hAnsi="Times New Roman" w:cs="Times New Roman"/>
      <w:b/>
      <w:caps/>
      <w:spacing w:val="4"/>
      <w:sz w:val="24"/>
    </w:rPr>
  </w:style>
  <w:style w:type="paragraph" w:customStyle="1" w:styleId="P68B1DB1-Normal4">
    <w:name w:val="P68B1DB1-Normal4"/>
    <w:basedOn w:val="Normal"/>
    <w:rPr>
      <w:b/>
    </w:rPr>
  </w:style>
  <w:style w:type="paragraph" w:customStyle="1" w:styleId="P68B1DB1-Body25">
    <w:name w:val="P68B1DB1-Body25"/>
    <w:basedOn w:val="Body2"/>
    <w:rPr>
      <w:sz w:val="24"/>
      <w:szCs w:val="24"/>
    </w:rPr>
  </w:style>
  <w:style w:type="paragraph" w:customStyle="1" w:styleId="P68B1DB1-Body26">
    <w:name w:val="P68B1DB1-Body26"/>
    <w:basedOn w:val="Body2"/>
    <w:rPr>
      <w:rFonts w:cs="Times New Roman"/>
      <w:b/>
      <w:sz w:val="24"/>
      <w:szCs w:val="24"/>
    </w:rPr>
  </w:style>
  <w:style w:type="paragraph" w:styleId="Revision">
    <w:name w:val="Revision"/>
    <w:hidden/>
    <w:uiPriority w:val="99"/>
    <w:semiHidden/>
    <w:rsid w:val="00EA2EF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5/XNqhLtSLXOs.pdf"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AFEB-BC84-46C6-A09D-4A37874E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12</Pages>
  <Words>27450</Words>
  <Characters>15647</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Turcinavicius</dc:creator>
  <cp:lastModifiedBy>Ramunė Skliaustienė</cp:lastModifiedBy>
  <cp:revision>101</cp:revision>
  <dcterms:created xsi:type="dcterms:W3CDTF">2022-11-03T05:26:00Z</dcterms:created>
  <dcterms:modified xsi:type="dcterms:W3CDTF">2026-07-09T11:00:00Z</dcterms:modified>
</cp:coreProperties>
</file>