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0534C84B" w:rsidR="00660458" w:rsidRPr="00660458" w:rsidRDefault="009D3A55" w:rsidP="00660458">
      <w:pPr>
        <w:tabs>
          <w:tab w:val="left" w:pos="8137"/>
        </w:tabs>
        <w:spacing w:before="60" w:after="60"/>
        <w:jc w:val="right"/>
        <w:rPr>
          <w:i/>
          <w:iCs/>
          <w:sz w:val="20"/>
          <w:szCs w:val="20"/>
        </w:rPr>
      </w:pPr>
      <w:r w:rsidRPr="00660458">
        <w:rPr>
          <w:i/>
          <w:iCs/>
          <w:sz w:val="20"/>
          <w:szCs w:val="20"/>
        </w:rPr>
        <w:t>P</w:t>
      </w:r>
      <w:r w:rsidR="00660458" w:rsidRPr="00660458">
        <w:rPr>
          <w:i/>
          <w:iCs/>
          <w:sz w:val="20"/>
          <w:szCs w:val="20"/>
        </w:rPr>
        <w:t>riedas</w:t>
      </w:r>
      <w:r>
        <w:rPr>
          <w:i/>
          <w:iCs/>
          <w:sz w:val="20"/>
          <w:szCs w:val="20"/>
        </w:rPr>
        <w:t xml:space="preserve"> Nr.</w:t>
      </w:r>
    </w:p>
    <w:p w14:paraId="61B011A8" w14:textId="7CE5490C" w:rsidR="00B418E6" w:rsidRPr="00983350" w:rsidRDefault="00983350" w:rsidP="00B418E6">
      <w:pPr>
        <w:tabs>
          <w:tab w:val="left" w:pos="8137"/>
        </w:tabs>
        <w:spacing w:before="60" w:after="60"/>
        <w:jc w:val="center"/>
        <w:rPr>
          <w:b/>
          <w:bCs/>
          <w:caps/>
        </w:rPr>
      </w:pPr>
      <w:r w:rsidRPr="00983350">
        <w:rPr>
          <w:b/>
          <w:bCs/>
          <w:caps/>
        </w:rPr>
        <w:t>Vertinimo kriterijai</w:t>
      </w:r>
    </w:p>
    <w:bookmarkStart w:id="0" w:name="_Hlk154867894"/>
    <w:p w14:paraId="048E4B49" w14:textId="68EA0D2A" w:rsidR="00E25C0E" w:rsidRPr="00C04E8C" w:rsidRDefault="00000000" w:rsidP="00E25C0E">
      <w:pPr>
        <w:tabs>
          <w:tab w:val="left" w:pos="8137"/>
        </w:tabs>
        <w:spacing w:before="60" w:after="60"/>
        <w:jc w:val="center"/>
        <w:rPr>
          <w:b/>
          <w:bCs/>
          <w:i/>
          <w:iCs/>
        </w:rPr>
      </w:pPr>
      <w:sdt>
        <w:sdtPr>
          <w:rPr>
            <w:b/>
            <w:bCs/>
            <w:i/>
            <w:iCs/>
          </w:rPr>
          <w:alias w:val="Pirkimo pavadinimas"/>
          <w:tag w:val="Pirkimo pavadinimas"/>
          <w:id w:val="304740216"/>
          <w:placeholder>
            <w:docPart w:val="1E8DE0DADBDD469E868A4276F1B8A31D"/>
          </w:placeholder>
        </w:sdtPr>
        <w:sdtContent>
          <w:r w:rsidR="00BC14AE" w:rsidRPr="00BC14AE">
            <w:rPr>
              <w:b/>
              <w:bCs/>
              <w:i/>
              <w:iCs/>
            </w:rPr>
            <w:t xml:space="preserve">(PU-15407/26) </w:t>
          </w:r>
          <w:r w:rsidR="00F47BBE" w:rsidRPr="00F47BBE">
            <w:rPr>
              <w:b/>
              <w:bCs/>
              <w:i/>
              <w:iCs/>
            </w:rPr>
            <w:t>Geografinės informacinės sistemos (GIS) serverių platformos licencijos</w:t>
          </w:r>
        </w:sdtContent>
      </w:sdt>
      <w:bookmarkEnd w:id="0"/>
      <w:r w:rsidR="001C3965" w:rsidRPr="001C3965">
        <w:rPr>
          <w:b/>
          <w:bCs/>
          <w:i/>
          <w:iCs/>
        </w:rPr>
        <w:t xml:space="preserve"> ir konsultavimo paslaugos</w:t>
      </w:r>
    </w:p>
    <w:p w14:paraId="3AA23585" w14:textId="77777777" w:rsidR="00B418E6" w:rsidRPr="00C04E8C" w:rsidRDefault="00B418E6" w:rsidP="00B418E6">
      <w:pPr>
        <w:pStyle w:val="Sraopastraipa"/>
        <w:tabs>
          <w:tab w:val="left" w:pos="284"/>
        </w:tabs>
        <w:spacing w:before="60" w:after="60"/>
        <w:ind w:left="0"/>
        <w:jc w:val="center"/>
        <w:rPr>
          <w:rFonts w:cs="Times New Roman"/>
          <w:b/>
          <w:bCs/>
          <w:lang w:val="lt-LT"/>
        </w:rPr>
      </w:pPr>
    </w:p>
    <w:p w14:paraId="5A51B197" w14:textId="77777777" w:rsidR="00ED1511" w:rsidRDefault="00ED1511">
      <w:pPr>
        <w:rPr>
          <w:b/>
          <w:bCs/>
        </w:rPr>
      </w:pPr>
      <w:r>
        <w:rPr>
          <w:b/>
          <w:bCs/>
        </w:rPr>
        <w:t>1. Bendrosios vertinimo nuostatos</w:t>
      </w:r>
    </w:p>
    <w:p w14:paraId="6190495A" w14:textId="77777777" w:rsidR="00FD30B1" w:rsidRDefault="00FD30B1">
      <w:pPr>
        <w:rPr>
          <w:kern w:val="2"/>
          <w14:ligatures w14:val="standardContextual"/>
        </w:rPr>
      </w:pPr>
    </w:p>
    <w:p w14:paraId="3CDA24A7" w14:textId="77777777" w:rsidR="00ED1511" w:rsidRDefault="00ED1511" w:rsidP="00FD30B1">
      <w:pPr>
        <w:rPr>
          <w:kern w:val="2"/>
          <w14:ligatures w14:val="standardContextual"/>
        </w:rPr>
      </w:pPr>
      <w:r>
        <w:t>Pasiūlymai vertinami pagal ekonomiškai naudingiausio pasiūlymo kriterijus, derinant kainos ir kokybės santykį. Vertinimo kriterijai parengti taip, kad būtų galima objektyviai įvertinti tiekėjo gebėjimą tinkamai įvykdyti sutartį, užtikrinti siūlomos GIS serverių platformos licencijų, naudotojų licencijų, mokymų, konsultavimo ir palaikymo paslaugų kokybę bei suteikti pagrįstą pranašumą tiekėjams, turintiems praktinės patirties su ESRI ArcGIS, ArcGIS Enterprise arba lygiaverčiais GIS serverių platformų sprendimais.</w:t>
      </w:r>
    </w:p>
    <w:p w14:paraId="14A575DE" w14:textId="77777777" w:rsidR="00ED1511" w:rsidRDefault="00ED1511" w:rsidP="00FD30B1">
      <w:pPr>
        <w:rPr>
          <w:kern w:val="2"/>
          <w14:ligatures w14:val="standardContextual"/>
        </w:rPr>
      </w:pPr>
      <w:r>
        <w:t>Vertinant pasiūlymus laikomasi lygiateisiškumo, nediskriminavimo, proporcingumo, skaidrumo ir racionalaus lėšų naudojimo principų. Nuorodos į ESRI ArcGIS, ArcGIS Enterprise ar kitus konkrečius produktų pavadinimus šiame dokumente suprantamos kaip nuorodos į Pirkėjo šiuo metu naudojamą technologinę aplinką ir pirkimo objekto kontekstą. Tiekėjai turi teisę pateikti lygiaverčius sprendimus, jeigu jie atitinka techninės specifikacijos reikalavimus ir užtikrina pirkimo objekto tikslų įgyvendinimą.</w:t>
      </w:r>
    </w:p>
    <w:p w14:paraId="67049211" w14:textId="647A75FF" w:rsidR="00ED1511" w:rsidRDefault="00ED1511" w:rsidP="00FD30B1">
      <w:r>
        <w:t xml:space="preserve">Kokybiniai kriterijai vertinami tik pagal tiekėjo pasiūlyme pateiktus dokumentus, aiškius faktinius duomenis ir patikrinamus įrodymus. </w:t>
      </w:r>
      <w:r w:rsidR="006A0A19">
        <w:t xml:space="preserve">Argumentai ar </w:t>
      </w:r>
      <w:r>
        <w:t>teiginiai, nepagrįsti dokumentais ar konkrečiais duomenimis, nevertinami arba vertinami 0 balų pagal atitinkamą kriterijų.</w:t>
      </w:r>
    </w:p>
    <w:p w14:paraId="4046906D" w14:textId="77777777" w:rsidR="00FD30B1" w:rsidRDefault="00FD30B1">
      <w:pPr>
        <w:rPr>
          <w:kern w:val="2"/>
          <w14:ligatures w14:val="standardContextual"/>
        </w:rPr>
      </w:pPr>
    </w:p>
    <w:p w14:paraId="010D2F82" w14:textId="77777777" w:rsidR="00ED1511" w:rsidRDefault="00ED1511">
      <w:pPr>
        <w:rPr>
          <w:b/>
          <w:bCs/>
        </w:rPr>
      </w:pPr>
      <w:r>
        <w:rPr>
          <w:b/>
          <w:bCs/>
        </w:rPr>
        <w:t>2. Pasiūlymų ekonominio naudingumo vertinimo modelis</w:t>
      </w:r>
    </w:p>
    <w:p w14:paraId="48A54627" w14:textId="77777777" w:rsidR="00FD30B1" w:rsidRDefault="00FD30B1">
      <w:pPr>
        <w:rPr>
          <w:kern w:val="2"/>
          <w14:ligatures w14:val="standardContextual"/>
        </w:rPr>
      </w:pPr>
    </w:p>
    <w:p w14:paraId="307220AF" w14:textId="77777777" w:rsidR="00ED1511" w:rsidRDefault="00ED1511">
      <w:r>
        <w:t>Maksimalus bendras pasiūlymo įvertinimas – 100 balų.</w:t>
      </w:r>
    </w:p>
    <w:p w14:paraId="427F133D" w14:textId="77777777" w:rsidR="008C0CDB" w:rsidRDefault="008C0CDB">
      <w:pPr>
        <w:rPr>
          <w:kern w:val="2"/>
          <w14:ligatures w14:val="standardContextual"/>
        </w:rPr>
      </w:pPr>
    </w:p>
    <w:tbl>
      <w:tblPr>
        <w:tblStyle w:val="4tinkleliolentel-1parykinimas"/>
        <w:tblW w:w="0" w:type="auto"/>
        <w:tblInd w:w="0" w:type="dxa"/>
        <w:tblLook w:val="04A0" w:firstRow="1" w:lastRow="0" w:firstColumn="1" w:lastColumn="0" w:noHBand="0" w:noVBand="1"/>
      </w:tblPr>
      <w:tblGrid>
        <w:gridCol w:w="726"/>
        <w:gridCol w:w="6855"/>
        <w:gridCol w:w="2042"/>
      </w:tblGrid>
      <w:tr w:rsidR="00ED1511" w14:paraId="398398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66FF54" w14:textId="77777777" w:rsidR="00ED1511" w:rsidRDefault="00ED1511" w:rsidP="00840576">
            <w:pPr>
              <w:pStyle w:val="Lentel"/>
            </w:pPr>
            <w:r>
              <w:rPr>
                <w:b/>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DFED3" w14:textId="77777777" w:rsidR="00ED1511" w:rsidRDefault="00ED1511" w:rsidP="00840576">
            <w:pPr>
              <w:pStyle w:val="Lentel"/>
            </w:pPr>
            <w:r>
              <w:rPr>
                <w:b/>
              </w:rPr>
              <w:t>Vertinimo kriterijus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5BF2B" w14:textId="77777777" w:rsidR="00ED1511" w:rsidRDefault="00ED1511" w:rsidP="00840576">
            <w:pPr>
              <w:pStyle w:val="Lentel"/>
            </w:pPr>
            <w:r>
              <w:rPr>
                <w:b/>
              </w:rPr>
              <w:t>Maksimalus balų skaičius</w:t>
            </w:r>
          </w:p>
        </w:tc>
      </w:tr>
      <w:tr w:rsidR="00ED1511" w14:paraId="7FCE31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75DCD3" w14:textId="77777777" w:rsidR="00ED1511" w:rsidRDefault="00ED1511" w:rsidP="00840576">
            <w:pPr>
              <w:pStyle w:val="Lentel"/>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535E3" w14:textId="1369C068" w:rsidR="00ED1511" w:rsidRDefault="00ED1511" w:rsidP="00840576">
            <w:pPr>
              <w:pStyle w:val="Lentel"/>
            </w:pPr>
            <w:r>
              <w:t>Kaina</w:t>
            </w:r>
            <w:r w:rsidR="003868A5">
              <w:t xml:space="preserve"> (K)</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117E2" w14:textId="77777777" w:rsidR="00ED1511" w:rsidRDefault="00ED1511" w:rsidP="00CD2C06">
            <w:pPr>
              <w:pStyle w:val="Lentel"/>
              <w:jc w:val="center"/>
            </w:pPr>
            <w:r>
              <w:t>60</w:t>
            </w:r>
          </w:p>
        </w:tc>
      </w:tr>
      <w:tr w:rsidR="00ED1511" w14:paraId="57382C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59C3F1" w14:textId="77777777" w:rsidR="00ED1511" w:rsidRDefault="00ED1511" w:rsidP="00840576">
            <w:pPr>
              <w:pStyle w:val="Lentel"/>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EC434" w14:textId="325E670A" w:rsidR="00ED1511" w:rsidRDefault="00ED1511" w:rsidP="00840576">
            <w:pPr>
              <w:pStyle w:val="Lentel"/>
            </w:pPr>
            <w:r>
              <w:t>Tiekėjo patirtis diegiant, administruojant ar palaikant ESRI ArcGIS / ArcGIS Enterprise arba lygiaverčius GIS serverių platformų sprendimus</w:t>
            </w:r>
            <w:r w:rsidR="003868A5">
              <w:t xml:space="preserve"> (P)</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9B598" w14:textId="77777777" w:rsidR="00ED1511" w:rsidRDefault="00ED1511" w:rsidP="00CD2C06">
            <w:pPr>
              <w:pStyle w:val="Lentel"/>
              <w:jc w:val="center"/>
            </w:pPr>
            <w:r>
              <w:t>15</w:t>
            </w:r>
          </w:p>
        </w:tc>
      </w:tr>
      <w:tr w:rsidR="00ED1511" w14:paraId="1F145B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06C7FB" w14:textId="77777777" w:rsidR="00ED1511" w:rsidRDefault="00ED1511" w:rsidP="00840576">
            <w:pPr>
              <w:pStyle w:val="Lentel"/>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2A028" w14:textId="73CFF131" w:rsidR="00ED1511" w:rsidRDefault="00ED1511" w:rsidP="00840576">
            <w:pPr>
              <w:pStyle w:val="Lentel"/>
            </w:pPr>
            <w:r>
              <w:t>Specialistų kompetencija ir sertifikatai</w:t>
            </w:r>
            <w:r w:rsidR="003868A5">
              <w:t xml:space="preserve"> (</w:t>
            </w:r>
            <w:r w:rsidR="00C20B01">
              <w:t>Sp)</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6EC4E" w14:textId="77777777" w:rsidR="00ED1511" w:rsidRDefault="00ED1511" w:rsidP="00CD2C06">
            <w:pPr>
              <w:pStyle w:val="Lentel"/>
              <w:jc w:val="center"/>
            </w:pPr>
            <w:r>
              <w:t>10</w:t>
            </w:r>
          </w:p>
        </w:tc>
      </w:tr>
      <w:tr w:rsidR="00ED1511" w14:paraId="6EEA74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F41A11" w14:textId="77777777" w:rsidR="00ED1511" w:rsidRDefault="00ED1511" w:rsidP="00840576">
            <w:pPr>
              <w:pStyle w:val="Lentel"/>
            </w:pPr>
            <w: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8DCD0" w14:textId="5F73047C" w:rsidR="00ED1511" w:rsidRDefault="00ED1511" w:rsidP="00840576">
            <w:pPr>
              <w:pStyle w:val="Lentel"/>
            </w:pPr>
            <w:r>
              <w:t>Siūlomas pirkimo objekto įgyvendinimo, konsultavimo ir palaikymo planas</w:t>
            </w:r>
            <w:r w:rsidR="00C20B01">
              <w:t xml:space="preserve"> (Į)</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BDAEC" w14:textId="77777777" w:rsidR="00ED1511" w:rsidRDefault="00ED1511" w:rsidP="00CD2C06">
            <w:pPr>
              <w:pStyle w:val="Lentel"/>
              <w:jc w:val="center"/>
            </w:pPr>
            <w:r>
              <w:t>10</w:t>
            </w:r>
          </w:p>
        </w:tc>
      </w:tr>
      <w:tr w:rsidR="00ED1511" w14:paraId="193417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930A8C" w14:textId="77777777" w:rsidR="00ED1511" w:rsidRDefault="00ED1511" w:rsidP="00840576">
            <w:pPr>
              <w:pStyle w:val="Lentel"/>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86DDC" w14:textId="47CB0B29" w:rsidR="00ED1511" w:rsidRDefault="00ED1511" w:rsidP="00840576">
            <w:pPr>
              <w:pStyle w:val="Lentel"/>
            </w:pPr>
            <w:r>
              <w:t>Mokymų ir žinių perdavimo kokybė</w:t>
            </w:r>
            <w:r w:rsidR="00C20B01">
              <w:t xml:space="preserve"> (M)</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B51F5" w14:textId="77777777" w:rsidR="00ED1511" w:rsidRDefault="00ED1511" w:rsidP="00CD2C06">
            <w:pPr>
              <w:pStyle w:val="Lentel"/>
              <w:jc w:val="center"/>
            </w:pPr>
            <w:r>
              <w:t>5</w:t>
            </w:r>
          </w:p>
        </w:tc>
      </w:tr>
      <w:tr w:rsidR="00ED1511" w14:paraId="56D88D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6F6D3E" w14:textId="77777777" w:rsidR="00ED1511" w:rsidRDefault="00ED1511" w:rsidP="00840576">
            <w:pPr>
              <w:pStyle w:val="Lentel"/>
            </w:pPr>
          </w:p>
        </w:tc>
        <w:tc>
          <w:tcPr>
            <w:tcW w:w="0" w:type="auto"/>
            <w:tcBorders>
              <w:top w:val="outset" w:sz="6" w:space="0" w:color="auto"/>
              <w:left w:val="outset" w:sz="6" w:space="0" w:color="auto"/>
              <w:bottom w:val="outset" w:sz="6" w:space="0" w:color="auto"/>
              <w:right w:val="outset" w:sz="6" w:space="0" w:color="auto"/>
            </w:tcBorders>
            <w:vAlign w:val="center"/>
            <w:hideMark/>
          </w:tcPr>
          <w:p w14:paraId="13BED62B" w14:textId="77777777" w:rsidR="00ED1511" w:rsidRDefault="00ED1511" w:rsidP="00840576">
            <w:pPr>
              <w:pStyle w:val="Lentel"/>
            </w:pPr>
            <w:r>
              <w:rPr>
                <w:b/>
              </w:rPr>
              <w:t>Iš 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ADFCD" w14:textId="77777777" w:rsidR="00ED1511" w:rsidRDefault="00ED1511" w:rsidP="00CD2C06">
            <w:pPr>
              <w:pStyle w:val="Lentel"/>
              <w:jc w:val="center"/>
            </w:pPr>
            <w:r>
              <w:rPr>
                <w:b/>
              </w:rPr>
              <w:t>100</w:t>
            </w:r>
          </w:p>
        </w:tc>
      </w:tr>
    </w:tbl>
    <w:p w14:paraId="2A6D11A8" w14:textId="77777777" w:rsidR="006A0A19" w:rsidRDefault="006A0A19"/>
    <w:p w14:paraId="5AD75E42" w14:textId="77777777" w:rsidR="00030ABF" w:rsidRDefault="00ED1511">
      <w:r>
        <w:t xml:space="preserve">Bendras pasiūlymo ekonominio naudingumo balas apskaičiuojamas pagal formulę: </w:t>
      </w:r>
    </w:p>
    <w:p w14:paraId="7415C752" w14:textId="77777777" w:rsidR="00030ABF" w:rsidRDefault="00ED1511">
      <w:r>
        <w:rPr>
          <w:b/>
          <w:bCs/>
        </w:rPr>
        <w:t>S = K + P + Sp + Į + M</w:t>
      </w:r>
      <w:r>
        <w:t>, kur</w:t>
      </w:r>
      <w:r w:rsidR="00030ABF">
        <w:t>:</w:t>
      </w:r>
    </w:p>
    <w:p w14:paraId="4DA89C07" w14:textId="77777777" w:rsidR="00030ABF" w:rsidRDefault="00ED1511">
      <w:r>
        <w:t xml:space="preserve">S – bendras pasiūlymo ekonominio naudingumo balas; </w:t>
      </w:r>
    </w:p>
    <w:p w14:paraId="3B5953DA" w14:textId="77777777" w:rsidR="003868A5" w:rsidRDefault="00ED1511">
      <w:r>
        <w:t xml:space="preserve">K – kainos vertinimo balas; </w:t>
      </w:r>
    </w:p>
    <w:p w14:paraId="59F9D2D4" w14:textId="5B071FBC" w:rsidR="00030ABF" w:rsidRDefault="00ED1511">
      <w:r>
        <w:t xml:space="preserve">P – tiekėjo patirties vertinimo balas; </w:t>
      </w:r>
    </w:p>
    <w:p w14:paraId="60F7DDD6" w14:textId="77777777" w:rsidR="00030ABF" w:rsidRDefault="00ED1511">
      <w:r>
        <w:t xml:space="preserve">Sp – specialistų kompetencijos vertinimo balas; </w:t>
      </w:r>
    </w:p>
    <w:p w14:paraId="2ABCD70D" w14:textId="77777777" w:rsidR="00030ABF" w:rsidRDefault="00ED1511">
      <w:r>
        <w:t xml:space="preserve">Į – įgyvendinimo, konsultavimo ir palaikymo plano vertinimo balas; </w:t>
      </w:r>
    </w:p>
    <w:p w14:paraId="2DFFB513" w14:textId="20063F73" w:rsidR="00ED1511" w:rsidRDefault="00ED1511">
      <w:r>
        <w:t>M – mokymų ir žinių perdavimo vertinimo balas.</w:t>
      </w:r>
    </w:p>
    <w:p w14:paraId="006917EA" w14:textId="77777777" w:rsidR="00030ABF" w:rsidRDefault="00030ABF">
      <w:pPr>
        <w:rPr>
          <w:kern w:val="2"/>
          <w14:ligatures w14:val="standardContextual"/>
        </w:rPr>
      </w:pPr>
    </w:p>
    <w:p w14:paraId="626E677B" w14:textId="77777777" w:rsidR="00ED1511" w:rsidRDefault="00ED1511">
      <w:pPr>
        <w:rPr>
          <w:b/>
          <w:bCs/>
        </w:rPr>
      </w:pPr>
      <w:r>
        <w:rPr>
          <w:b/>
          <w:bCs/>
        </w:rPr>
        <w:t>3. Kainos vertinimas</w:t>
      </w:r>
    </w:p>
    <w:p w14:paraId="25E9F462" w14:textId="77777777" w:rsidR="00030ABF" w:rsidRDefault="00030ABF">
      <w:pPr>
        <w:rPr>
          <w:kern w:val="2"/>
          <w14:ligatures w14:val="standardContextual"/>
        </w:rPr>
      </w:pPr>
    </w:p>
    <w:p w14:paraId="3E75F9A6" w14:textId="77777777" w:rsidR="00C20B01" w:rsidRDefault="00ED1511">
      <w:r>
        <w:lastRenderedPageBreak/>
        <w:t xml:space="preserve">Kainos kriterijui skiriama iki 60 balų. Kainos balas apskaičiuojamas pagal formulę: </w:t>
      </w:r>
    </w:p>
    <w:p w14:paraId="7754F59F" w14:textId="77777777" w:rsidR="00336309" w:rsidRDefault="00ED1511">
      <w:r>
        <w:rPr>
          <w:b/>
          <w:bCs/>
        </w:rPr>
        <w:t>K = (Kmin / Kp) × 60</w:t>
      </w:r>
      <w:r>
        <w:t>, kur</w:t>
      </w:r>
      <w:r w:rsidR="00336309">
        <w:t>:</w:t>
      </w:r>
    </w:p>
    <w:p w14:paraId="3CC992AC" w14:textId="77777777" w:rsidR="00336309" w:rsidRDefault="00ED1511">
      <w:r>
        <w:t xml:space="preserve">K – vertinamo pasiūlymo kainos balas; </w:t>
      </w:r>
    </w:p>
    <w:p w14:paraId="2B4B56B5" w14:textId="77777777" w:rsidR="00336309" w:rsidRDefault="00ED1511">
      <w:r>
        <w:t xml:space="preserve">Kmin – mažiausia visų neatmestų pasiūlymų kaina; </w:t>
      </w:r>
    </w:p>
    <w:p w14:paraId="2C60A99E" w14:textId="77777777" w:rsidR="00336309" w:rsidRDefault="00ED1511">
      <w:r>
        <w:t xml:space="preserve">Kp – vertinamo pasiūlymo kaina. </w:t>
      </w:r>
    </w:p>
    <w:p w14:paraId="415FC2DF" w14:textId="044A2B02" w:rsidR="00ED1511" w:rsidRDefault="00ED1511">
      <w:r>
        <w:t>Vertinama bendra tiekėjo pasiūlymo kaina be PVM, apskaičiuota pagal pirkimo dokumentuose nurodytas licencijų, mokymų, konsultavimo paslaugų ir kitų pirkimo objekto dalių apimtis.</w:t>
      </w:r>
    </w:p>
    <w:p w14:paraId="016AAABF" w14:textId="77777777" w:rsidR="00FD30B1" w:rsidRDefault="00FD30B1">
      <w:pPr>
        <w:rPr>
          <w:kern w:val="2"/>
          <w14:ligatures w14:val="standardContextual"/>
        </w:rPr>
      </w:pPr>
    </w:p>
    <w:p w14:paraId="01CF152A" w14:textId="77777777" w:rsidR="00ED1511" w:rsidRDefault="00ED1511">
      <w:pPr>
        <w:rPr>
          <w:kern w:val="2"/>
          <w14:ligatures w14:val="standardContextual"/>
        </w:rPr>
      </w:pPr>
      <w:r>
        <w:rPr>
          <w:b/>
          <w:bCs/>
        </w:rPr>
        <w:t>4. Kokybiniai vertinimo kriterijai</w:t>
      </w:r>
    </w:p>
    <w:p w14:paraId="493A7C87" w14:textId="77777777" w:rsidR="00ED1511" w:rsidRDefault="00ED1511">
      <w:pPr>
        <w:rPr>
          <w:b/>
          <w:bCs/>
        </w:rPr>
      </w:pPr>
      <w:r>
        <w:rPr>
          <w:b/>
          <w:bCs/>
        </w:rPr>
        <w:t>4.1. Tiekėjo patirtis diegiant, administruojant ar palaikant ESRI ArcGIS / ArcGIS Enterprise arba lygiaverčius GIS serverių platformų sprendimus</w:t>
      </w:r>
    </w:p>
    <w:p w14:paraId="4BAA0A76" w14:textId="77777777" w:rsidR="00FD30B1" w:rsidRDefault="00FD30B1">
      <w:pPr>
        <w:rPr>
          <w:kern w:val="2"/>
          <w14:ligatures w14:val="standardContextual"/>
        </w:rPr>
      </w:pPr>
    </w:p>
    <w:p w14:paraId="5CEA9FB2" w14:textId="77777777" w:rsidR="00ED1511" w:rsidRDefault="00ED1511">
      <w:r>
        <w:t>Maksimalus balų skaičius – 15. Šiuo kriterijumi vertinama tiekėjo praktinė patirtis vykdant projektus, susijusius su ESRI ArcGIS, ArcGIS Enterprise arba lygiaverčių GIS serverių platformų licencijų tiekimu, diegimu, konfigūravimu, administravimu, konsultavimu, palaikymu, migravimu ar integravimu su kitomis informacinėmis sistemomis.</w:t>
      </w:r>
    </w:p>
    <w:p w14:paraId="3C303477" w14:textId="77777777" w:rsidR="00A82052" w:rsidRDefault="00A82052">
      <w:pPr>
        <w:rPr>
          <w:kern w:val="2"/>
          <w14:ligatures w14:val="standardContextual"/>
        </w:rPr>
      </w:pPr>
    </w:p>
    <w:tbl>
      <w:tblPr>
        <w:tblStyle w:val="4tinkleliolentel-1parykinimas"/>
        <w:tblW w:w="0" w:type="auto"/>
        <w:tblInd w:w="0" w:type="dxa"/>
        <w:tblLook w:val="04A0" w:firstRow="1" w:lastRow="0" w:firstColumn="1" w:lastColumn="0" w:noHBand="0" w:noVBand="1"/>
      </w:tblPr>
      <w:tblGrid>
        <w:gridCol w:w="2082"/>
        <w:gridCol w:w="6791"/>
        <w:gridCol w:w="750"/>
      </w:tblGrid>
      <w:tr w:rsidR="00ED1511" w14:paraId="21DC97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0A3FDB" w14:textId="77777777" w:rsidR="00ED1511" w:rsidRPr="00A82052" w:rsidRDefault="00ED1511" w:rsidP="00A82052">
            <w:pPr>
              <w:pStyle w:val="Lentel"/>
              <w:rPr>
                <w:b/>
                <w:bCs w:val="0"/>
              </w:rPr>
            </w:pPr>
            <w:r w:rsidRPr="00A82052">
              <w:rPr>
                <w:b/>
                <w:bCs w:val="0"/>
              </w:rPr>
              <w:t>Vertinimo aspektas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07D8A" w14:textId="77777777" w:rsidR="00ED1511" w:rsidRPr="00A82052" w:rsidRDefault="00ED1511" w:rsidP="00A82052">
            <w:pPr>
              <w:pStyle w:val="Lentel"/>
              <w:rPr>
                <w:b/>
                <w:bCs w:val="0"/>
              </w:rPr>
            </w:pPr>
            <w:r w:rsidRPr="00A82052">
              <w:rPr>
                <w:b/>
                <w:bCs w:val="0"/>
              </w:rPr>
              <w:t>Vertinimo aprašymas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CEDD3" w14:textId="77777777" w:rsidR="00ED1511" w:rsidRPr="00A82052" w:rsidRDefault="00ED1511" w:rsidP="00A82052">
            <w:pPr>
              <w:pStyle w:val="Lentel"/>
              <w:rPr>
                <w:b/>
                <w:bCs w:val="0"/>
              </w:rPr>
            </w:pPr>
            <w:r w:rsidRPr="00A82052">
              <w:rPr>
                <w:b/>
                <w:bCs w:val="0"/>
              </w:rPr>
              <w:t>Balai</w:t>
            </w:r>
          </w:p>
        </w:tc>
      </w:tr>
      <w:tr w:rsidR="00A82052" w14:paraId="5B94ED74" w14:textId="77777777" w:rsidTr="0013557B">
        <w:tc>
          <w:tcPr>
            <w:tcW w:w="0" w:type="auto"/>
            <w:vMerge w:val="restart"/>
            <w:tcBorders>
              <w:top w:val="outset" w:sz="6" w:space="0" w:color="auto"/>
              <w:left w:val="outset" w:sz="6" w:space="0" w:color="auto"/>
              <w:right w:val="outset" w:sz="6" w:space="0" w:color="auto"/>
            </w:tcBorders>
            <w:vAlign w:val="center"/>
            <w:hideMark/>
          </w:tcPr>
          <w:p w14:paraId="26AF35F9" w14:textId="77777777" w:rsidR="00A82052" w:rsidRDefault="00A82052" w:rsidP="00E77517">
            <w:pPr>
              <w:pStyle w:val="Lentel"/>
              <w:jc w:val="left"/>
            </w:pPr>
            <w:r>
              <w:t>Įgyvendintų projektų skaičius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64FF3" w14:textId="77777777" w:rsidR="00A82052" w:rsidRDefault="00A82052" w:rsidP="00A82052">
            <w:pPr>
              <w:pStyle w:val="Lentel"/>
            </w:pPr>
            <w:r>
              <w:t>Tiekėjas per paskutinius 5 metus yra tinkamai įvykdęs ne mažiau kaip 3 projektus, kurių objektas buvo ESRI ArcGIS / ArcGIS Enterprise arba lygiaverčių GIS serverių platformų diegimas, konfigūravimas, administravimas, palaikymas, migravimas ar integravimas.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5E37D" w14:textId="77777777" w:rsidR="00A82052" w:rsidRDefault="00A82052" w:rsidP="00CD2C06">
            <w:pPr>
              <w:pStyle w:val="Lentel"/>
              <w:jc w:val="center"/>
            </w:pPr>
            <w:r>
              <w:t>7</w:t>
            </w:r>
          </w:p>
        </w:tc>
      </w:tr>
      <w:tr w:rsidR="00A82052" w14:paraId="60BD0A08" w14:textId="77777777" w:rsidTr="0013557B">
        <w:tc>
          <w:tcPr>
            <w:tcW w:w="0" w:type="auto"/>
            <w:vMerge/>
            <w:tcBorders>
              <w:left w:val="outset" w:sz="6" w:space="0" w:color="auto"/>
              <w:right w:val="outset" w:sz="6" w:space="0" w:color="auto"/>
            </w:tcBorders>
            <w:vAlign w:val="center"/>
            <w:hideMark/>
          </w:tcPr>
          <w:p w14:paraId="7B665A12" w14:textId="77777777" w:rsidR="00A82052" w:rsidRDefault="00A82052" w:rsidP="00E77517">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A6A10" w14:textId="77777777" w:rsidR="00A82052" w:rsidRDefault="00A82052" w:rsidP="00A82052">
            <w:pPr>
              <w:pStyle w:val="Lentel"/>
            </w:pPr>
            <w:r>
              <w:t>Tiekėjas per paskutinius 5 metus yra tinkamai įvykdęs 2 tokius projektus.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3B5A9" w14:textId="77777777" w:rsidR="00A82052" w:rsidRDefault="00A82052" w:rsidP="00CD2C06">
            <w:pPr>
              <w:pStyle w:val="Lentel"/>
              <w:jc w:val="center"/>
            </w:pPr>
            <w:r>
              <w:t>5</w:t>
            </w:r>
          </w:p>
        </w:tc>
      </w:tr>
      <w:tr w:rsidR="00A82052" w14:paraId="3F050F95" w14:textId="77777777" w:rsidTr="0013557B">
        <w:tc>
          <w:tcPr>
            <w:tcW w:w="0" w:type="auto"/>
            <w:vMerge/>
            <w:tcBorders>
              <w:left w:val="outset" w:sz="6" w:space="0" w:color="auto"/>
              <w:right w:val="outset" w:sz="6" w:space="0" w:color="auto"/>
            </w:tcBorders>
            <w:vAlign w:val="center"/>
            <w:hideMark/>
          </w:tcPr>
          <w:p w14:paraId="4F36B57D" w14:textId="77777777" w:rsidR="00A82052" w:rsidRDefault="00A82052" w:rsidP="00E77517">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D5B6C" w14:textId="77777777" w:rsidR="00A82052" w:rsidRDefault="00A82052" w:rsidP="00A82052">
            <w:pPr>
              <w:pStyle w:val="Lentel"/>
            </w:pPr>
            <w:r>
              <w:t>Tiekėjas per paskutinius 5 metus yra tinkamai įvykdęs 1 tokį projektą.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8FE00" w14:textId="77777777" w:rsidR="00A82052" w:rsidRDefault="00A82052" w:rsidP="00CD2C06">
            <w:pPr>
              <w:pStyle w:val="Lentel"/>
              <w:jc w:val="center"/>
            </w:pPr>
            <w:r>
              <w:t>3</w:t>
            </w:r>
          </w:p>
        </w:tc>
      </w:tr>
      <w:tr w:rsidR="00A82052" w14:paraId="0BF82E2E" w14:textId="77777777" w:rsidTr="0013557B">
        <w:tc>
          <w:tcPr>
            <w:tcW w:w="0" w:type="auto"/>
            <w:vMerge/>
            <w:tcBorders>
              <w:left w:val="outset" w:sz="6" w:space="0" w:color="auto"/>
              <w:bottom w:val="outset" w:sz="6" w:space="0" w:color="auto"/>
              <w:right w:val="outset" w:sz="6" w:space="0" w:color="auto"/>
            </w:tcBorders>
            <w:vAlign w:val="center"/>
            <w:hideMark/>
          </w:tcPr>
          <w:p w14:paraId="4033944E" w14:textId="77777777" w:rsidR="00A82052" w:rsidRDefault="00A82052" w:rsidP="00E77517">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15CD51A0" w14:textId="77777777" w:rsidR="00A82052" w:rsidRDefault="00A82052" w:rsidP="00A82052">
            <w:pPr>
              <w:pStyle w:val="Lentel"/>
            </w:pPr>
            <w:r>
              <w:t>Tiekėjas nepateikė įrodymų apie įgyvendintus projektus arba pateikta patirtis nesusijusi su pirkimo objektu.</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12013" w14:textId="77777777" w:rsidR="00A82052" w:rsidRDefault="00A82052" w:rsidP="00CD2C06">
            <w:pPr>
              <w:pStyle w:val="Lentel"/>
              <w:jc w:val="center"/>
            </w:pPr>
            <w:r>
              <w:t>0</w:t>
            </w:r>
          </w:p>
        </w:tc>
      </w:tr>
      <w:tr w:rsidR="00A82052" w14:paraId="52B9AFE5" w14:textId="77777777" w:rsidTr="00717032">
        <w:tc>
          <w:tcPr>
            <w:tcW w:w="0" w:type="auto"/>
            <w:vMerge w:val="restart"/>
            <w:tcBorders>
              <w:top w:val="outset" w:sz="6" w:space="0" w:color="auto"/>
              <w:left w:val="outset" w:sz="6" w:space="0" w:color="auto"/>
              <w:right w:val="outset" w:sz="6" w:space="0" w:color="auto"/>
            </w:tcBorders>
            <w:vAlign w:val="center"/>
            <w:hideMark/>
          </w:tcPr>
          <w:p w14:paraId="4B1053CF" w14:textId="77777777" w:rsidR="00A82052" w:rsidRDefault="00A82052" w:rsidP="00E77517">
            <w:pPr>
              <w:pStyle w:val="Lentel"/>
              <w:jc w:val="left"/>
            </w:pPr>
            <w:r>
              <w:t>Projektų panašumas į pirkimo objektą</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BFAE9" w14:textId="77777777" w:rsidR="00A82052" w:rsidRDefault="00A82052" w:rsidP="00A82052">
            <w:pPr>
              <w:pStyle w:val="Lentel"/>
            </w:pPr>
            <w:r>
              <w:t>Bent vienas pateiktas projektas apėmė serverinės GIS platformos licencijų tiekimą, produkcinės ir testavimo aplinkos naudojimą, naudotojų licencijų administravimą, konsultavimo paslaugas ir mokymus.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5A28C" w14:textId="77777777" w:rsidR="00A82052" w:rsidRDefault="00A82052" w:rsidP="00CD2C06">
            <w:pPr>
              <w:pStyle w:val="Lentel"/>
              <w:jc w:val="center"/>
            </w:pPr>
            <w:r>
              <w:t>4</w:t>
            </w:r>
          </w:p>
        </w:tc>
      </w:tr>
      <w:tr w:rsidR="00A82052" w14:paraId="412369BD" w14:textId="77777777" w:rsidTr="00717032">
        <w:tc>
          <w:tcPr>
            <w:tcW w:w="0" w:type="auto"/>
            <w:vMerge/>
            <w:tcBorders>
              <w:left w:val="outset" w:sz="6" w:space="0" w:color="auto"/>
              <w:right w:val="outset" w:sz="6" w:space="0" w:color="auto"/>
            </w:tcBorders>
            <w:vAlign w:val="center"/>
            <w:hideMark/>
          </w:tcPr>
          <w:p w14:paraId="389DD8A1" w14:textId="77777777" w:rsidR="00A82052" w:rsidRDefault="00A82052" w:rsidP="00E77517">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1A8C7CAC" w14:textId="77777777" w:rsidR="00A82052" w:rsidRDefault="00A82052" w:rsidP="00A82052">
            <w:pPr>
              <w:pStyle w:val="Lentel"/>
            </w:pPr>
            <w:r>
              <w:t>Bent vienas pateiktas projektas apėmė ne mažiau kaip tris iš šių sričių: serverinės GIS platformos licencijų tiekimą, produkcinės ir testavimo aplinkos naudojimą, naudotojų licencijų administravimą, konsultavimo paslaugas, mokymus.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78058" w14:textId="77777777" w:rsidR="00A82052" w:rsidRDefault="00A82052" w:rsidP="00CD2C06">
            <w:pPr>
              <w:pStyle w:val="Lentel"/>
              <w:jc w:val="center"/>
            </w:pPr>
            <w:r>
              <w:t>3</w:t>
            </w:r>
          </w:p>
        </w:tc>
      </w:tr>
      <w:tr w:rsidR="00A82052" w14:paraId="0F4207C4" w14:textId="77777777" w:rsidTr="00717032">
        <w:tc>
          <w:tcPr>
            <w:tcW w:w="0" w:type="auto"/>
            <w:vMerge/>
            <w:tcBorders>
              <w:left w:val="outset" w:sz="6" w:space="0" w:color="auto"/>
              <w:right w:val="outset" w:sz="6" w:space="0" w:color="auto"/>
            </w:tcBorders>
            <w:vAlign w:val="center"/>
            <w:hideMark/>
          </w:tcPr>
          <w:p w14:paraId="069C533A" w14:textId="77777777" w:rsidR="00A82052" w:rsidRDefault="00A82052" w:rsidP="00E77517">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36318A33" w14:textId="77777777" w:rsidR="00A82052" w:rsidRDefault="00A82052" w:rsidP="00A82052">
            <w:pPr>
              <w:pStyle w:val="Lentel"/>
            </w:pPr>
            <w:r>
              <w:t>Bent vienas pateiktas projektas apėmė ne mažiau kaip dvi iš nurodytų sričių.</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F8DDC" w14:textId="77777777" w:rsidR="00A82052" w:rsidRDefault="00A82052" w:rsidP="00CD2C06">
            <w:pPr>
              <w:pStyle w:val="Lentel"/>
              <w:jc w:val="center"/>
            </w:pPr>
            <w:r>
              <w:t>2</w:t>
            </w:r>
          </w:p>
        </w:tc>
      </w:tr>
      <w:tr w:rsidR="00A82052" w14:paraId="2054C603" w14:textId="77777777" w:rsidTr="00717032">
        <w:tc>
          <w:tcPr>
            <w:tcW w:w="0" w:type="auto"/>
            <w:vMerge/>
            <w:tcBorders>
              <w:left w:val="outset" w:sz="6" w:space="0" w:color="auto"/>
              <w:bottom w:val="outset" w:sz="6" w:space="0" w:color="auto"/>
              <w:right w:val="outset" w:sz="6" w:space="0" w:color="auto"/>
            </w:tcBorders>
            <w:vAlign w:val="center"/>
            <w:hideMark/>
          </w:tcPr>
          <w:p w14:paraId="7330B1AF" w14:textId="77777777" w:rsidR="00A82052" w:rsidRDefault="00A82052" w:rsidP="00E77517">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D6B5B" w14:textId="77777777" w:rsidR="00A82052" w:rsidRDefault="00A82052" w:rsidP="00A82052">
            <w:pPr>
              <w:pStyle w:val="Lentel"/>
            </w:pPr>
            <w:r>
              <w:t>Pateikti projektai tik iš dalies susiję su pirkimo objektu arba nėra galimybės nustatyti jų panašumo.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C4160" w14:textId="77777777" w:rsidR="00A82052" w:rsidRDefault="00A82052" w:rsidP="00CD2C06">
            <w:pPr>
              <w:pStyle w:val="Lentel"/>
              <w:jc w:val="center"/>
            </w:pPr>
            <w:r>
              <w:t>0</w:t>
            </w:r>
          </w:p>
        </w:tc>
      </w:tr>
      <w:tr w:rsidR="00A82052" w14:paraId="145B2BCC" w14:textId="77777777" w:rsidTr="00550238">
        <w:tc>
          <w:tcPr>
            <w:tcW w:w="0" w:type="auto"/>
            <w:vMerge w:val="restart"/>
            <w:tcBorders>
              <w:top w:val="outset" w:sz="6" w:space="0" w:color="auto"/>
              <w:left w:val="outset" w:sz="6" w:space="0" w:color="auto"/>
              <w:right w:val="outset" w:sz="6" w:space="0" w:color="auto"/>
            </w:tcBorders>
            <w:vAlign w:val="center"/>
            <w:hideMark/>
          </w:tcPr>
          <w:p w14:paraId="6F3D152A" w14:textId="77777777" w:rsidR="00A82052" w:rsidRDefault="00A82052" w:rsidP="00E77517">
            <w:pPr>
              <w:pStyle w:val="Lentel"/>
              <w:jc w:val="left"/>
            </w:pPr>
            <w:r>
              <w:t>Patirtis su ESRI ArcGIS technologine aplinka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1CF51" w14:textId="77777777" w:rsidR="00A82052" w:rsidRDefault="00A82052" w:rsidP="00A82052">
            <w:pPr>
              <w:pStyle w:val="Lentel"/>
            </w:pPr>
            <w:r>
              <w:t>Tiekėjas pateikia įrodymus, kad yra vykdęs projektą ar teikęs paslaugas aplinkoje, kurioje buvo naudojami ESRI ArcGIS Online, ArcGIS Enterprise, ArcGIS Pro, ArcGIS Dashboards, ArcGIS Experience Builder, ArcGIS Field Maps arba kiti susiję ESRI ArcGIS komponentai.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B0EFF" w14:textId="77777777" w:rsidR="00A82052" w:rsidRDefault="00A82052" w:rsidP="00CD2C06">
            <w:pPr>
              <w:pStyle w:val="Lentel"/>
              <w:jc w:val="center"/>
            </w:pPr>
            <w:r>
              <w:t>4</w:t>
            </w:r>
          </w:p>
        </w:tc>
      </w:tr>
      <w:tr w:rsidR="00A82052" w14:paraId="3E158980" w14:textId="77777777" w:rsidTr="00550238">
        <w:tc>
          <w:tcPr>
            <w:tcW w:w="0" w:type="auto"/>
            <w:vMerge/>
            <w:tcBorders>
              <w:left w:val="outset" w:sz="6" w:space="0" w:color="auto"/>
              <w:right w:val="outset" w:sz="6" w:space="0" w:color="auto"/>
            </w:tcBorders>
            <w:vAlign w:val="center"/>
            <w:hideMark/>
          </w:tcPr>
          <w:p w14:paraId="08ABFED0" w14:textId="77777777" w:rsidR="00A82052" w:rsidRDefault="00A82052" w:rsidP="00A82052">
            <w:pPr>
              <w:pStyle w:val="Lentel"/>
            </w:pPr>
          </w:p>
        </w:tc>
        <w:tc>
          <w:tcPr>
            <w:tcW w:w="0" w:type="auto"/>
            <w:tcBorders>
              <w:top w:val="outset" w:sz="6" w:space="0" w:color="auto"/>
              <w:left w:val="outset" w:sz="6" w:space="0" w:color="auto"/>
              <w:bottom w:val="outset" w:sz="6" w:space="0" w:color="auto"/>
              <w:right w:val="outset" w:sz="6" w:space="0" w:color="auto"/>
            </w:tcBorders>
            <w:vAlign w:val="center"/>
            <w:hideMark/>
          </w:tcPr>
          <w:p w14:paraId="495B32E6" w14:textId="77777777" w:rsidR="00A82052" w:rsidRDefault="00A82052" w:rsidP="00A82052">
            <w:pPr>
              <w:pStyle w:val="Lentel"/>
            </w:pPr>
            <w:r>
              <w:t>Tiekėjas pateikia įrodymus apie patirtį tik su dalimi ESRI ArcGIS komponentų arba su lygiaverte GIS serverių platforma, kurios funkcionalumas atitinka techninės specifikacijos reikalavimus.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C8A61" w14:textId="77777777" w:rsidR="00A82052" w:rsidRDefault="00A82052" w:rsidP="00CD2C06">
            <w:pPr>
              <w:pStyle w:val="Lentel"/>
              <w:jc w:val="center"/>
            </w:pPr>
            <w:r>
              <w:t>2</w:t>
            </w:r>
          </w:p>
        </w:tc>
      </w:tr>
      <w:tr w:rsidR="00A82052" w14:paraId="0C02A2CD" w14:textId="77777777" w:rsidTr="00550238">
        <w:tc>
          <w:tcPr>
            <w:tcW w:w="0" w:type="auto"/>
            <w:vMerge/>
            <w:tcBorders>
              <w:left w:val="outset" w:sz="6" w:space="0" w:color="auto"/>
              <w:bottom w:val="outset" w:sz="6" w:space="0" w:color="auto"/>
              <w:right w:val="outset" w:sz="6" w:space="0" w:color="auto"/>
            </w:tcBorders>
            <w:vAlign w:val="center"/>
            <w:hideMark/>
          </w:tcPr>
          <w:p w14:paraId="5B48BA4E" w14:textId="77777777" w:rsidR="00A82052" w:rsidRDefault="00A82052" w:rsidP="00A82052">
            <w:pPr>
              <w:pStyle w:val="Lentel"/>
            </w:pPr>
          </w:p>
        </w:tc>
        <w:tc>
          <w:tcPr>
            <w:tcW w:w="0" w:type="auto"/>
            <w:tcBorders>
              <w:top w:val="outset" w:sz="6" w:space="0" w:color="auto"/>
              <w:left w:val="outset" w:sz="6" w:space="0" w:color="auto"/>
              <w:bottom w:val="outset" w:sz="6" w:space="0" w:color="auto"/>
              <w:right w:val="outset" w:sz="6" w:space="0" w:color="auto"/>
            </w:tcBorders>
            <w:vAlign w:val="center"/>
            <w:hideMark/>
          </w:tcPr>
          <w:p w14:paraId="10203521" w14:textId="77777777" w:rsidR="00A82052" w:rsidRDefault="00A82052" w:rsidP="00A82052">
            <w:pPr>
              <w:pStyle w:val="Lentel"/>
            </w:pPr>
            <w:r>
              <w:t>Tiekėjas nepateikia patikrinamų įrodymų apie tokią patirtį.</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2F0F4" w14:textId="77777777" w:rsidR="00A82052" w:rsidRDefault="00A82052" w:rsidP="00CD2C06">
            <w:pPr>
              <w:pStyle w:val="Lentel"/>
              <w:jc w:val="center"/>
            </w:pPr>
            <w:r>
              <w:t>0</w:t>
            </w:r>
          </w:p>
        </w:tc>
      </w:tr>
    </w:tbl>
    <w:p w14:paraId="2B1C7DA8" w14:textId="77777777" w:rsidR="00ED1511" w:rsidRDefault="00ED1511">
      <w:r>
        <w:lastRenderedPageBreak/>
        <w:t>Patirtis laikoma tinkama, jeigu tiekėjas pateikia įvykdytų sutarčių sąrašą, kuriame nurodyta: užsakovas, sutarties objektas, įvykdymo laikotarpis, tiekėjo vykdytos veiklos, naudota technologinė platforma, sutarties apimtis ir kontaktinis asmuo arba kitas dokumentas, leidžiantis patikrinti pateiktą informaciją. Pirkėjas turi teisę prašyti patikslinti pateiktus duomenis arba pateikti papildomus įrodymus.</w:t>
      </w:r>
    </w:p>
    <w:p w14:paraId="653674B8" w14:textId="77777777" w:rsidR="00FD30B1" w:rsidRDefault="00FD30B1">
      <w:pPr>
        <w:rPr>
          <w:kern w:val="2"/>
          <w14:ligatures w14:val="standardContextual"/>
        </w:rPr>
      </w:pPr>
    </w:p>
    <w:p w14:paraId="29AD8021" w14:textId="77777777" w:rsidR="00ED1511" w:rsidRDefault="00ED1511">
      <w:pPr>
        <w:rPr>
          <w:b/>
          <w:bCs/>
        </w:rPr>
      </w:pPr>
      <w:r>
        <w:rPr>
          <w:b/>
          <w:bCs/>
        </w:rPr>
        <w:t>4.2. Specialistų kompetencija ir sertifikatai</w:t>
      </w:r>
    </w:p>
    <w:p w14:paraId="309F571C" w14:textId="77777777" w:rsidR="00FD30B1" w:rsidRDefault="00FD30B1">
      <w:pPr>
        <w:rPr>
          <w:kern w:val="2"/>
          <w14:ligatures w14:val="standardContextual"/>
        </w:rPr>
      </w:pPr>
    </w:p>
    <w:p w14:paraId="67D67EDC" w14:textId="77777777" w:rsidR="00ED1511" w:rsidRDefault="00ED1511">
      <w:r>
        <w:t>Maksimalus balų skaičius – 10. Šiuo kriterijumi vertinama, ar sutarties vykdymui pasitelkiami specialistai turi kompetencijų, reikalingų tinkamam GIS serverių platformos licencijų administravimui, konsultavimui, konfigūravimui, naudotojų valdymui, mokymams ir integracijoms.</w:t>
      </w:r>
    </w:p>
    <w:p w14:paraId="6F765627" w14:textId="77777777" w:rsidR="005E2BE8" w:rsidRDefault="005E2BE8">
      <w:pPr>
        <w:rPr>
          <w:kern w:val="2"/>
          <w14:ligatures w14:val="standardContextual"/>
        </w:rPr>
      </w:pPr>
    </w:p>
    <w:tbl>
      <w:tblPr>
        <w:tblStyle w:val="4tinkleliolentel-1parykinimas"/>
        <w:tblW w:w="0" w:type="auto"/>
        <w:tblInd w:w="0" w:type="dxa"/>
        <w:tblLook w:val="04A0" w:firstRow="1" w:lastRow="0" w:firstColumn="1" w:lastColumn="0" w:noHBand="0" w:noVBand="1"/>
      </w:tblPr>
      <w:tblGrid>
        <w:gridCol w:w="2510"/>
        <w:gridCol w:w="6363"/>
        <w:gridCol w:w="750"/>
      </w:tblGrid>
      <w:tr w:rsidR="00ED1511" w14:paraId="3CD930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8CFC68" w14:textId="77777777" w:rsidR="00ED1511" w:rsidRPr="005E2BE8" w:rsidRDefault="00ED1511" w:rsidP="005E2BE8">
            <w:pPr>
              <w:pStyle w:val="Lentel"/>
              <w:rPr>
                <w:b/>
                <w:bCs w:val="0"/>
              </w:rPr>
            </w:pPr>
            <w:r w:rsidRPr="005E2BE8">
              <w:rPr>
                <w:b/>
                <w:bCs w:val="0"/>
              </w:rPr>
              <w:t>Vertinimo aspektas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C1099" w14:textId="77777777" w:rsidR="00ED1511" w:rsidRPr="005E2BE8" w:rsidRDefault="00ED1511" w:rsidP="005E2BE8">
            <w:pPr>
              <w:pStyle w:val="Lentel"/>
              <w:rPr>
                <w:b/>
                <w:bCs w:val="0"/>
              </w:rPr>
            </w:pPr>
            <w:r w:rsidRPr="005E2BE8">
              <w:rPr>
                <w:b/>
                <w:bCs w:val="0"/>
              </w:rPr>
              <w:t>Vertinimo aprašymas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5B04C" w14:textId="77777777" w:rsidR="00ED1511" w:rsidRPr="005E2BE8" w:rsidRDefault="00ED1511" w:rsidP="005E2BE8">
            <w:pPr>
              <w:pStyle w:val="Lentel"/>
              <w:rPr>
                <w:b/>
                <w:bCs w:val="0"/>
              </w:rPr>
            </w:pPr>
            <w:r w:rsidRPr="005E2BE8">
              <w:rPr>
                <w:b/>
                <w:bCs w:val="0"/>
              </w:rPr>
              <w:t>Balai</w:t>
            </w:r>
          </w:p>
        </w:tc>
      </w:tr>
      <w:tr w:rsidR="005E2BE8" w14:paraId="165338EE" w14:textId="77777777" w:rsidTr="00971F9F">
        <w:tc>
          <w:tcPr>
            <w:tcW w:w="0" w:type="auto"/>
            <w:vMerge w:val="restart"/>
            <w:tcBorders>
              <w:top w:val="outset" w:sz="6" w:space="0" w:color="auto"/>
              <w:left w:val="outset" w:sz="6" w:space="0" w:color="auto"/>
              <w:right w:val="outset" w:sz="6" w:space="0" w:color="auto"/>
            </w:tcBorders>
            <w:vAlign w:val="center"/>
            <w:hideMark/>
          </w:tcPr>
          <w:p w14:paraId="7338805E" w14:textId="77777777" w:rsidR="005E2BE8" w:rsidRDefault="005E2BE8" w:rsidP="005E2BE8">
            <w:pPr>
              <w:pStyle w:val="Lentel"/>
              <w:jc w:val="left"/>
            </w:pPr>
            <w:r>
              <w:t>GIS platformos architektūros / administravimo specialistas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19407" w14:textId="77777777" w:rsidR="005E2BE8" w:rsidRDefault="005E2BE8" w:rsidP="005E2BE8">
            <w:pPr>
              <w:pStyle w:val="Lentel"/>
            </w:pPr>
            <w:r>
              <w:t>Tiekėjas siūlo specialistą, turintį ne mažesnę kaip 3 metų praktinę patirtį administruojant, diegiant ar konfigūruojant ESRI ArcGIS Enterprise arba lygiavertę GIS serverių platformą.</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8B061" w14:textId="77777777" w:rsidR="005E2BE8" w:rsidRDefault="005E2BE8" w:rsidP="00CD2C06">
            <w:pPr>
              <w:pStyle w:val="Lentel"/>
              <w:jc w:val="center"/>
            </w:pPr>
            <w:r>
              <w:t>4</w:t>
            </w:r>
          </w:p>
        </w:tc>
      </w:tr>
      <w:tr w:rsidR="005E2BE8" w14:paraId="24029253" w14:textId="77777777" w:rsidTr="00971F9F">
        <w:tc>
          <w:tcPr>
            <w:tcW w:w="0" w:type="auto"/>
            <w:vMerge/>
            <w:tcBorders>
              <w:left w:val="outset" w:sz="6" w:space="0" w:color="auto"/>
              <w:right w:val="outset" w:sz="6" w:space="0" w:color="auto"/>
            </w:tcBorders>
            <w:vAlign w:val="center"/>
            <w:hideMark/>
          </w:tcPr>
          <w:p w14:paraId="11BBC513" w14:textId="77777777" w:rsidR="005E2BE8" w:rsidRDefault="005E2BE8" w:rsidP="005E2BE8">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42FBC" w14:textId="77777777" w:rsidR="005E2BE8" w:rsidRDefault="005E2BE8" w:rsidP="005E2BE8">
            <w:pPr>
              <w:pStyle w:val="Lentel"/>
            </w:pPr>
            <w:r>
              <w:t>Tiekėjas siūlo specialistą, turintį ne mažesnę kaip 1 metų praktinę patirtį nurodytoje srityje.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8243A" w14:textId="77777777" w:rsidR="005E2BE8" w:rsidRDefault="005E2BE8" w:rsidP="00CD2C06">
            <w:pPr>
              <w:pStyle w:val="Lentel"/>
              <w:jc w:val="center"/>
            </w:pPr>
            <w:r>
              <w:t>2</w:t>
            </w:r>
          </w:p>
        </w:tc>
      </w:tr>
      <w:tr w:rsidR="005E2BE8" w14:paraId="647A73ED" w14:textId="77777777" w:rsidTr="00971F9F">
        <w:tc>
          <w:tcPr>
            <w:tcW w:w="0" w:type="auto"/>
            <w:vMerge/>
            <w:tcBorders>
              <w:left w:val="outset" w:sz="6" w:space="0" w:color="auto"/>
              <w:bottom w:val="outset" w:sz="6" w:space="0" w:color="auto"/>
              <w:right w:val="outset" w:sz="6" w:space="0" w:color="auto"/>
            </w:tcBorders>
            <w:vAlign w:val="center"/>
            <w:hideMark/>
          </w:tcPr>
          <w:p w14:paraId="11B4380C" w14:textId="77777777" w:rsidR="005E2BE8" w:rsidRDefault="005E2BE8" w:rsidP="005E2BE8">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49D6D92F" w14:textId="77777777" w:rsidR="005E2BE8" w:rsidRDefault="005E2BE8" w:rsidP="005E2BE8">
            <w:pPr>
              <w:pStyle w:val="Lentel"/>
            </w:pPr>
            <w:r>
              <w:t>Tiekėjas nepateikia tinkamo specialisto arba nepagrindžia jo patirties.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6BC16" w14:textId="77777777" w:rsidR="005E2BE8" w:rsidRDefault="005E2BE8" w:rsidP="00CD2C06">
            <w:pPr>
              <w:pStyle w:val="Lentel"/>
              <w:jc w:val="center"/>
            </w:pPr>
            <w:r>
              <w:t>0</w:t>
            </w:r>
          </w:p>
        </w:tc>
      </w:tr>
      <w:tr w:rsidR="005E2BE8" w14:paraId="42CF7EED" w14:textId="77777777" w:rsidTr="00AC49FD">
        <w:tc>
          <w:tcPr>
            <w:tcW w:w="0" w:type="auto"/>
            <w:vMerge w:val="restart"/>
            <w:tcBorders>
              <w:top w:val="outset" w:sz="6" w:space="0" w:color="auto"/>
              <w:left w:val="outset" w:sz="6" w:space="0" w:color="auto"/>
              <w:right w:val="outset" w:sz="6" w:space="0" w:color="auto"/>
            </w:tcBorders>
            <w:vAlign w:val="center"/>
            <w:hideMark/>
          </w:tcPr>
          <w:p w14:paraId="48BE466E" w14:textId="77777777" w:rsidR="005E2BE8" w:rsidRDefault="005E2BE8" w:rsidP="005E2BE8">
            <w:pPr>
              <w:pStyle w:val="Lentel"/>
              <w:jc w:val="left"/>
            </w:pPr>
            <w:r>
              <w:t>GIS konsultavimo / naudotojų mokymo specialistas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0C30D" w14:textId="77777777" w:rsidR="005E2BE8" w:rsidRDefault="005E2BE8" w:rsidP="005E2BE8">
            <w:pPr>
              <w:pStyle w:val="Lentel"/>
            </w:pPr>
            <w:r>
              <w:t>Tiekėjas siūlo specialistą, turintį patirties rengiant ir vedant mokymus arba konsultacijas ESRI ArcGIS, ArcGIS Pro, ArcGIS Online, ArcGIS Enterprise arba lygiaverčių GIS sprendimų naudotojams ir administratoriams.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7A271" w14:textId="77777777" w:rsidR="005E2BE8" w:rsidRDefault="005E2BE8" w:rsidP="00CD2C06">
            <w:pPr>
              <w:pStyle w:val="Lentel"/>
              <w:jc w:val="center"/>
            </w:pPr>
            <w:r>
              <w:t>3</w:t>
            </w:r>
          </w:p>
        </w:tc>
      </w:tr>
      <w:tr w:rsidR="005E2BE8" w14:paraId="774E35B8" w14:textId="77777777" w:rsidTr="00AC49FD">
        <w:tc>
          <w:tcPr>
            <w:tcW w:w="0" w:type="auto"/>
            <w:vMerge/>
            <w:tcBorders>
              <w:left w:val="outset" w:sz="6" w:space="0" w:color="auto"/>
              <w:right w:val="outset" w:sz="6" w:space="0" w:color="auto"/>
            </w:tcBorders>
            <w:vAlign w:val="center"/>
            <w:hideMark/>
          </w:tcPr>
          <w:p w14:paraId="2D451494" w14:textId="77777777" w:rsidR="005E2BE8" w:rsidRDefault="005E2BE8" w:rsidP="005E2BE8">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4E333A5F" w14:textId="77777777" w:rsidR="005E2BE8" w:rsidRDefault="005E2BE8" w:rsidP="005E2BE8">
            <w:pPr>
              <w:pStyle w:val="Lentel"/>
            </w:pPr>
            <w:r>
              <w:t>Tiekėjas siūlo specialistą, turintį bendrą GIS konsultavimo patirtį, tačiau nepateikia aiškių įrodymų apie mokymų vedimą.</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328BA" w14:textId="77777777" w:rsidR="005E2BE8" w:rsidRDefault="005E2BE8" w:rsidP="00CD2C06">
            <w:pPr>
              <w:pStyle w:val="Lentel"/>
              <w:jc w:val="center"/>
            </w:pPr>
            <w:r>
              <w:t>1</w:t>
            </w:r>
          </w:p>
        </w:tc>
      </w:tr>
      <w:tr w:rsidR="005E2BE8" w14:paraId="0FB28ACB" w14:textId="77777777" w:rsidTr="00AC49FD">
        <w:tc>
          <w:tcPr>
            <w:tcW w:w="0" w:type="auto"/>
            <w:vMerge/>
            <w:tcBorders>
              <w:left w:val="outset" w:sz="6" w:space="0" w:color="auto"/>
              <w:bottom w:val="outset" w:sz="6" w:space="0" w:color="auto"/>
              <w:right w:val="outset" w:sz="6" w:space="0" w:color="auto"/>
            </w:tcBorders>
            <w:vAlign w:val="center"/>
            <w:hideMark/>
          </w:tcPr>
          <w:p w14:paraId="0E6FBEFF" w14:textId="77777777" w:rsidR="005E2BE8" w:rsidRDefault="005E2BE8" w:rsidP="005E2BE8">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EE685" w14:textId="77777777" w:rsidR="005E2BE8" w:rsidRDefault="005E2BE8" w:rsidP="005E2BE8">
            <w:pPr>
              <w:pStyle w:val="Lentel"/>
            </w:pPr>
            <w:r>
              <w:t>Tiekėjas nepateikia tinkamo specialisto arba nepagrindžia jo patirties.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E6AC3" w14:textId="77777777" w:rsidR="005E2BE8" w:rsidRDefault="005E2BE8" w:rsidP="00CD2C06">
            <w:pPr>
              <w:pStyle w:val="Lentel"/>
              <w:jc w:val="center"/>
            </w:pPr>
            <w:r>
              <w:t>0</w:t>
            </w:r>
          </w:p>
        </w:tc>
      </w:tr>
      <w:tr w:rsidR="005E2BE8" w14:paraId="1CC2A60C" w14:textId="77777777" w:rsidTr="00597356">
        <w:tc>
          <w:tcPr>
            <w:tcW w:w="0" w:type="auto"/>
            <w:vMerge w:val="restart"/>
            <w:tcBorders>
              <w:top w:val="outset" w:sz="6" w:space="0" w:color="auto"/>
              <w:left w:val="outset" w:sz="6" w:space="0" w:color="auto"/>
              <w:right w:val="outset" w:sz="6" w:space="0" w:color="auto"/>
            </w:tcBorders>
            <w:vAlign w:val="center"/>
            <w:hideMark/>
          </w:tcPr>
          <w:p w14:paraId="4F8339F4" w14:textId="77777777" w:rsidR="005E2BE8" w:rsidRDefault="005E2BE8" w:rsidP="005E2BE8">
            <w:pPr>
              <w:pStyle w:val="Lentel"/>
              <w:jc w:val="left"/>
            </w:pPr>
            <w:r>
              <w:t>Sertifikatai ar gamintojo / technologijos mokymų patvirtinimai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325EC" w14:textId="77777777" w:rsidR="005E2BE8" w:rsidRDefault="005E2BE8" w:rsidP="005E2BE8">
            <w:pPr>
              <w:pStyle w:val="Lentel"/>
            </w:pPr>
            <w:r>
              <w:t>Bent vienas sutarties vykdymui siūlomas specialistas turi galiojantį ESRI, siūlomos programinės įrangos gamintojo arba kitos lygiavertės GIS technologijos sertifikatą, mokymų baigimo pažymėjimą ar kitą kompetenciją patvirtinantį dokumentą, susijusį su siūloma GIS platforma.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2B83C" w14:textId="77777777" w:rsidR="005E2BE8" w:rsidRDefault="005E2BE8" w:rsidP="00CD2C06">
            <w:pPr>
              <w:pStyle w:val="Lentel"/>
              <w:jc w:val="center"/>
            </w:pPr>
            <w:r>
              <w:t>3</w:t>
            </w:r>
          </w:p>
        </w:tc>
      </w:tr>
      <w:tr w:rsidR="005E2BE8" w14:paraId="2D67786A" w14:textId="77777777" w:rsidTr="00597356">
        <w:tc>
          <w:tcPr>
            <w:tcW w:w="0" w:type="auto"/>
            <w:vMerge/>
            <w:tcBorders>
              <w:left w:val="outset" w:sz="6" w:space="0" w:color="auto"/>
              <w:right w:val="outset" w:sz="6" w:space="0" w:color="auto"/>
            </w:tcBorders>
            <w:vAlign w:val="center"/>
            <w:hideMark/>
          </w:tcPr>
          <w:p w14:paraId="7268E270" w14:textId="77777777" w:rsidR="005E2BE8" w:rsidRDefault="005E2BE8" w:rsidP="005E2BE8">
            <w:pPr>
              <w:pStyle w:val="Lentel"/>
            </w:pPr>
          </w:p>
        </w:tc>
        <w:tc>
          <w:tcPr>
            <w:tcW w:w="0" w:type="auto"/>
            <w:tcBorders>
              <w:top w:val="outset" w:sz="6" w:space="0" w:color="auto"/>
              <w:left w:val="outset" w:sz="6" w:space="0" w:color="auto"/>
              <w:bottom w:val="outset" w:sz="6" w:space="0" w:color="auto"/>
              <w:right w:val="outset" w:sz="6" w:space="0" w:color="auto"/>
            </w:tcBorders>
            <w:vAlign w:val="center"/>
            <w:hideMark/>
          </w:tcPr>
          <w:p w14:paraId="3CC3D8DA" w14:textId="77777777" w:rsidR="005E2BE8" w:rsidRDefault="005E2BE8" w:rsidP="005E2BE8">
            <w:pPr>
              <w:pStyle w:val="Lentel"/>
            </w:pPr>
            <w:r>
              <w:t>Pateikti dokumentai patvirtina bendrą GIS ar IT kompetenciją, tačiau nėra tiesiogiai susiję su siūloma GIS serverių platforma.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2E7E8" w14:textId="77777777" w:rsidR="005E2BE8" w:rsidRDefault="005E2BE8" w:rsidP="00CD2C06">
            <w:pPr>
              <w:pStyle w:val="Lentel"/>
              <w:jc w:val="center"/>
            </w:pPr>
            <w:r>
              <w:t>1</w:t>
            </w:r>
          </w:p>
        </w:tc>
      </w:tr>
      <w:tr w:rsidR="005E2BE8" w14:paraId="2F50DE77" w14:textId="77777777" w:rsidTr="00597356">
        <w:tc>
          <w:tcPr>
            <w:tcW w:w="0" w:type="auto"/>
            <w:vMerge/>
            <w:tcBorders>
              <w:left w:val="outset" w:sz="6" w:space="0" w:color="auto"/>
              <w:bottom w:val="outset" w:sz="6" w:space="0" w:color="auto"/>
              <w:right w:val="outset" w:sz="6" w:space="0" w:color="auto"/>
            </w:tcBorders>
            <w:vAlign w:val="center"/>
            <w:hideMark/>
          </w:tcPr>
          <w:p w14:paraId="758338C5" w14:textId="77777777" w:rsidR="005E2BE8" w:rsidRDefault="005E2BE8" w:rsidP="005E2BE8">
            <w:pPr>
              <w:pStyle w:val="Lentel"/>
            </w:pPr>
          </w:p>
        </w:tc>
        <w:tc>
          <w:tcPr>
            <w:tcW w:w="0" w:type="auto"/>
            <w:tcBorders>
              <w:top w:val="outset" w:sz="6" w:space="0" w:color="auto"/>
              <w:left w:val="outset" w:sz="6" w:space="0" w:color="auto"/>
              <w:bottom w:val="outset" w:sz="6" w:space="0" w:color="auto"/>
              <w:right w:val="outset" w:sz="6" w:space="0" w:color="auto"/>
            </w:tcBorders>
            <w:vAlign w:val="center"/>
            <w:hideMark/>
          </w:tcPr>
          <w:p w14:paraId="4625DB99" w14:textId="77777777" w:rsidR="005E2BE8" w:rsidRDefault="005E2BE8" w:rsidP="005E2BE8">
            <w:pPr>
              <w:pStyle w:val="Lentel"/>
            </w:pPr>
            <w:r>
              <w:t>Tiekėjas nepateikia kompetenciją patvirtinančių dokumentų.</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64424" w14:textId="77777777" w:rsidR="005E2BE8" w:rsidRDefault="005E2BE8" w:rsidP="00CD2C06">
            <w:pPr>
              <w:pStyle w:val="Lentel"/>
              <w:jc w:val="center"/>
            </w:pPr>
            <w:r>
              <w:t>0</w:t>
            </w:r>
          </w:p>
        </w:tc>
      </w:tr>
    </w:tbl>
    <w:p w14:paraId="3CFF7F9C" w14:textId="77777777" w:rsidR="003618E3" w:rsidRDefault="003618E3"/>
    <w:p w14:paraId="4CB54FA4" w14:textId="647D7BB3" w:rsidR="00ED1511" w:rsidRDefault="00ED1511">
      <w:r>
        <w:t>Specialistų kompetencija pagrindžiama CV, sertifikatų, mokymų pažymėjimų, gamintojo patvirtinimų, projektų aprašymų ar kitų dokumentų kopijomis. Vienas specialistas gali atlikti kelias funkcijas, jeigu tiekėjas pagrindžia, kad jis turi visoms funkcijoms reikalingą kompetenciją.</w:t>
      </w:r>
    </w:p>
    <w:p w14:paraId="2ECD8D40" w14:textId="77777777" w:rsidR="00FD30B1" w:rsidRDefault="00FD30B1">
      <w:pPr>
        <w:rPr>
          <w:kern w:val="2"/>
          <w14:ligatures w14:val="standardContextual"/>
        </w:rPr>
      </w:pPr>
    </w:p>
    <w:p w14:paraId="715D00AE" w14:textId="77777777" w:rsidR="00ED1511" w:rsidRDefault="00ED1511">
      <w:pPr>
        <w:rPr>
          <w:b/>
          <w:bCs/>
        </w:rPr>
      </w:pPr>
      <w:r>
        <w:rPr>
          <w:b/>
          <w:bCs/>
        </w:rPr>
        <w:t>4.3. Siūlomas pirkimo objekto įgyvendinimo, konsultavimo ir palaikymo planas</w:t>
      </w:r>
    </w:p>
    <w:p w14:paraId="7783282B" w14:textId="77777777" w:rsidR="00FD30B1" w:rsidRDefault="00FD30B1">
      <w:pPr>
        <w:rPr>
          <w:kern w:val="2"/>
          <w14:ligatures w14:val="standardContextual"/>
        </w:rPr>
      </w:pPr>
    </w:p>
    <w:p w14:paraId="28791E38" w14:textId="77777777" w:rsidR="00ED1511" w:rsidRDefault="00ED1511">
      <w:r>
        <w:t>Maksimalus balų skaičius – 10. Šiuo kriterijumi vertinama, ar tiekėjas aiškiai ir pagrįstai aprašo, kaip bus užtikrintas licencijų aktyvavimas, naudotojų licencijų valdymas, konsultavimo paslaugų teikimas, pagalba Pirkėjui, incidentų ar klausimų sprendimas, bendradarbiavimas su Pirkėjo IT ir GIS specialistais.</w:t>
      </w:r>
    </w:p>
    <w:p w14:paraId="1AFBE207" w14:textId="77777777" w:rsidR="003618E3" w:rsidRDefault="003618E3">
      <w:pPr>
        <w:rPr>
          <w:kern w:val="2"/>
          <w14:ligatures w14:val="standardContextual"/>
        </w:rPr>
      </w:pPr>
    </w:p>
    <w:tbl>
      <w:tblPr>
        <w:tblStyle w:val="4tinkleliolentel-1parykinimas"/>
        <w:tblW w:w="0" w:type="auto"/>
        <w:tblInd w:w="0" w:type="dxa"/>
        <w:tblLook w:val="04A0" w:firstRow="1" w:lastRow="0" w:firstColumn="1" w:lastColumn="0" w:noHBand="0" w:noVBand="1"/>
      </w:tblPr>
      <w:tblGrid>
        <w:gridCol w:w="2772"/>
        <w:gridCol w:w="6101"/>
        <w:gridCol w:w="750"/>
      </w:tblGrid>
      <w:tr w:rsidR="00ED1511" w14:paraId="1C1EA0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9C7E90" w14:textId="77777777" w:rsidR="00ED1511" w:rsidRPr="00DD6BBE" w:rsidRDefault="00ED1511" w:rsidP="00DD6BBE">
            <w:pPr>
              <w:pStyle w:val="Lentel"/>
              <w:rPr>
                <w:b/>
                <w:bCs w:val="0"/>
              </w:rPr>
            </w:pPr>
            <w:r w:rsidRPr="00DD6BBE">
              <w:rPr>
                <w:b/>
                <w:bCs w:val="0"/>
              </w:rPr>
              <w:t>Vertinimo aspektas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027B7" w14:textId="77777777" w:rsidR="00ED1511" w:rsidRPr="00DD6BBE" w:rsidRDefault="00ED1511" w:rsidP="00DD6BBE">
            <w:pPr>
              <w:pStyle w:val="Lentel"/>
              <w:rPr>
                <w:b/>
                <w:bCs w:val="0"/>
              </w:rPr>
            </w:pPr>
            <w:r w:rsidRPr="00DD6BBE">
              <w:rPr>
                <w:b/>
                <w:bCs w:val="0"/>
              </w:rPr>
              <w:t>Vertinimo aprašymas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0634F" w14:textId="77777777" w:rsidR="00ED1511" w:rsidRPr="00DD6BBE" w:rsidRDefault="00ED1511" w:rsidP="00DD6BBE">
            <w:pPr>
              <w:pStyle w:val="Lentel"/>
              <w:rPr>
                <w:b/>
                <w:bCs w:val="0"/>
              </w:rPr>
            </w:pPr>
            <w:r w:rsidRPr="00DD6BBE">
              <w:rPr>
                <w:b/>
                <w:bCs w:val="0"/>
              </w:rPr>
              <w:t>Balai</w:t>
            </w:r>
          </w:p>
        </w:tc>
      </w:tr>
      <w:tr w:rsidR="00DD6BBE" w14:paraId="2F36366A" w14:textId="77777777" w:rsidTr="00671533">
        <w:tc>
          <w:tcPr>
            <w:tcW w:w="0" w:type="auto"/>
            <w:vMerge w:val="restart"/>
            <w:tcBorders>
              <w:top w:val="outset" w:sz="6" w:space="0" w:color="auto"/>
              <w:left w:val="outset" w:sz="6" w:space="0" w:color="auto"/>
              <w:right w:val="outset" w:sz="6" w:space="0" w:color="auto"/>
            </w:tcBorders>
            <w:vAlign w:val="center"/>
            <w:hideMark/>
          </w:tcPr>
          <w:p w14:paraId="5E05B6B3" w14:textId="77777777" w:rsidR="00DD6BBE" w:rsidRDefault="00DD6BBE" w:rsidP="00DD6BBE">
            <w:pPr>
              <w:pStyle w:val="Lentel"/>
              <w:jc w:val="left"/>
            </w:pPr>
            <w:r>
              <w:t>Licencijų aktyvavimo ir administravimo planas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EEC49" w14:textId="77777777" w:rsidR="00DD6BBE" w:rsidRDefault="00DD6BBE" w:rsidP="00DD6BBE">
            <w:pPr>
              <w:pStyle w:val="Lentel"/>
            </w:pPr>
            <w:r>
              <w:t xml:space="preserve">Pateiktas aiškus licencijų aktyvavimo, naudotojų rolių ir licencijų paskirstymo, prenumeratų valdymo ir tęstinumo </w:t>
            </w:r>
            <w:r>
              <w:lastRenderedPageBreak/>
              <w:t>užtikrinimo planas, atitinkantis techninės specifikacijos reikalavimus.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B7EA4" w14:textId="77777777" w:rsidR="00DD6BBE" w:rsidRDefault="00DD6BBE" w:rsidP="00CD2C06">
            <w:pPr>
              <w:pStyle w:val="Lentel"/>
              <w:jc w:val="center"/>
            </w:pPr>
            <w:r>
              <w:lastRenderedPageBreak/>
              <w:t>3</w:t>
            </w:r>
          </w:p>
        </w:tc>
      </w:tr>
      <w:tr w:rsidR="00DD6BBE" w14:paraId="2E45FCD1" w14:textId="77777777" w:rsidTr="00671533">
        <w:tc>
          <w:tcPr>
            <w:tcW w:w="0" w:type="auto"/>
            <w:vMerge/>
            <w:tcBorders>
              <w:left w:val="outset" w:sz="6" w:space="0" w:color="auto"/>
              <w:right w:val="outset" w:sz="6" w:space="0" w:color="auto"/>
            </w:tcBorders>
            <w:vAlign w:val="center"/>
            <w:hideMark/>
          </w:tcPr>
          <w:p w14:paraId="4DD25C5F" w14:textId="77777777" w:rsidR="00DD6BBE" w:rsidRDefault="00DD6BBE" w:rsidP="00DD6BBE">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1A2E7684" w14:textId="77777777" w:rsidR="00DD6BBE" w:rsidRDefault="00DD6BBE" w:rsidP="00DD6BBE">
            <w:pPr>
              <w:pStyle w:val="Lentel"/>
            </w:pPr>
            <w:r>
              <w:t>Planas pateiktas, tačiau jame trūksta dalies informacijos apie licencijų administravimą ar tęstinumo užtikrinimą.</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55CCE" w14:textId="77777777" w:rsidR="00DD6BBE" w:rsidRDefault="00DD6BBE" w:rsidP="00CD2C06">
            <w:pPr>
              <w:pStyle w:val="Lentel"/>
              <w:jc w:val="center"/>
            </w:pPr>
            <w:r>
              <w:t>1</w:t>
            </w:r>
          </w:p>
        </w:tc>
      </w:tr>
      <w:tr w:rsidR="00DD6BBE" w14:paraId="7E3A4AA0" w14:textId="77777777" w:rsidTr="00671533">
        <w:tc>
          <w:tcPr>
            <w:tcW w:w="0" w:type="auto"/>
            <w:vMerge/>
            <w:tcBorders>
              <w:left w:val="outset" w:sz="6" w:space="0" w:color="auto"/>
              <w:bottom w:val="outset" w:sz="6" w:space="0" w:color="auto"/>
              <w:right w:val="outset" w:sz="6" w:space="0" w:color="auto"/>
            </w:tcBorders>
            <w:vAlign w:val="center"/>
            <w:hideMark/>
          </w:tcPr>
          <w:p w14:paraId="4E009752" w14:textId="77777777" w:rsidR="00DD6BBE" w:rsidRDefault="00DD6BBE" w:rsidP="00DD6BBE">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07BA03E0" w14:textId="77777777" w:rsidR="00DD6BBE" w:rsidRDefault="00DD6BBE" w:rsidP="00DD6BBE">
            <w:pPr>
              <w:pStyle w:val="Lentel"/>
            </w:pPr>
            <w:r>
              <w:t>Planas nepateiktas arba neatitinka pirkimo objekto.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36F1C" w14:textId="77777777" w:rsidR="00DD6BBE" w:rsidRDefault="00DD6BBE" w:rsidP="00CD2C06">
            <w:pPr>
              <w:pStyle w:val="Lentel"/>
              <w:jc w:val="center"/>
            </w:pPr>
            <w:r>
              <w:t>0</w:t>
            </w:r>
          </w:p>
        </w:tc>
      </w:tr>
      <w:tr w:rsidR="00DD6BBE" w14:paraId="25BE1490" w14:textId="77777777" w:rsidTr="00F05F37">
        <w:tc>
          <w:tcPr>
            <w:tcW w:w="0" w:type="auto"/>
            <w:vMerge w:val="restart"/>
            <w:tcBorders>
              <w:top w:val="outset" w:sz="6" w:space="0" w:color="auto"/>
              <w:left w:val="outset" w:sz="6" w:space="0" w:color="auto"/>
              <w:right w:val="outset" w:sz="6" w:space="0" w:color="auto"/>
            </w:tcBorders>
            <w:vAlign w:val="center"/>
            <w:hideMark/>
          </w:tcPr>
          <w:p w14:paraId="1D4DEAF1" w14:textId="77777777" w:rsidR="00DD6BBE" w:rsidRDefault="00DD6BBE" w:rsidP="00DD6BBE">
            <w:pPr>
              <w:pStyle w:val="Lentel"/>
              <w:jc w:val="left"/>
            </w:pPr>
            <w:r>
              <w:t>Konsultavimo ir pagalbos teikimo tvarka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ADB1E" w14:textId="77777777" w:rsidR="00DD6BBE" w:rsidRDefault="00DD6BBE" w:rsidP="00DD6BBE">
            <w:pPr>
              <w:pStyle w:val="Lentel"/>
            </w:pPr>
            <w:r>
              <w:t>Pateikta aiški konsultacijų užsakymo, registravimo, vykdymo, atsiskaitymo už faktiškai suteiktas paslaugas ir komunikacijos su Pirkėju tvarka.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4F73F" w14:textId="77777777" w:rsidR="00DD6BBE" w:rsidRDefault="00DD6BBE" w:rsidP="00CD2C06">
            <w:pPr>
              <w:pStyle w:val="Lentel"/>
              <w:jc w:val="center"/>
            </w:pPr>
            <w:r>
              <w:t>3</w:t>
            </w:r>
          </w:p>
        </w:tc>
      </w:tr>
      <w:tr w:rsidR="00DD6BBE" w14:paraId="096B64C4" w14:textId="77777777" w:rsidTr="00F05F37">
        <w:tc>
          <w:tcPr>
            <w:tcW w:w="0" w:type="auto"/>
            <w:vMerge/>
            <w:tcBorders>
              <w:left w:val="outset" w:sz="6" w:space="0" w:color="auto"/>
              <w:right w:val="outset" w:sz="6" w:space="0" w:color="auto"/>
            </w:tcBorders>
            <w:vAlign w:val="center"/>
            <w:hideMark/>
          </w:tcPr>
          <w:p w14:paraId="0827A8A4" w14:textId="77777777" w:rsidR="00DD6BBE" w:rsidRDefault="00DD6BBE" w:rsidP="00DD6BBE">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747D4443" w14:textId="77777777" w:rsidR="00DD6BBE" w:rsidRDefault="00DD6BBE" w:rsidP="00DD6BBE">
            <w:pPr>
              <w:pStyle w:val="Lentel"/>
            </w:pPr>
            <w:r>
              <w:t>Tvarka pateikta, tačiau nepakankamai aiškiai aprašytas užsakymų valdymas arba komunikacijos procesas.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0B062" w14:textId="77777777" w:rsidR="00DD6BBE" w:rsidRDefault="00DD6BBE" w:rsidP="00CD2C06">
            <w:pPr>
              <w:pStyle w:val="Lentel"/>
              <w:jc w:val="center"/>
            </w:pPr>
            <w:r>
              <w:t>1</w:t>
            </w:r>
          </w:p>
        </w:tc>
      </w:tr>
      <w:tr w:rsidR="00DD6BBE" w14:paraId="682998FB" w14:textId="77777777" w:rsidTr="00F05F37">
        <w:tc>
          <w:tcPr>
            <w:tcW w:w="0" w:type="auto"/>
            <w:vMerge/>
            <w:tcBorders>
              <w:left w:val="outset" w:sz="6" w:space="0" w:color="auto"/>
              <w:bottom w:val="outset" w:sz="6" w:space="0" w:color="auto"/>
              <w:right w:val="outset" w:sz="6" w:space="0" w:color="auto"/>
            </w:tcBorders>
            <w:vAlign w:val="center"/>
            <w:hideMark/>
          </w:tcPr>
          <w:p w14:paraId="7805596A" w14:textId="77777777" w:rsidR="00DD6BBE" w:rsidRDefault="00DD6BBE" w:rsidP="00DD6BBE">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004429C7" w14:textId="77777777" w:rsidR="00DD6BBE" w:rsidRDefault="00DD6BBE" w:rsidP="00DD6BBE">
            <w:pPr>
              <w:pStyle w:val="Lentel"/>
            </w:pPr>
            <w:r>
              <w:t>Tvarka nepateikta arba deklaratyvi.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36AEB" w14:textId="77777777" w:rsidR="00DD6BBE" w:rsidRDefault="00DD6BBE" w:rsidP="00CD2C06">
            <w:pPr>
              <w:pStyle w:val="Lentel"/>
              <w:jc w:val="center"/>
            </w:pPr>
            <w:r>
              <w:t>0</w:t>
            </w:r>
          </w:p>
        </w:tc>
      </w:tr>
      <w:tr w:rsidR="00DD6BBE" w14:paraId="6DDD2620" w14:textId="77777777" w:rsidTr="00D8641B">
        <w:tc>
          <w:tcPr>
            <w:tcW w:w="0" w:type="auto"/>
            <w:vMerge w:val="restart"/>
            <w:tcBorders>
              <w:top w:val="outset" w:sz="6" w:space="0" w:color="auto"/>
              <w:left w:val="outset" w:sz="6" w:space="0" w:color="auto"/>
              <w:right w:val="outset" w:sz="6" w:space="0" w:color="auto"/>
            </w:tcBorders>
            <w:vAlign w:val="center"/>
            <w:hideMark/>
          </w:tcPr>
          <w:p w14:paraId="1EDEB4B8" w14:textId="77777777" w:rsidR="00DD6BBE" w:rsidRDefault="00DD6BBE" w:rsidP="00DD6BBE">
            <w:pPr>
              <w:pStyle w:val="Lentel"/>
              <w:jc w:val="left"/>
            </w:pPr>
            <w:r>
              <w:t>Rizikų ir veiklos tęstinumo valdymas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7C105" w14:textId="77777777" w:rsidR="00DD6BBE" w:rsidRDefault="00DD6BBE" w:rsidP="00DD6BBE">
            <w:pPr>
              <w:pStyle w:val="Lentel"/>
            </w:pPr>
            <w:r>
              <w:t>Pateiktas pagrįstas pagrindinių rizikų, susijusių su GIS platformos licencijomis, naudotojų administravimu, konsultacijomis, mokymais, migravimu ar integracijomis, valdymo planas.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4D646" w14:textId="77777777" w:rsidR="00DD6BBE" w:rsidRDefault="00DD6BBE" w:rsidP="00CD2C06">
            <w:pPr>
              <w:pStyle w:val="Lentel"/>
              <w:jc w:val="center"/>
            </w:pPr>
            <w:r>
              <w:t>2</w:t>
            </w:r>
          </w:p>
        </w:tc>
      </w:tr>
      <w:tr w:rsidR="00DD6BBE" w14:paraId="4A252318" w14:textId="77777777" w:rsidTr="00D8641B">
        <w:tc>
          <w:tcPr>
            <w:tcW w:w="0" w:type="auto"/>
            <w:vMerge/>
            <w:tcBorders>
              <w:left w:val="outset" w:sz="6" w:space="0" w:color="auto"/>
              <w:right w:val="outset" w:sz="6" w:space="0" w:color="auto"/>
            </w:tcBorders>
            <w:vAlign w:val="center"/>
            <w:hideMark/>
          </w:tcPr>
          <w:p w14:paraId="580C8CA4" w14:textId="77777777" w:rsidR="00DD6BBE" w:rsidRDefault="00DD6BBE" w:rsidP="00DD6BBE">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747C4285" w14:textId="77777777" w:rsidR="00DD6BBE" w:rsidRDefault="00DD6BBE" w:rsidP="00DD6BBE">
            <w:pPr>
              <w:pStyle w:val="Lentel"/>
            </w:pPr>
            <w:r>
              <w:t>Rizikos įvardytos, tačiau jų valdymo priemonės aprašytos paviršutiniškai.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0EB70" w14:textId="77777777" w:rsidR="00DD6BBE" w:rsidRDefault="00DD6BBE" w:rsidP="00CD2C06">
            <w:pPr>
              <w:pStyle w:val="Lentel"/>
              <w:jc w:val="center"/>
            </w:pPr>
            <w:r>
              <w:t>1</w:t>
            </w:r>
          </w:p>
        </w:tc>
      </w:tr>
      <w:tr w:rsidR="00DD6BBE" w14:paraId="4200C439" w14:textId="77777777" w:rsidTr="00D8641B">
        <w:tc>
          <w:tcPr>
            <w:tcW w:w="0" w:type="auto"/>
            <w:vMerge/>
            <w:tcBorders>
              <w:left w:val="outset" w:sz="6" w:space="0" w:color="auto"/>
              <w:bottom w:val="outset" w:sz="6" w:space="0" w:color="auto"/>
              <w:right w:val="outset" w:sz="6" w:space="0" w:color="auto"/>
            </w:tcBorders>
            <w:vAlign w:val="center"/>
            <w:hideMark/>
          </w:tcPr>
          <w:p w14:paraId="0DC02FC8" w14:textId="77777777" w:rsidR="00DD6BBE" w:rsidRDefault="00DD6BBE" w:rsidP="00DD6BBE">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20F5B9E4" w14:textId="77777777" w:rsidR="00DD6BBE" w:rsidRDefault="00DD6BBE" w:rsidP="00DD6BBE">
            <w:pPr>
              <w:pStyle w:val="Lentel"/>
            </w:pPr>
            <w:r>
              <w:t>Rizikos neįvardytos arba planas nepateiktas.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91614" w14:textId="77777777" w:rsidR="00DD6BBE" w:rsidRDefault="00DD6BBE" w:rsidP="00CD2C06">
            <w:pPr>
              <w:pStyle w:val="Lentel"/>
              <w:jc w:val="center"/>
            </w:pPr>
            <w:r>
              <w:t>0</w:t>
            </w:r>
          </w:p>
        </w:tc>
      </w:tr>
      <w:tr w:rsidR="00DD6BBE" w14:paraId="4C1BC7C1" w14:textId="77777777" w:rsidTr="00EC5290">
        <w:tc>
          <w:tcPr>
            <w:tcW w:w="0" w:type="auto"/>
            <w:vMerge w:val="restart"/>
            <w:tcBorders>
              <w:top w:val="outset" w:sz="6" w:space="0" w:color="auto"/>
              <w:left w:val="outset" w:sz="6" w:space="0" w:color="auto"/>
              <w:right w:val="outset" w:sz="6" w:space="0" w:color="auto"/>
            </w:tcBorders>
            <w:vAlign w:val="center"/>
            <w:hideMark/>
          </w:tcPr>
          <w:p w14:paraId="32749912" w14:textId="77777777" w:rsidR="00DD6BBE" w:rsidRDefault="00DD6BBE" w:rsidP="00DD6BBE">
            <w:pPr>
              <w:pStyle w:val="Lentel"/>
              <w:jc w:val="left"/>
            </w:pPr>
            <w:r>
              <w:t>Bendradarbiavimas su Pirkėjo specialistais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123A0" w14:textId="77777777" w:rsidR="00DD6BBE" w:rsidRDefault="00DD6BBE" w:rsidP="00DD6BBE">
            <w:pPr>
              <w:pStyle w:val="Lentel"/>
            </w:pPr>
            <w:r>
              <w:t>Aiškiai aprašytas bendradarbiavimo modelis su Pirkėjo IT, GIS ir veiklos specialistais, įskaitant atsakomybių pasiskirstymą, informacijos teikimą ir žinių perdavimą.</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09408" w14:textId="77777777" w:rsidR="00DD6BBE" w:rsidRDefault="00DD6BBE" w:rsidP="00CD2C06">
            <w:pPr>
              <w:pStyle w:val="Lentel"/>
              <w:jc w:val="center"/>
            </w:pPr>
            <w:r>
              <w:t>2</w:t>
            </w:r>
          </w:p>
        </w:tc>
      </w:tr>
      <w:tr w:rsidR="00DD6BBE" w14:paraId="38019F5A" w14:textId="77777777" w:rsidTr="00EC5290">
        <w:tc>
          <w:tcPr>
            <w:tcW w:w="0" w:type="auto"/>
            <w:vMerge/>
            <w:tcBorders>
              <w:left w:val="outset" w:sz="6" w:space="0" w:color="auto"/>
              <w:right w:val="outset" w:sz="6" w:space="0" w:color="auto"/>
            </w:tcBorders>
            <w:vAlign w:val="center"/>
            <w:hideMark/>
          </w:tcPr>
          <w:p w14:paraId="60CB1093" w14:textId="77777777" w:rsidR="00DD6BBE" w:rsidRDefault="00DD6BBE" w:rsidP="00DD6BBE">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6947D2F5" w14:textId="77777777" w:rsidR="00DD6BBE" w:rsidRDefault="00DD6BBE" w:rsidP="00DD6BBE">
            <w:pPr>
              <w:pStyle w:val="Lentel"/>
            </w:pPr>
            <w:r>
              <w:t>Bendradarbiavimo modelis aprašytas bendrais bruožais.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4EF01" w14:textId="77777777" w:rsidR="00DD6BBE" w:rsidRDefault="00DD6BBE" w:rsidP="00CD2C06">
            <w:pPr>
              <w:pStyle w:val="Lentel"/>
              <w:jc w:val="center"/>
            </w:pPr>
            <w:r>
              <w:t>1</w:t>
            </w:r>
          </w:p>
        </w:tc>
      </w:tr>
      <w:tr w:rsidR="00DD6BBE" w14:paraId="0B857CCF" w14:textId="77777777" w:rsidTr="00EC5290">
        <w:tc>
          <w:tcPr>
            <w:tcW w:w="0" w:type="auto"/>
            <w:vMerge/>
            <w:tcBorders>
              <w:left w:val="outset" w:sz="6" w:space="0" w:color="auto"/>
              <w:bottom w:val="outset" w:sz="6" w:space="0" w:color="auto"/>
              <w:right w:val="outset" w:sz="6" w:space="0" w:color="auto"/>
            </w:tcBorders>
            <w:vAlign w:val="center"/>
            <w:hideMark/>
          </w:tcPr>
          <w:p w14:paraId="314B1D0F" w14:textId="77777777" w:rsidR="00DD6BBE" w:rsidRDefault="00DD6BBE" w:rsidP="00DD6BBE">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29A6885D" w14:textId="77777777" w:rsidR="00DD6BBE" w:rsidRDefault="00DD6BBE" w:rsidP="00DD6BBE">
            <w:pPr>
              <w:pStyle w:val="Lentel"/>
            </w:pPr>
            <w:r>
              <w:t>Bendradarbiavimo modelis nepateiktas.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A2F4C" w14:textId="77777777" w:rsidR="00DD6BBE" w:rsidRDefault="00DD6BBE" w:rsidP="00CD2C06">
            <w:pPr>
              <w:pStyle w:val="Lentel"/>
              <w:jc w:val="center"/>
            </w:pPr>
            <w:r>
              <w:t>0</w:t>
            </w:r>
          </w:p>
        </w:tc>
      </w:tr>
    </w:tbl>
    <w:p w14:paraId="52C4D098" w14:textId="77777777" w:rsidR="00FD30B1" w:rsidRDefault="00FD30B1">
      <w:pPr>
        <w:rPr>
          <w:b/>
          <w:bCs/>
        </w:rPr>
      </w:pPr>
    </w:p>
    <w:p w14:paraId="0AFC55D9" w14:textId="7DA8E0CB" w:rsidR="00ED1511" w:rsidRDefault="00ED1511">
      <w:pPr>
        <w:rPr>
          <w:b/>
          <w:bCs/>
        </w:rPr>
      </w:pPr>
      <w:r>
        <w:rPr>
          <w:b/>
          <w:bCs/>
        </w:rPr>
        <w:t>4.4. Mokymų ir žinių perdavimo kokybė</w:t>
      </w:r>
    </w:p>
    <w:p w14:paraId="3B489AC2" w14:textId="77777777" w:rsidR="00FD30B1" w:rsidRDefault="00FD30B1">
      <w:pPr>
        <w:rPr>
          <w:kern w:val="2"/>
          <w14:ligatures w14:val="standardContextual"/>
        </w:rPr>
      </w:pPr>
    </w:p>
    <w:p w14:paraId="77BAF237" w14:textId="77777777" w:rsidR="00ED1511" w:rsidRDefault="00ED1511">
      <w:r>
        <w:t>Maksimalus balų skaičius – 5. Šiuo kriterijumi vertinama, ar tiekėjo siūlomi mokymai ir žinių perdavimo priemonės padės Pirkėjo darbuotojams savarankiškai administruoti, naudoti ir prižiūrėti siūlomą GIS serverių platformą.</w:t>
      </w:r>
    </w:p>
    <w:p w14:paraId="0DDA67C6" w14:textId="77777777" w:rsidR="00FF0ED0" w:rsidRDefault="00FF0ED0">
      <w:pPr>
        <w:rPr>
          <w:kern w:val="2"/>
          <w14:ligatures w14:val="standardContextual"/>
        </w:rPr>
      </w:pPr>
    </w:p>
    <w:tbl>
      <w:tblPr>
        <w:tblStyle w:val="4tinkleliolentel-1parykinimas"/>
        <w:tblW w:w="0" w:type="auto"/>
        <w:tblInd w:w="0" w:type="dxa"/>
        <w:tblLook w:val="04A0" w:firstRow="1" w:lastRow="0" w:firstColumn="1" w:lastColumn="0" w:noHBand="0" w:noVBand="1"/>
      </w:tblPr>
      <w:tblGrid>
        <w:gridCol w:w="2303"/>
        <w:gridCol w:w="6570"/>
        <w:gridCol w:w="750"/>
      </w:tblGrid>
      <w:tr w:rsidR="00ED1511" w14:paraId="489071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D33D64" w14:textId="77777777" w:rsidR="00ED1511" w:rsidRPr="00FF0ED0" w:rsidRDefault="00ED1511" w:rsidP="00FF0ED0">
            <w:pPr>
              <w:pStyle w:val="Lentel"/>
              <w:rPr>
                <w:b/>
                <w:bCs w:val="0"/>
              </w:rPr>
            </w:pPr>
            <w:r w:rsidRPr="00FF0ED0">
              <w:rPr>
                <w:b/>
                <w:bCs w:val="0"/>
              </w:rPr>
              <w:t>Vertinimo aspektas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6FBDE" w14:textId="77777777" w:rsidR="00ED1511" w:rsidRPr="00FF0ED0" w:rsidRDefault="00ED1511" w:rsidP="00FF0ED0">
            <w:pPr>
              <w:pStyle w:val="Lentel"/>
              <w:rPr>
                <w:b/>
                <w:bCs w:val="0"/>
              </w:rPr>
            </w:pPr>
            <w:r w:rsidRPr="00FF0ED0">
              <w:rPr>
                <w:b/>
                <w:bCs w:val="0"/>
              </w:rPr>
              <w:t>Vertinimo aprašymas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96BFB" w14:textId="77777777" w:rsidR="00ED1511" w:rsidRPr="00FF0ED0" w:rsidRDefault="00ED1511" w:rsidP="00FF0ED0">
            <w:pPr>
              <w:pStyle w:val="Lentel"/>
              <w:rPr>
                <w:b/>
                <w:bCs w:val="0"/>
              </w:rPr>
            </w:pPr>
            <w:r w:rsidRPr="00FF0ED0">
              <w:rPr>
                <w:b/>
                <w:bCs w:val="0"/>
              </w:rPr>
              <w:t>Balai</w:t>
            </w:r>
          </w:p>
        </w:tc>
      </w:tr>
      <w:tr w:rsidR="00CD2C06" w14:paraId="4F08DB97" w14:textId="77777777" w:rsidTr="00FF318D">
        <w:tc>
          <w:tcPr>
            <w:tcW w:w="0" w:type="auto"/>
            <w:vMerge w:val="restart"/>
            <w:tcBorders>
              <w:top w:val="outset" w:sz="6" w:space="0" w:color="auto"/>
              <w:left w:val="outset" w:sz="6" w:space="0" w:color="auto"/>
              <w:right w:val="outset" w:sz="6" w:space="0" w:color="auto"/>
            </w:tcBorders>
            <w:vAlign w:val="center"/>
            <w:hideMark/>
          </w:tcPr>
          <w:p w14:paraId="6862C655" w14:textId="77777777" w:rsidR="00CD2C06" w:rsidRDefault="00CD2C06" w:rsidP="00CD2C06">
            <w:pPr>
              <w:pStyle w:val="Lentel"/>
              <w:jc w:val="left"/>
            </w:pPr>
            <w:r>
              <w:t>Mokymų programa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F9D39" w14:textId="77777777" w:rsidR="00CD2C06" w:rsidRDefault="00CD2C06" w:rsidP="00FF0ED0">
            <w:pPr>
              <w:pStyle w:val="Lentel"/>
            </w:pPr>
            <w:r>
              <w:t>Pateikta aiški mokymų programa, apimanti siūlomos programinės įrangos diegimo, konfigūravimo, administravimo, naudotojų valdymo ir praktinio naudojimo temas.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F4E39" w14:textId="77777777" w:rsidR="00CD2C06" w:rsidRDefault="00CD2C06" w:rsidP="00CD2C06">
            <w:pPr>
              <w:pStyle w:val="Lentel"/>
              <w:jc w:val="center"/>
            </w:pPr>
            <w:r>
              <w:t>2</w:t>
            </w:r>
          </w:p>
        </w:tc>
      </w:tr>
      <w:tr w:rsidR="00CD2C06" w14:paraId="4C15F0B9" w14:textId="77777777" w:rsidTr="00FF318D">
        <w:tc>
          <w:tcPr>
            <w:tcW w:w="0" w:type="auto"/>
            <w:vMerge/>
            <w:tcBorders>
              <w:left w:val="outset" w:sz="6" w:space="0" w:color="auto"/>
              <w:right w:val="outset" w:sz="6" w:space="0" w:color="auto"/>
            </w:tcBorders>
            <w:vAlign w:val="center"/>
            <w:hideMark/>
          </w:tcPr>
          <w:p w14:paraId="21DD0580" w14:textId="77777777" w:rsidR="00CD2C06" w:rsidRDefault="00CD2C06" w:rsidP="00CD2C06">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3728CA94" w14:textId="77777777" w:rsidR="00CD2C06" w:rsidRDefault="00CD2C06" w:rsidP="00FF0ED0">
            <w:pPr>
              <w:pStyle w:val="Lentel"/>
            </w:pPr>
            <w:r>
              <w:t>Mokymų programa pateikta, tačiau apima tik dalį reikalingų temų.</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069C1" w14:textId="77777777" w:rsidR="00CD2C06" w:rsidRDefault="00CD2C06" w:rsidP="00CD2C06">
            <w:pPr>
              <w:pStyle w:val="Lentel"/>
              <w:jc w:val="center"/>
            </w:pPr>
            <w:r>
              <w:t>1</w:t>
            </w:r>
          </w:p>
        </w:tc>
      </w:tr>
      <w:tr w:rsidR="00CD2C06" w14:paraId="46A21EED" w14:textId="77777777" w:rsidTr="00FF318D">
        <w:tc>
          <w:tcPr>
            <w:tcW w:w="0" w:type="auto"/>
            <w:vMerge/>
            <w:tcBorders>
              <w:left w:val="outset" w:sz="6" w:space="0" w:color="auto"/>
              <w:bottom w:val="outset" w:sz="6" w:space="0" w:color="auto"/>
              <w:right w:val="outset" w:sz="6" w:space="0" w:color="auto"/>
            </w:tcBorders>
            <w:vAlign w:val="center"/>
            <w:hideMark/>
          </w:tcPr>
          <w:p w14:paraId="00C0BA5C" w14:textId="77777777" w:rsidR="00CD2C06" w:rsidRDefault="00CD2C06" w:rsidP="00CD2C06">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7CBA0408" w14:textId="77777777" w:rsidR="00CD2C06" w:rsidRDefault="00CD2C06" w:rsidP="00FF0ED0">
            <w:pPr>
              <w:pStyle w:val="Lentel"/>
            </w:pPr>
            <w:r>
              <w:t>Mokymų programa nepateikta.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991FC" w14:textId="77777777" w:rsidR="00CD2C06" w:rsidRDefault="00CD2C06" w:rsidP="00CD2C06">
            <w:pPr>
              <w:pStyle w:val="Lentel"/>
              <w:jc w:val="center"/>
            </w:pPr>
            <w:r>
              <w:t>0</w:t>
            </w:r>
          </w:p>
        </w:tc>
      </w:tr>
      <w:tr w:rsidR="00CD2C06" w14:paraId="5838EC81" w14:textId="77777777" w:rsidTr="00590C0C">
        <w:tc>
          <w:tcPr>
            <w:tcW w:w="0" w:type="auto"/>
            <w:vMerge w:val="restart"/>
            <w:tcBorders>
              <w:top w:val="outset" w:sz="6" w:space="0" w:color="auto"/>
              <w:left w:val="outset" w:sz="6" w:space="0" w:color="auto"/>
              <w:right w:val="outset" w:sz="6" w:space="0" w:color="auto"/>
            </w:tcBorders>
            <w:vAlign w:val="center"/>
            <w:hideMark/>
          </w:tcPr>
          <w:p w14:paraId="548954A5" w14:textId="77777777" w:rsidR="00CD2C06" w:rsidRDefault="00CD2C06" w:rsidP="00CD2C06">
            <w:pPr>
              <w:pStyle w:val="Lentel"/>
              <w:jc w:val="left"/>
            </w:pPr>
            <w:r>
              <w:t>Praktinis mokymų pritaikomumas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12305" w14:textId="77777777" w:rsidR="00CD2C06" w:rsidRDefault="00CD2C06" w:rsidP="00FF0ED0">
            <w:pPr>
              <w:pStyle w:val="Lentel"/>
            </w:pPr>
            <w:r>
              <w:t>Mokymai orientuoti į praktinius Pirkėjo naudojimo scenarijus: naudotojų administravimą, duomenų publikavimą, žemėlapių ir informacinių skydų naudojimą, konsultacijų poreikių identifikavimą.</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951ED" w14:textId="77777777" w:rsidR="00CD2C06" w:rsidRDefault="00CD2C06" w:rsidP="00CD2C06">
            <w:pPr>
              <w:pStyle w:val="Lentel"/>
              <w:jc w:val="center"/>
            </w:pPr>
            <w:r>
              <w:t>2</w:t>
            </w:r>
          </w:p>
        </w:tc>
      </w:tr>
      <w:tr w:rsidR="00CD2C06" w14:paraId="731DC225" w14:textId="77777777" w:rsidTr="00590C0C">
        <w:tc>
          <w:tcPr>
            <w:tcW w:w="0" w:type="auto"/>
            <w:vMerge/>
            <w:tcBorders>
              <w:left w:val="outset" w:sz="6" w:space="0" w:color="auto"/>
              <w:right w:val="outset" w:sz="6" w:space="0" w:color="auto"/>
            </w:tcBorders>
            <w:vAlign w:val="center"/>
            <w:hideMark/>
          </w:tcPr>
          <w:p w14:paraId="1AD5F100" w14:textId="77777777" w:rsidR="00CD2C06" w:rsidRDefault="00CD2C06" w:rsidP="00CD2C06">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1C8B4234" w14:textId="77777777" w:rsidR="00CD2C06" w:rsidRDefault="00CD2C06" w:rsidP="00FF0ED0">
            <w:pPr>
              <w:pStyle w:val="Lentel"/>
            </w:pPr>
            <w:r>
              <w:t>Mokymai aprašyti bendrais bruožais, nepakankamai susiejant su Pirkėjo naudojimo scenarijais.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77705" w14:textId="77777777" w:rsidR="00CD2C06" w:rsidRDefault="00CD2C06" w:rsidP="00CD2C06">
            <w:pPr>
              <w:pStyle w:val="Lentel"/>
              <w:jc w:val="center"/>
            </w:pPr>
            <w:r>
              <w:t>1</w:t>
            </w:r>
          </w:p>
        </w:tc>
      </w:tr>
      <w:tr w:rsidR="00CD2C06" w14:paraId="4E55219A" w14:textId="77777777" w:rsidTr="00590C0C">
        <w:tc>
          <w:tcPr>
            <w:tcW w:w="0" w:type="auto"/>
            <w:vMerge/>
            <w:tcBorders>
              <w:left w:val="outset" w:sz="6" w:space="0" w:color="auto"/>
              <w:bottom w:val="outset" w:sz="6" w:space="0" w:color="auto"/>
              <w:right w:val="outset" w:sz="6" w:space="0" w:color="auto"/>
            </w:tcBorders>
            <w:vAlign w:val="center"/>
            <w:hideMark/>
          </w:tcPr>
          <w:p w14:paraId="57AE02A5" w14:textId="77777777" w:rsidR="00CD2C06" w:rsidRDefault="00CD2C06" w:rsidP="00CD2C06">
            <w:pPr>
              <w:pStyle w:val="Lentel"/>
              <w:jc w:val="left"/>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861DC" w14:textId="77777777" w:rsidR="00CD2C06" w:rsidRDefault="00CD2C06" w:rsidP="00FF0ED0">
            <w:pPr>
              <w:pStyle w:val="Lentel"/>
            </w:pPr>
            <w:r>
              <w:t>Praktinis mokymų pritaikomumas neaprašytas.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F20AB" w14:textId="77777777" w:rsidR="00CD2C06" w:rsidRDefault="00CD2C06" w:rsidP="00CD2C06">
            <w:pPr>
              <w:pStyle w:val="Lentel"/>
              <w:jc w:val="center"/>
            </w:pPr>
            <w:r>
              <w:t>0</w:t>
            </w:r>
          </w:p>
        </w:tc>
      </w:tr>
      <w:tr w:rsidR="00CD2C06" w14:paraId="3F164A2C" w14:textId="77777777" w:rsidTr="0031345C">
        <w:tc>
          <w:tcPr>
            <w:tcW w:w="0" w:type="auto"/>
            <w:vMerge w:val="restart"/>
            <w:tcBorders>
              <w:top w:val="outset" w:sz="6" w:space="0" w:color="auto"/>
              <w:left w:val="outset" w:sz="6" w:space="0" w:color="auto"/>
              <w:right w:val="outset" w:sz="6" w:space="0" w:color="auto"/>
            </w:tcBorders>
            <w:vAlign w:val="center"/>
            <w:hideMark/>
          </w:tcPr>
          <w:p w14:paraId="32F6F6D9" w14:textId="77777777" w:rsidR="00CD2C06" w:rsidRDefault="00CD2C06" w:rsidP="00CD2C06">
            <w:pPr>
              <w:pStyle w:val="Lentel"/>
              <w:jc w:val="left"/>
            </w:pPr>
            <w:r>
              <w:t>Mokymų medžiaga ir žinių perdavimas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8BDDF" w14:textId="77777777" w:rsidR="00CD2C06" w:rsidRDefault="00CD2C06" w:rsidP="00FF0ED0">
            <w:pPr>
              <w:pStyle w:val="Lentel"/>
            </w:pPr>
            <w:r>
              <w:t>Tiekėjas įsipareigoja pateikti mokymų medžiagą, naudotojų ar administratorių instrukcijas arba kitą žinių perdavimo medžiagą lietuvių arba anglų kalba.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8E217" w14:textId="77777777" w:rsidR="00CD2C06" w:rsidRDefault="00CD2C06" w:rsidP="00CD2C06">
            <w:pPr>
              <w:pStyle w:val="Lentel"/>
              <w:jc w:val="center"/>
            </w:pPr>
            <w:r>
              <w:t>1</w:t>
            </w:r>
          </w:p>
        </w:tc>
      </w:tr>
      <w:tr w:rsidR="00CD2C06" w14:paraId="05013785" w14:textId="77777777" w:rsidTr="0031345C">
        <w:tc>
          <w:tcPr>
            <w:tcW w:w="0" w:type="auto"/>
            <w:vMerge/>
            <w:tcBorders>
              <w:left w:val="outset" w:sz="6" w:space="0" w:color="auto"/>
              <w:bottom w:val="outset" w:sz="6" w:space="0" w:color="auto"/>
              <w:right w:val="outset" w:sz="6" w:space="0" w:color="auto"/>
            </w:tcBorders>
            <w:vAlign w:val="center"/>
            <w:hideMark/>
          </w:tcPr>
          <w:p w14:paraId="55284E34" w14:textId="77777777" w:rsidR="00CD2C06" w:rsidRDefault="00CD2C06" w:rsidP="00FF0ED0">
            <w:pPr>
              <w:pStyle w:val="Lentel"/>
            </w:pPr>
          </w:p>
        </w:tc>
        <w:tc>
          <w:tcPr>
            <w:tcW w:w="0" w:type="auto"/>
            <w:tcBorders>
              <w:top w:val="outset" w:sz="6" w:space="0" w:color="auto"/>
              <w:left w:val="outset" w:sz="6" w:space="0" w:color="auto"/>
              <w:bottom w:val="outset" w:sz="6" w:space="0" w:color="auto"/>
              <w:right w:val="outset" w:sz="6" w:space="0" w:color="auto"/>
            </w:tcBorders>
            <w:vAlign w:val="center"/>
            <w:hideMark/>
          </w:tcPr>
          <w:p w14:paraId="064D0107" w14:textId="77777777" w:rsidR="00CD2C06" w:rsidRDefault="00CD2C06" w:rsidP="00FF0ED0">
            <w:pPr>
              <w:pStyle w:val="Lentel"/>
            </w:pPr>
            <w:r>
              <w:t>Mokymų medžiaga nenumatyta arba nepateikta informacija apie jos parengimą.</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D1EBE" w14:textId="77777777" w:rsidR="00CD2C06" w:rsidRDefault="00CD2C06" w:rsidP="00CD2C06">
            <w:pPr>
              <w:pStyle w:val="Lentel"/>
              <w:jc w:val="center"/>
            </w:pPr>
            <w:r>
              <w:t>0</w:t>
            </w:r>
          </w:p>
        </w:tc>
      </w:tr>
    </w:tbl>
    <w:p w14:paraId="3F2E0E2A" w14:textId="77777777" w:rsidR="00FD30B1" w:rsidRDefault="00FD30B1">
      <w:pPr>
        <w:rPr>
          <w:b/>
          <w:bCs/>
        </w:rPr>
      </w:pPr>
    </w:p>
    <w:p w14:paraId="4D83F2FD" w14:textId="6B65E5CE" w:rsidR="00ED1511" w:rsidRDefault="00ED1511">
      <w:pPr>
        <w:rPr>
          <w:b/>
          <w:bCs/>
        </w:rPr>
      </w:pPr>
      <w:r>
        <w:rPr>
          <w:b/>
          <w:bCs/>
        </w:rPr>
        <w:t>5. Vertinimui pateikiami dokumentai</w:t>
      </w:r>
    </w:p>
    <w:p w14:paraId="2E70F6AB" w14:textId="77777777" w:rsidR="001533B3" w:rsidRDefault="001533B3">
      <w:pPr>
        <w:rPr>
          <w:kern w:val="2"/>
          <w14:ligatures w14:val="standardContextual"/>
        </w:rPr>
      </w:pPr>
    </w:p>
    <w:p w14:paraId="7786C349" w14:textId="77777777" w:rsidR="00ED1511" w:rsidRPr="00BC14AE" w:rsidRDefault="00ED1511" w:rsidP="001533B3">
      <w:pPr>
        <w:pStyle w:val="Sraopastraipa"/>
        <w:numPr>
          <w:ilvl w:val="0"/>
          <w:numId w:val="37"/>
        </w:numPr>
        <w:ind w:left="567"/>
        <w:rPr>
          <w:kern w:val="2"/>
          <w:lang w:val="pt-PT"/>
          <w14:ligatures w14:val="standardContextual"/>
        </w:rPr>
      </w:pPr>
      <w:r w:rsidRPr="00BC14AE">
        <w:rPr>
          <w:lang w:val="pt-PT"/>
        </w:rPr>
        <w:lastRenderedPageBreak/>
        <w:t>Užpildytą pasiūlymo formą su bendra pasiūlymo kaina ir įkainiais.</w:t>
      </w:r>
    </w:p>
    <w:p w14:paraId="07FEB6F1" w14:textId="77777777" w:rsidR="00ED1511" w:rsidRPr="00BC14AE" w:rsidRDefault="00ED1511" w:rsidP="001533B3">
      <w:pPr>
        <w:pStyle w:val="Sraopastraipa"/>
        <w:numPr>
          <w:ilvl w:val="0"/>
          <w:numId w:val="37"/>
        </w:numPr>
        <w:ind w:left="567"/>
        <w:rPr>
          <w:lang w:val="pt-PT"/>
        </w:rPr>
      </w:pPr>
      <w:r w:rsidRPr="00BC14AE">
        <w:rPr>
          <w:lang w:val="pt-PT"/>
        </w:rPr>
        <w:t>Įvykdytų sutarčių ar projektų sąrašą, kuriuo grindžiama tiekėjo patirtis.</w:t>
      </w:r>
    </w:p>
    <w:p w14:paraId="51BCF2EC" w14:textId="77777777" w:rsidR="00ED1511" w:rsidRPr="00BC14AE" w:rsidRDefault="00ED1511" w:rsidP="001533B3">
      <w:pPr>
        <w:pStyle w:val="Sraopastraipa"/>
        <w:numPr>
          <w:ilvl w:val="0"/>
          <w:numId w:val="37"/>
        </w:numPr>
        <w:ind w:left="567"/>
        <w:rPr>
          <w:lang w:val="pt-PT"/>
        </w:rPr>
      </w:pPr>
      <w:r w:rsidRPr="00BC14AE">
        <w:rPr>
          <w:lang w:val="pt-PT"/>
        </w:rPr>
        <w:t>Dokumentus, patvirtinančius tiekėjo teisę tiekti, aptarnauti ar konsultuoti dėl siūlomos programinės įrangos, jeigu tokie dokumentai taikomi siūlomam sprendimui.</w:t>
      </w:r>
    </w:p>
    <w:p w14:paraId="58C02A7D" w14:textId="77777777" w:rsidR="00ED1511" w:rsidRPr="00BC14AE" w:rsidRDefault="00ED1511" w:rsidP="001533B3">
      <w:pPr>
        <w:pStyle w:val="Sraopastraipa"/>
        <w:numPr>
          <w:ilvl w:val="0"/>
          <w:numId w:val="37"/>
        </w:numPr>
        <w:ind w:left="567"/>
        <w:rPr>
          <w:lang w:val="pt-PT"/>
        </w:rPr>
      </w:pPr>
      <w:r w:rsidRPr="00BC14AE">
        <w:rPr>
          <w:lang w:val="pt-PT"/>
        </w:rPr>
        <w:t>Sutarties vykdymui siūlomų specialistų sąrašą, jų funkcijas sutarties vykdymo metu ir kompetenciją pagrindžiančius dokumentus.</w:t>
      </w:r>
    </w:p>
    <w:p w14:paraId="5F2AE6AF" w14:textId="77777777" w:rsidR="00ED1511" w:rsidRPr="00BC14AE" w:rsidRDefault="00ED1511" w:rsidP="001533B3">
      <w:pPr>
        <w:pStyle w:val="Sraopastraipa"/>
        <w:numPr>
          <w:ilvl w:val="0"/>
          <w:numId w:val="37"/>
        </w:numPr>
        <w:ind w:left="567"/>
        <w:rPr>
          <w:lang w:val="pt-PT"/>
        </w:rPr>
      </w:pPr>
      <w:r w:rsidRPr="00BC14AE">
        <w:rPr>
          <w:lang w:val="pt-PT"/>
        </w:rPr>
        <w:t>Siūlomą licencijų aktyvavimo, administravimo, konsultavimo ir palaikymo planą.</w:t>
      </w:r>
    </w:p>
    <w:p w14:paraId="0BE0A949" w14:textId="77777777" w:rsidR="00ED1511" w:rsidRPr="00BC14AE" w:rsidRDefault="00ED1511" w:rsidP="001533B3">
      <w:pPr>
        <w:pStyle w:val="Sraopastraipa"/>
        <w:numPr>
          <w:ilvl w:val="0"/>
          <w:numId w:val="37"/>
        </w:numPr>
        <w:ind w:left="567"/>
        <w:rPr>
          <w:lang w:val="pt-PT"/>
        </w:rPr>
      </w:pPr>
      <w:r w:rsidRPr="00BC14AE">
        <w:rPr>
          <w:lang w:val="pt-PT"/>
        </w:rPr>
        <w:t>Mokymų programą ir žinių perdavimo aprašymą.</w:t>
      </w:r>
    </w:p>
    <w:p w14:paraId="44CB039A" w14:textId="77777777" w:rsidR="00ED1511" w:rsidRPr="00BC14AE" w:rsidRDefault="00ED1511" w:rsidP="001533B3">
      <w:pPr>
        <w:pStyle w:val="Sraopastraipa"/>
        <w:numPr>
          <w:ilvl w:val="0"/>
          <w:numId w:val="37"/>
        </w:numPr>
        <w:ind w:left="567"/>
        <w:rPr>
          <w:lang w:val="pt-PT"/>
        </w:rPr>
      </w:pPr>
      <w:r w:rsidRPr="00BC14AE">
        <w:rPr>
          <w:lang w:val="pt-PT"/>
        </w:rPr>
        <w:t>Kitus dokumentus, kurių reikalaujama pirkimo sąlygose ar techninėje specifikacijoje.</w:t>
      </w:r>
    </w:p>
    <w:p w14:paraId="1771965E" w14:textId="77777777" w:rsidR="00ED1511" w:rsidRDefault="00ED1511">
      <w:r>
        <w:t>Jeigu tiekėjas remiasi subtiekėjų ar kitų ūkio subjektų pajėgumais, vertinama tik tokia patirtis ir kompetencija, kuri bus realiai pasitelkiama sutarties vykdymui. Tokiu atveju tiekėjas turi aiškiai nurodyti, kokias funkcijas vykdys pats tiekėjas, kokias – subtiekėjai ar kiti pasitelkiami subjektai.</w:t>
      </w:r>
    </w:p>
    <w:p w14:paraId="5771EF33" w14:textId="77777777" w:rsidR="00FD30B1" w:rsidRDefault="00FD30B1">
      <w:pPr>
        <w:rPr>
          <w:kern w:val="2"/>
          <w14:ligatures w14:val="standardContextual"/>
        </w:rPr>
      </w:pPr>
    </w:p>
    <w:p w14:paraId="2FB6FFA5" w14:textId="77777777" w:rsidR="00ED1511" w:rsidRDefault="00ED1511">
      <w:pPr>
        <w:rPr>
          <w:b/>
          <w:bCs/>
        </w:rPr>
      </w:pPr>
      <w:r>
        <w:rPr>
          <w:b/>
          <w:bCs/>
        </w:rPr>
        <w:t>6. Vertinimo skaidrumo ir objektyvumo nuostatos</w:t>
      </w:r>
    </w:p>
    <w:p w14:paraId="1487050C" w14:textId="77777777" w:rsidR="00FD30B1" w:rsidRDefault="00FD30B1">
      <w:pPr>
        <w:rPr>
          <w:kern w:val="2"/>
          <w14:ligatures w14:val="standardContextual"/>
        </w:rPr>
      </w:pPr>
    </w:p>
    <w:p w14:paraId="5F8130E7" w14:textId="77777777" w:rsidR="00ED1511" w:rsidRDefault="00ED1511">
      <w:pPr>
        <w:rPr>
          <w:kern w:val="2"/>
          <w14:ligatures w14:val="standardContextual"/>
        </w:rPr>
      </w:pPr>
      <w:r>
        <w:t>Vertinimo metu balai skiriami tik už pasiūlyme aiškiai pateiktą, patikrinamą ir dokumentais pagrįstą informaciją. Jeigu pateikta informacija yra neaiški, prieštaringa ar nepakankama balui skirti, Pirkėjas turi teisę prašyti tiekėjo ją paaiškinti ar patikslinti teisės aktų ir pirkimo dokumentų nustatyta tvarka.</w:t>
      </w:r>
    </w:p>
    <w:p w14:paraId="6B3D1CBC" w14:textId="77777777" w:rsidR="00ED1511" w:rsidRDefault="00ED1511">
      <w:pPr>
        <w:rPr>
          <w:kern w:val="2"/>
          <w14:ligatures w14:val="standardContextual"/>
        </w:rPr>
      </w:pPr>
      <w:r>
        <w:t>Tiekėjo patirtis su ESRI ArcGIS sprendimais vertinama kaip pranašumas tik tiek, kiek ji tiesiogiai susijusi su pirkimo objektu: GIS serverių platformos licencijų tiekimu, administravimu, konsultavimu, mokymais, naudotojų valdymu, integracijomis, migravimu, erdvinių duomenų publikavimu ar analogiškų funkcijų užtikrinimu. Vien bendras IT paslaugų teikimas, nesusijęs su GIS serverių platformomis, nelaikomas pakankamu pagrindu balams skirti pagal šį kriterijų.</w:t>
      </w:r>
    </w:p>
    <w:p w14:paraId="7DB9723B" w14:textId="77777777" w:rsidR="00ED1511" w:rsidRDefault="00ED1511">
      <w:pPr>
        <w:rPr>
          <w:kern w:val="2"/>
          <w14:ligatures w14:val="standardContextual"/>
        </w:rPr>
      </w:pPr>
      <w:r>
        <w:t>Lygiaverčių GIS sprendimų patirtis vertinama, jeigu tiekėjas pagrindžia, kad įgyvendinti projektai savo apimtimi, technologiniu sudėtingumu ir funkcionalumu yra panašūs į šio pirkimo objektą.</w:t>
      </w:r>
    </w:p>
    <w:p w14:paraId="1A311971" w14:textId="77777777" w:rsidR="00ED1511" w:rsidRDefault="00ED1511"/>
    <w:sectPr w:rsidR="00ED1511" w:rsidSect="004D7963">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6F391" w14:textId="77777777" w:rsidR="00194636" w:rsidRDefault="00194636" w:rsidP="00BA372F">
      <w:r>
        <w:separator/>
      </w:r>
    </w:p>
  </w:endnote>
  <w:endnote w:type="continuationSeparator" w:id="0">
    <w:p w14:paraId="7F0A4E09" w14:textId="77777777" w:rsidR="00194636" w:rsidRDefault="00194636"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34B6" w14:textId="77777777" w:rsidR="00144BBB" w:rsidRDefault="00144B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7A0" w14:textId="77777777" w:rsidR="00144BBB" w:rsidRDefault="00144B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EEAA" w14:textId="77777777" w:rsidR="00194636" w:rsidRDefault="00194636" w:rsidP="00BA372F">
      <w:r>
        <w:separator/>
      </w:r>
    </w:p>
  </w:footnote>
  <w:footnote w:type="continuationSeparator" w:id="0">
    <w:p w14:paraId="3C57AE79" w14:textId="77777777" w:rsidR="00194636" w:rsidRDefault="00194636"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7D2E" w14:textId="7B5A8032" w:rsidR="00144BBB" w:rsidRDefault="00144B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DF9E" w14:textId="59F4F693" w:rsidR="00864EF5" w:rsidRDefault="00000000">
    <w:pPr>
      <w:pStyle w:val="Antrats"/>
      <w:jc w:val="center"/>
    </w:pPr>
    <w:sdt>
      <w:sdtPr>
        <w:id w:val="1283914635"/>
        <w:docPartObj>
          <w:docPartGallery w:val="Page Numbers (Top of Page)"/>
          <w:docPartUnique/>
        </w:docPartObj>
      </w:sdtPr>
      <w:sdtContent>
        <w:r w:rsidR="00864EF5">
          <w:fldChar w:fldCharType="begin"/>
        </w:r>
        <w:r w:rsidR="00864EF5">
          <w:instrText>PAGE   \* MERGEFORMAT</w:instrText>
        </w:r>
        <w:r w:rsidR="00864EF5">
          <w:fldChar w:fldCharType="separate"/>
        </w:r>
        <w:r w:rsidR="00864EF5">
          <w:t>2</w:t>
        </w:r>
        <w:r w:rsidR="00864EF5">
          <w:fldChar w:fldCharType="end"/>
        </w:r>
      </w:sdtContent>
    </w:sdt>
  </w:p>
  <w:p w14:paraId="09EE09C6" w14:textId="11BF9B39" w:rsidR="47E52C56" w:rsidRDefault="47E52C56" w:rsidP="004545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FD19" w14:textId="6D9B56B6" w:rsidR="00144BBB" w:rsidRDefault="00144B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3B4"/>
    <w:multiLevelType w:val="multilevel"/>
    <w:tmpl w:val="D7FC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4022"/>
    <w:multiLevelType w:val="multilevel"/>
    <w:tmpl w:val="154C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477D3"/>
    <w:multiLevelType w:val="multilevel"/>
    <w:tmpl w:val="5EC0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406FF"/>
    <w:multiLevelType w:val="multilevel"/>
    <w:tmpl w:val="30E2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1FBA"/>
    <w:multiLevelType w:val="multilevel"/>
    <w:tmpl w:val="B2D2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F03D0"/>
    <w:multiLevelType w:val="multilevel"/>
    <w:tmpl w:val="D794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12827"/>
    <w:multiLevelType w:val="multilevel"/>
    <w:tmpl w:val="21CE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00F54"/>
    <w:multiLevelType w:val="multilevel"/>
    <w:tmpl w:val="612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D7497"/>
    <w:multiLevelType w:val="multilevel"/>
    <w:tmpl w:val="42A2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B82C97"/>
    <w:multiLevelType w:val="multilevel"/>
    <w:tmpl w:val="D38E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61BE6"/>
    <w:multiLevelType w:val="multilevel"/>
    <w:tmpl w:val="FDA4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D350ED8"/>
    <w:multiLevelType w:val="multilevel"/>
    <w:tmpl w:val="594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308F0"/>
    <w:multiLevelType w:val="multilevel"/>
    <w:tmpl w:val="452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00B22"/>
    <w:multiLevelType w:val="multilevel"/>
    <w:tmpl w:val="9F44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3A6ABF"/>
    <w:multiLevelType w:val="multilevel"/>
    <w:tmpl w:val="D672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024699F"/>
    <w:multiLevelType w:val="multilevel"/>
    <w:tmpl w:val="A02A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A1E4F"/>
    <w:multiLevelType w:val="multilevel"/>
    <w:tmpl w:val="E8DE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4773B"/>
    <w:multiLevelType w:val="multilevel"/>
    <w:tmpl w:val="CF60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A3A4F"/>
    <w:multiLevelType w:val="hybridMultilevel"/>
    <w:tmpl w:val="4AAE5A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9DC119F"/>
    <w:multiLevelType w:val="multilevel"/>
    <w:tmpl w:val="6112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048A2"/>
    <w:multiLevelType w:val="multilevel"/>
    <w:tmpl w:val="7D54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4" w15:restartNumberingAfterBreak="0">
    <w:nsid w:val="5D3E6C95"/>
    <w:multiLevelType w:val="multilevel"/>
    <w:tmpl w:val="C45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D3E97"/>
    <w:multiLevelType w:val="multilevel"/>
    <w:tmpl w:val="E950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323C6"/>
    <w:multiLevelType w:val="multilevel"/>
    <w:tmpl w:val="2A0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BD1B2F"/>
    <w:multiLevelType w:val="multilevel"/>
    <w:tmpl w:val="FEA0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7241EF8"/>
    <w:multiLevelType w:val="multilevel"/>
    <w:tmpl w:val="8CEE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51CA1"/>
    <w:multiLevelType w:val="multilevel"/>
    <w:tmpl w:val="0B38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D8497D"/>
    <w:multiLevelType w:val="multilevel"/>
    <w:tmpl w:val="15C4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03512"/>
    <w:multiLevelType w:val="multilevel"/>
    <w:tmpl w:val="3DBA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8D60E2"/>
    <w:multiLevelType w:val="multilevel"/>
    <w:tmpl w:val="1224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709"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6" w15:restartNumberingAfterBreak="0">
    <w:nsid w:val="7E6825F0"/>
    <w:multiLevelType w:val="multilevel"/>
    <w:tmpl w:val="61B6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762448">
    <w:abstractNumId w:val="34"/>
  </w:num>
  <w:num w:numId="2" w16cid:durableId="17301546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004288">
    <w:abstractNumId w:val="23"/>
  </w:num>
  <w:num w:numId="4" w16cid:durableId="1879320563">
    <w:abstractNumId w:val="28"/>
  </w:num>
  <w:num w:numId="5" w16cid:durableId="1656257509">
    <w:abstractNumId w:val="35"/>
  </w:num>
  <w:num w:numId="6" w16cid:durableId="1018846671">
    <w:abstractNumId w:val="11"/>
  </w:num>
  <w:num w:numId="7" w16cid:durableId="2122456356">
    <w:abstractNumId w:val="24"/>
  </w:num>
  <w:num w:numId="8" w16cid:durableId="101074518">
    <w:abstractNumId w:val="5"/>
  </w:num>
  <w:num w:numId="9" w16cid:durableId="1145587732">
    <w:abstractNumId w:val="3"/>
  </w:num>
  <w:num w:numId="10" w16cid:durableId="1002011216">
    <w:abstractNumId w:val="21"/>
  </w:num>
  <w:num w:numId="11" w16cid:durableId="1476415403">
    <w:abstractNumId w:val="13"/>
  </w:num>
  <w:num w:numId="12" w16cid:durableId="1630430658">
    <w:abstractNumId w:val="4"/>
  </w:num>
  <w:num w:numId="13" w16cid:durableId="1893497041">
    <w:abstractNumId w:val="2"/>
  </w:num>
  <w:num w:numId="14" w16cid:durableId="1762214830">
    <w:abstractNumId w:val="17"/>
  </w:num>
  <w:num w:numId="15" w16cid:durableId="280377247">
    <w:abstractNumId w:val="15"/>
  </w:num>
  <w:num w:numId="16" w16cid:durableId="17781052">
    <w:abstractNumId w:val="8"/>
  </w:num>
  <w:num w:numId="17" w16cid:durableId="1945844340">
    <w:abstractNumId w:val="9"/>
  </w:num>
  <w:num w:numId="18" w16cid:durableId="1180045244">
    <w:abstractNumId w:val="14"/>
  </w:num>
  <w:num w:numId="19" w16cid:durableId="860321352">
    <w:abstractNumId w:val="27"/>
  </w:num>
  <w:num w:numId="20" w16cid:durableId="710032878">
    <w:abstractNumId w:val="0"/>
  </w:num>
  <w:num w:numId="21" w16cid:durableId="1536430623">
    <w:abstractNumId w:val="10"/>
  </w:num>
  <w:num w:numId="22" w16cid:durableId="675619608">
    <w:abstractNumId w:val="31"/>
  </w:num>
  <w:num w:numId="23" w16cid:durableId="1159999529">
    <w:abstractNumId w:val="1"/>
  </w:num>
  <w:num w:numId="24" w16cid:durableId="648828651">
    <w:abstractNumId w:val="19"/>
  </w:num>
  <w:num w:numId="25" w16cid:durableId="1141536074">
    <w:abstractNumId w:val="12"/>
  </w:num>
  <w:num w:numId="26" w16cid:durableId="1622224020">
    <w:abstractNumId w:val="30"/>
  </w:num>
  <w:num w:numId="27" w16cid:durableId="610473170">
    <w:abstractNumId w:val="22"/>
  </w:num>
  <w:num w:numId="28" w16cid:durableId="1208948953">
    <w:abstractNumId w:val="36"/>
  </w:num>
  <w:num w:numId="29" w16cid:durableId="64378215">
    <w:abstractNumId w:val="32"/>
  </w:num>
  <w:num w:numId="30" w16cid:durableId="823931239">
    <w:abstractNumId w:val="7"/>
  </w:num>
  <w:num w:numId="31" w16cid:durableId="1252199084">
    <w:abstractNumId w:val="29"/>
  </w:num>
  <w:num w:numId="32" w16cid:durableId="351301788">
    <w:abstractNumId w:val="6"/>
  </w:num>
  <w:num w:numId="33" w16cid:durableId="168297800">
    <w:abstractNumId w:val="25"/>
  </w:num>
  <w:num w:numId="34" w16cid:durableId="908542592">
    <w:abstractNumId w:val="18"/>
  </w:num>
  <w:num w:numId="35" w16cid:durableId="536816495">
    <w:abstractNumId w:val="26"/>
  </w:num>
  <w:num w:numId="36" w16cid:durableId="804852020">
    <w:abstractNumId w:val="33"/>
  </w:num>
  <w:num w:numId="37" w16cid:durableId="792746232">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82B"/>
    <w:rsid w:val="000249D3"/>
    <w:rsid w:val="00030ABF"/>
    <w:rsid w:val="00033B69"/>
    <w:rsid w:val="00034913"/>
    <w:rsid w:val="00036EDB"/>
    <w:rsid w:val="00037B44"/>
    <w:rsid w:val="00044B80"/>
    <w:rsid w:val="00045665"/>
    <w:rsid w:val="000502F5"/>
    <w:rsid w:val="000521C1"/>
    <w:rsid w:val="00054445"/>
    <w:rsid w:val="00054933"/>
    <w:rsid w:val="00056CB8"/>
    <w:rsid w:val="00072E49"/>
    <w:rsid w:val="0009726E"/>
    <w:rsid w:val="000A0167"/>
    <w:rsid w:val="000A1B11"/>
    <w:rsid w:val="000A72E9"/>
    <w:rsid w:val="000A7D09"/>
    <w:rsid w:val="000B2896"/>
    <w:rsid w:val="000C1853"/>
    <w:rsid w:val="000C4B51"/>
    <w:rsid w:val="000C4FF6"/>
    <w:rsid w:val="000C609C"/>
    <w:rsid w:val="000D49FC"/>
    <w:rsid w:val="000D7CEA"/>
    <w:rsid w:val="000E1312"/>
    <w:rsid w:val="000F10BB"/>
    <w:rsid w:val="000F41A9"/>
    <w:rsid w:val="000F49AA"/>
    <w:rsid w:val="000F7809"/>
    <w:rsid w:val="001101CE"/>
    <w:rsid w:val="001175B0"/>
    <w:rsid w:val="00121942"/>
    <w:rsid w:val="00121C24"/>
    <w:rsid w:val="00125EC3"/>
    <w:rsid w:val="00131509"/>
    <w:rsid w:val="001316D8"/>
    <w:rsid w:val="0013206C"/>
    <w:rsid w:val="00132B19"/>
    <w:rsid w:val="0014109A"/>
    <w:rsid w:val="00142FB0"/>
    <w:rsid w:val="00144BBB"/>
    <w:rsid w:val="001533B3"/>
    <w:rsid w:val="00153787"/>
    <w:rsid w:val="0015708C"/>
    <w:rsid w:val="00161846"/>
    <w:rsid w:val="0016199B"/>
    <w:rsid w:val="00163256"/>
    <w:rsid w:val="001670B2"/>
    <w:rsid w:val="0016795D"/>
    <w:rsid w:val="0017245C"/>
    <w:rsid w:val="001803B1"/>
    <w:rsid w:val="001904B3"/>
    <w:rsid w:val="00194636"/>
    <w:rsid w:val="00194C2C"/>
    <w:rsid w:val="00196F11"/>
    <w:rsid w:val="001A42EB"/>
    <w:rsid w:val="001A6349"/>
    <w:rsid w:val="001B3172"/>
    <w:rsid w:val="001B319E"/>
    <w:rsid w:val="001B5021"/>
    <w:rsid w:val="001B5D0E"/>
    <w:rsid w:val="001C3965"/>
    <w:rsid w:val="001C3FF7"/>
    <w:rsid w:val="001D3622"/>
    <w:rsid w:val="001D57B5"/>
    <w:rsid w:val="001D5FBF"/>
    <w:rsid w:val="001E2776"/>
    <w:rsid w:val="001E3A32"/>
    <w:rsid w:val="001E5E92"/>
    <w:rsid w:val="001E7E39"/>
    <w:rsid w:val="001F3CAE"/>
    <w:rsid w:val="001F3D70"/>
    <w:rsid w:val="001F42ED"/>
    <w:rsid w:val="00205308"/>
    <w:rsid w:val="00210088"/>
    <w:rsid w:val="00212F37"/>
    <w:rsid w:val="00217ED8"/>
    <w:rsid w:val="00223BA6"/>
    <w:rsid w:val="002342A0"/>
    <w:rsid w:val="002373A9"/>
    <w:rsid w:val="00237723"/>
    <w:rsid w:val="00244035"/>
    <w:rsid w:val="00252B80"/>
    <w:rsid w:val="002656F5"/>
    <w:rsid w:val="00270771"/>
    <w:rsid w:val="002807A0"/>
    <w:rsid w:val="00291C24"/>
    <w:rsid w:val="00293838"/>
    <w:rsid w:val="002A125B"/>
    <w:rsid w:val="002A43FF"/>
    <w:rsid w:val="002A499E"/>
    <w:rsid w:val="002A68D6"/>
    <w:rsid w:val="002B2D0C"/>
    <w:rsid w:val="002B3509"/>
    <w:rsid w:val="002B6B77"/>
    <w:rsid w:val="002B7A2E"/>
    <w:rsid w:val="002C4EB1"/>
    <w:rsid w:val="002C6499"/>
    <w:rsid w:val="002C6E24"/>
    <w:rsid w:val="002D5C5C"/>
    <w:rsid w:val="002D66F9"/>
    <w:rsid w:val="002E2171"/>
    <w:rsid w:val="002E4D5E"/>
    <w:rsid w:val="002E6267"/>
    <w:rsid w:val="002E6931"/>
    <w:rsid w:val="002F73BD"/>
    <w:rsid w:val="00301585"/>
    <w:rsid w:val="00307AC9"/>
    <w:rsid w:val="00310124"/>
    <w:rsid w:val="00311167"/>
    <w:rsid w:val="00313FDA"/>
    <w:rsid w:val="00316485"/>
    <w:rsid w:val="00321DE6"/>
    <w:rsid w:val="00332127"/>
    <w:rsid w:val="00332AC8"/>
    <w:rsid w:val="00335911"/>
    <w:rsid w:val="00336309"/>
    <w:rsid w:val="00342B89"/>
    <w:rsid w:val="00344ED3"/>
    <w:rsid w:val="003618E3"/>
    <w:rsid w:val="00373CD8"/>
    <w:rsid w:val="00374A41"/>
    <w:rsid w:val="00375742"/>
    <w:rsid w:val="00382B78"/>
    <w:rsid w:val="00385AB2"/>
    <w:rsid w:val="003868A5"/>
    <w:rsid w:val="00387E7F"/>
    <w:rsid w:val="003A1C61"/>
    <w:rsid w:val="003A49A9"/>
    <w:rsid w:val="003A76AE"/>
    <w:rsid w:val="003B19F2"/>
    <w:rsid w:val="003B64FF"/>
    <w:rsid w:val="003C2FEA"/>
    <w:rsid w:val="003C72BB"/>
    <w:rsid w:val="003D2BBD"/>
    <w:rsid w:val="003D32FF"/>
    <w:rsid w:val="003D4876"/>
    <w:rsid w:val="003E6F92"/>
    <w:rsid w:val="003E6FBD"/>
    <w:rsid w:val="003E7B59"/>
    <w:rsid w:val="003F097A"/>
    <w:rsid w:val="003F1CA2"/>
    <w:rsid w:val="00407A18"/>
    <w:rsid w:val="004100B0"/>
    <w:rsid w:val="00410B1E"/>
    <w:rsid w:val="00411E49"/>
    <w:rsid w:val="00411FF7"/>
    <w:rsid w:val="00413E36"/>
    <w:rsid w:val="00421030"/>
    <w:rsid w:val="00422E40"/>
    <w:rsid w:val="00426958"/>
    <w:rsid w:val="00426B50"/>
    <w:rsid w:val="004360EB"/>
    <w:rsid w:val="00436C6F"/>
    <w:rsid w:val="00437D1E"/>
    <w:rsid w:val="00441E3F"/>
    <w:rsid w:val="004503A5"/>
    <w:rsid w:val="0045445C"/>
    <w:rsid w:val="004545B8"/>
    <w:rsid w:val="004556B3"/>
    <w:rsid w:val="00456947"/>
    <w:rsid w:val="00456BE6"/>
    <w:rsid w:val="00463C8F"/>
    <w:rsid w:val="00476D4C"/>
    <w:rsid w:val="004830DA"/>
    <w:rsid w:val="00483E12"/>
    <w:rsid w:val="0049327E"/>
    <w:rsid w:val="004958EA"/>
    <w:rsid w:val="00497D5F"/>
    <w:rsid w:val="00497E19"/>
    <w:rsid w:val="004A1279"/>
    <w:rsid w:val="004A3585"/>
    <w:rsid w:val="004A37EB"/>
    <w:rsid w:val="004C0300"/>
    <w:rsid w:val="004C0F42"/>
    <w:rsid w:val="004C2062"/>
    <w:rsid w:val="004C264E"/>
    <w:rsid w:val="004C273F"/>
    <w:rsid w:val="004D1C29"/>
    <w:rsid w:val="004D2ED9"/>
    <w:rsid w:val="004D38C4"/>
    <w:rsid w:val="004D5F40"/>
    <w:rsid w:val="004D791B"/>
    <w:rsid w:val="004D7963"/>
    <w:rsid w:val="004F43C4"/>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81377"/>
    <w:rsid w:val="00581CCE"/>
    <w:rsid w:val="005926B4"/>
    <w:rsid w:val="005A33A6"/>
    <w:rsid w:val="005A4E99"/>
    <w:rsid w:val="005A7C96"/>
    <w:rsid w:val="005C1C8E"/>
    <w:rsid w:val="005C1D51"/>
    <w:rsid w:val="005C5A52"/>
    <w:rsid w:val="005D0B86"/>
    <w:rsid w:val="005D15BB"/>
    <w:rsid w:val="005D3E8F"/>
    <w:rsid w:val="005D46D5"/>
    <w:rsid w:val="005D683A"/>
    <w:rsid w:val="005D7661"/>
    <w:rsid w:val="005E2BE8"/>
    <w:rsid w:val="005E520E"/>
    <w:rsid w:val="005F282A"/>
    <w:rsid w:val="006101CF"/>
    <w:rsid w:val="00611107"/>
    <w:rsid w:val="006241E6"/>
    <w:rsid w:val="00624D3F"/>
    <w:rsid w:val="00625D1E"/>
    <w:rsid w:val="00627992"/>
    <w:rsid w:val="00635202"/>
    <w:rsid w:val="00660458"/>
    <w:rsid w:val="006605DD"/>
    <w:rsid w:val="006609E4"/>
    <w:rsid w:val="00662B2D"/>
    <w:rsid w:val="00664420"/>
    <w:rsid w:val="00667D5B"/>
    <w:rsid w:val="006706C3"/>
    <w:rsid w:val="0067429D"/>
    <w:rsid w:val="0068013E"/>
    <w:rsid w:val="0068451D"/>
    <w:rsid w:val="006846AE"/>
    <w:rsid w:val="00691F41"/>
    <w:rsid w:val="00692A64"/>
    <w:rsid w:val="00694D7D"/>
    <w:rsid w:val="00695DFA"/>
    <w:rsid w:val="006A0A19"/>
    <w:rsid w:val="006A18A8"/>
    <w:rsid w:val="006A3B25"/>
    <w:rsid w:val="006A4B15"/>
    <w:rsid w:val="006B6EA0"/>
    <w:rsid w:val="006C0BDE"/>
    <w:rsid w:val="006C7B6E"/>
    <w:rsid w:val="006D3F16"/>
    <w:rsid w:val="006E1E8E"/>
    <w:rsid w:val="006E29F5"/>
    <w:rsid w:val="006E757C"/>
    <w:rsid w:val="006E7A88"/>
    <w:rsid w:val="006F1644"/>
    <w:rsid w:val="00700AEC"/>
    <w:rsid w:val="0070108E"/>
    <w:rsid w:val="0070144B"/>
    <w:rsid w:val="0070467F"/>
    <w:rsid w:val="0070568A"/>
    <w:rsid w:val="007061C0"/>
    <w:rsid w:val="00707F06"/>
    <w:rsid w:val="00710BC5"/>
    <w:rsid w:val="007112C7"/>
    <w:rsid w:val="00715802"/>
    <w:rsid w:val="00717F54"/>
    <w:rsid w:val="00730102"/>
    <w:rsid w:val="00730BFE"/>
    <w:rsid w:val="00736515"/>
    <w:rsid w:val="0074728C"/>
    <w:rsid w:val="00747706"/>
    <w:rsid w:val="007517B4"/>
    <w:rsid w:val="00751B74"/>
    <w:rsid w:val="007577E2"/>
    <w:rsid w:val="007600FC"/>
    <w:rsid w:val="00761F85"/>
    <w:rsid w:val="00762F94"/>
    <w:rsid w:val="0077344F"/>
    <w:rsid w:val="00786FA3"/>
    <w:rsid w:val="0079534A"/>
    <w:rsid w:val="007958F8"/>
    <w:rsid w:val="007A3B28"/>
    <w:rsid w:val="007A6E83"/>
    <w:rsid w:val="007B3448"/>
    <w:rsid w:val="007B4705"/>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01D2"/>
    <w:rsid w:val="008208E0"/>
    <w:rsid w:val="00825655"/>
    <w:rsid w:val="00826AA6"/>
    <w:rsid w:val="00840576"/>
    <w:rsid w:val="00844FC9"/>
    <w:rsid w:val="00846699"/>
    <w:rsid w:val="00851297"/>
    <w:rsid w:val="00851F66"/>
    <w:rsid w:val="00854BF3"/>
    <w:rsid w:val="00854E45"/>
    <w:rsid w:val="0086328F"/>
    <w:rsid w:val="00863F39"/>
    <w:rsid w:val="00864EF5"/>
    <w:rsid w:val="008678FA"/>
    <w:rsid w:val="00874A0E"/>
    <w:rsid w:val="00887EFF"/>
    <w:rsid w:val="008B40A4"/>
    <w:rsid w:val="008B7FEF"/>
    <w:rsid w:val="008C0CDB"/>
    <w:rsid w:val="008C4171"/>
    <w:rsid w:val="008D0342"/>
    <w:rsid w:val="008D3F29"/>
    <w:rsid w:val="008D5AD5"/>
    <w:rsid w:val="008E33F8"/>
    <w:rsid w:val="008F07AF"/>
    <w:rsid w:val="008F6C4E"/>
    <w:rsid w:val="00900642"/>
    <w:rsid w:val="00904685"/>
    <w:rsid w:val="0090491D"/>
    <w:rsid w:val="00917334"/>
    <w:rsid w:val="009205AA"/>
    <w:rsid w:val="00921B5B"/>
    <w:rsid w:val="00933238"/>
    <w:rsid w:val="00943A3F"/>
    <w:rsid w:val="00957C51"/>
    <w:rsid w:val="00960F47"/>
    <w:rsid w:val="009653E2"/>
    <w:rsid w:val="0097102D"/>
    <w:rsid w:val="0097122D"/>
    <w:rsid w:val="009719E1"/>
    <w:rsid w:val="00983350"/>
    <w:rsid w:val="00985B59"/>
    <w:rsid w:val="009903C2"/>
    <w:rsid w:val="009A08BC"/>
    <w:rsid w:val="009A7930"/>
    <w:rsid w:val="009C1BF1"/>
    <w:rsid w:val="009C58F1"/>
    <w:rsid w:val="009C6560"/>
    <w:rsid w:val="009D3A55"/>
    <w:rsid w:val="009D5E3D"/>
    <w:rsid w:val="009D6D5B"/>
    <w:rsid w:val="009D7178"/>
    <w:rsid w:val="009E6E4E"/>
    <w:rsid w:val="00A004BE"/>
    <w:rsid w:val="00A0517B"/>
    <w:rsid w:val="00A100EF"/>
    <w:rsid w:val="00A111F8"/>
    <w:rsid w:val="00A122AD"/>
    <w:rsid w:val="00A1547B"/>
    <w:rsid w:val="00A168C6"/>
    <w:rsid w:val="00A17BA8"/>
    <w:rsid w:val="00A17FE4"/>
    <w:rsid w:val="00A20236"/>
    <w:rsid w:val="00A22154"/>
    <w:rsid w:val="00A22E4F"/>
    <w:rsid w:val="00A32D17"/>
    <w:rsid w:val="00A355E6"/>
    <w:rsid w:val="00A42AC5"/>
    <w:rsid w:val="00A440E9"/>
    <w:rsid w:val="00A4469F"/>
    <w:rsid w:val="00A4473B"/>
    <w:rsid w:val="00A5095A"/>
    <w:rsid w:val="00A533AA"/>
    <w:rsid w:val="00A5504E"/>
    <w:rsid w:val="00A6035D"/>
    <w:rsid w:val="00A6067D"/>
    <w:rsid w:val="00A67ABF"/>
    <w:rsid w:val="00A81C92"/>
    <w:rsid w:val="00A82052"/>
    <w:rsid w:val="00A912F3"/>
    <w:rsid w:val="00A91F26"/>
    <w:rsid w:val="00A95E99"/>
    <w:rsid w:val="00AA1C30"/>
    <w:rsid w:val="00AA2407"/>
    <w:rsid w:val="00AB0304"/>
    <w:rsid w:val="00AB23F6"/>
    <w:rsid w:val="00AB49C8"/>
    <w:rsid w:val="00AB6379"/>
    <w:rsid w:val="00AC7A36"/>
    <w:rsid w:val="00AD0443"/>
    <w:rsid w:val="00AE223B"/>
    <w:rsid w:val="00AE585E"/>
    <w:rsid w:val="00AE6DA3"/>
    <w:rsid w:val="00B11450"/>
    <w:rsid w:val="00B124A9"/>
    <w:rsid w:val="00B14D91"/>
    <w:rsid w:val="00B15BC7"/>
    <w:rsid w:val="00B16AC8"/>
    <w:rsid w:val="00B1751F"/>
    <w:rsid w:val="00B17944"/>
    <w:rsid w:val="00B20D64"/>
    <w:rsid w:val="00B225A9"/>
    <w:rsid w:val="00B24883"/>
    <w:rsid w:val="00B26E62"/>
    <w:rsid w:val="00B32DE2"/>
    <w:rsid w:val="00B35302"/>
    <w:rsid w:val="00B37A90"/>
    <w:rsid w:val="00B418E6"/>
    <w:rsid w:val="00B45F0F"/>
    <w:rsid w:val="00B6105E"/>
    <w:rsid w:val="00B65558"/>
    <w:rsid w:val="00B707BD"/>
    <w:rsid w:val="00B75134"/>
    <w:rsid w:val="00B7699A"/>
    <w:rsid w:val="00B7704C"/>
    <w:rsid w:val="00B813EB"/>
    <w:rsid w:val="00B820EF"/>
    <w:rsid w:val="00B821B9"/>
    <w:rsid w:val="00BA372F"/>
    <w:rsid w:val="00BA4A37"/>
    <w:rsid w:val="00BA56D4"/>
    <w:rsid w:val="00BB7140"/>
    <w:rsid w:val="00BC0229"/>
    <w:rsid w:val="00BC14AE"/>
    <w:rsid w:val="00BC41A6"/>
    <w:rsid w:val="00BD0DBF"/>
    <w:rsid w:val="00BD2001"/>
    <w:rsid w:val="00BE1360"/>
    <w:rsid w:val="00BE1AAB"/>
    <w:rsid w:val="00BE3FFC"/>
    <w:rsid w:val="00BE4DED"/>
    <w:rsid w:val="00BE6794"/>
    <w:rsid w:val="00BF1F86"/>
    <w:rsid w:val="00BF27A1"/>
    <w:rsid w:val="00C035DC"/>
    <w:rsid w:val="00C0445D"/>
    <w:rsid w:val="00C04E8C"/>
    <w:rsid w:val="00C109D7"/>
    <w:rsid w:val="00C153C6"/>
    <w:rsid w:val="00C20B01"/>
    <w:rsid w:val="00C24BFF"/>
    <w:rsid w:val="00C30CB6"/>
    <w:rsid w:val="00C30D9A"/>
    <w:rsid w:val="00C4373C"/>
    <w:rsid w:val="00C451A7"/>
    <w:rsid w:val="00C5084A"/>
    <w:rsid w:val="00C56285"/>
    <w:rsid w:val="00C623DC"/>
    <w:rsid w:val="00C62CCE"/>
    <w:rsid w:val="00C66EF1"/>
    <w:rsid w:val="00C70001"/>
    <w:rsid w:val="00C71F74"/>
    <w:rsid w:val="00C7287F"/>
    <w:rsid w:val="00C9756A"/>
    <w:rsid w:val="00CA368F"/>
    <w:rsid w:val="00CA4C0C"/>
    <w:rsid w:val="00CB40D4"/>
    <w:rsid w:val="00CB4CBE"/>
    <w:rsid w:val="00CC363D"/>
    <w:rsid w:val="00CC4B66"/>
    <w:rsid w:val="00CD0694"/>
    <w:rsid w:val="00CD2C06"/>
    <w:rsid w:val="00CD557F"/>
    <w:rsid w:val="00CE2651"/>
    <w:rsid w:val="00CE290E"/>
    <w:rsid w:val="00CF1AB2"/>
    <w:rsid w:val="00CF74D4"/>
    <w:rsid w:val="00CF77F5"/>
    <w:rsid w:val="00D03208"/>
    <w:rsid w:val="00D22533"/>
    <w:rsid w:val="00D3039A"/>
    <w:rsid w:val="00D30F9A"/>
    <w:rsid w:val="00D3349F"/>
    <w:rsid w:val="00D3469F"/>
    <w:rsid w:val="00D4688E"/>
    <w:rsid w:val="00D5026F"/>
    <w:rsid w:val="00D521D6"/>
    <w:rsid w:val="00D52632"/>
    <w:rsid w:val="00D53F19"/>
    <w:rsid w:val="00D623E1"/>
    <w:rsid w:val="00D64306"/>
    <w:rsid w:val="00D71E0A"/>
    <w:rsid w:val="00D71EE1"/>
    <w:rsid w:val="00D80A11"/>
    <w:rsid w:val="00D85718"/>
    <w:rsid w:val="00DA7C7A"/>
    <w:rsid w:val="00DB2E62"/>
    <w:rsid w:val="00DB5A20"/>
    <w:rsid w:val="00DC1DB9"/>
    <w:rsid w:val="00DC5C94"/>
    <w:rsid w:val="00DC7AB7"/>
    <w:rsid w:val="00DD31EE"/>
    <w:rsid w:val="00DD6BBE"/>
    <w:rsid w:val="00DE67BA"/>
    <w:rsid w:val="00DF09A0"/>
    <w:rsid w:val="00DF2013"/>
    <w:rsid w:val="00DF30AA"/>
    <w:rsid w:val="00DF3B01"/>
    <w:rsid w:val="00DF6B20"/>
    <w:rsid w:val="00E25C0E"/>
    <w:rsid w:val="00E271BC"/>
    <w:rsid w:val="00E27FFE"/>
    <w:rsid w:val="00E3145C"/>
    <w:rsid w:val="00E426A6"/>
    <w:rsid w:val="00E43B9B"/>
    <w:rsid w:val="00E458EB"/>
    <w:rsid w:val="00E53C24"/>
    <w:rsid w:val="00E57279"/>
    <w:rsid w:val="00E6171D"/>
    <w:rsid w:val="00E650BE"/>
    <w:rsid w:val="00E67756"/>
    <w:rsid w:val="00E70465"/>
    <w:rsid w:val="00E723B5"/>
    <w:rsid w:val="00E727D8"/>
    <w:rsid w:val="00E729F3"/>
    <w:rsid w:val="00E73D2E"/>
    <w:rsid w:val="00E74037"/>
    <w:rsid w:val="00E7478E"/>
    <w:rsid w:val="00E750A2"/>
    <w:rsid w:val="00E75531"/>
    <w:rsid w:val="00E77517"/>
    <w:rsid w:val="00E8050B"/>
    <w:rsid w:val="00E821A1"/>
    <w:rsid w:val="00E83AAA"/>
    <w:rsid w:val="00E90C2B"/>
    <w:rsid w:val="00EA1DA3"/>
    <w:rsid w:val="00EA568A"/>
    <w:rsid w:val="00EA6AAA"/>
    <w:rsid w:val="00EB4B4D"/>
    <w:rsid w:val="00EB6CC3"/>
    <w:rsid w:val="00EB7E67"/>
    <w:rsid w:val="00EC1814"/>
    <w:rsid w:val="00EC4E5E"/>
    <w:rsid w:val="00ED0E36"/>
    <w:rsid w:val="00ED1511"/>
    <w:rsid w:val="00ED1EE2"/>
    <w:rsid w:val="00ED36F4"/>
    <w:rsid w:val="00EE3EB4"/>
    <w:rsid w:val="00EE4AD8"/>
    <w:rsid w:val="00EE5BCD"/>
    <w:rsid w:val="00EE6E18"/>
    <w:rsid w:val="00EE7036"/>
    <w:rsid w:val="00EF0A26"/>
    <w:rsid w:val="00EF4AFF"/>
    <w:rsid w:val="00F14B66"/>
    <w:rsid w:val="00F2392F"/>
    <w:rsid w:val="00F259C2"/>
    <w:rsid w:val="00F26CCA"/>
    <w:rsid w:val="00F3553B"/>
    <w:rsid w:val="00F42E8C"/>
    <w:rsid w:val="00F458BD"/>
    <w:rsid w:val="00F47B03"/>
    <w:rsid w:val="00F47BBE"/>
    <w:rsid w:val="00F604FB"/>
    <w:rsid w:val="00F60AA4"/>
    <w:rsid w:val="00F60E4C"/>
    <w:rsid w:val="00F638D0"/>
    <w:rsid w:val="00F641FF"/>
    <w:rsid w:val="00F65839"/>
    <w:rsid w:val="00F66F30"/>
    <w:rsid w:val="00F67642"/>
    <w:rsid w:val="00F73F3A"/>
    <w:rsid w:val="00F76930"/>
    <w:rsid w:val="00F95152"/>
    <w:rsid w:val="00F95184"/>
    <w:rsid w:val="00FA24F2"/>
    <w:rsid w:val="00FB02E8"/>
    <w:rsid w:val="00FB0380"/>
    <w:rsid w:val="00FB28FF"/>
    <w:rsid w:val="00FC1079"/>
    <w:rsid w:val="00FC74CE"/>
    <w:rsid w:val="00FD20C1"/>
    <w:rsid w:val="00FD30B1"/>
    <w:rsid w:val="00FE13B5"/>
    <w:rsid w:val="00FE2DBF"/>
    <w:rsid w:val="00FE32FD"/>
    <w:rsid w:val="00FE6BBB"/>
    <w:rsid w:val="00FF0ED0"/>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0B1"/>
    <w:pPr>
      <w:spacing w:after="0" w:line="240" w:lineRule="auto"/>
      <w:ind w:firstLine="567"/>
      <w:jc w:val="both"/>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3"/>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3"/>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3"/>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3"/>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3"/>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3"/>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3"/>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3"/>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3"/>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1533B3"/>
    <w:rPr>
      <w:rFonts w:ascii="Times New Roman" w:hAnsi="Times New Roman"/>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533B3"/>
    <w:pPr>
      <w:ind w:left="720"/>
      <w:contextualSpacing/>
    </w:pPr>
    <w:rPr>
      <w:rFonts w:eastAsia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 w:type="character" w:styleId="Perirtashipersaitas">
    <w:name w:val="FollowedHyperlink"/>
    <w:basedOn w:val="Numatytasispastraiposriftas"/>
    <w:uiPriority w:val="99"/>
    <w:semiHidden/>
    <w:unhideWhenUsed/>
    <w:rsid w:val="00F60AA4"/>
    <w:rPr>
      <w:color w:val="954F72" w:themeColor="followedHyperlink"/>
      <w:u w:val="single"/>
    </w:rPr>
  </w:style>
  <w:style w:type="table" w:styleId="4tinkleliolentel-1parykinimas">
    <w:name w:val="Grid Table 4 Accent 1"/>
    <w:basedOn w:val="prastojilentel"/>
    <w:uiPriority w:val="49"/>
    <w:rsid w:val="00ED1511"/>
    <w:pPr>
      <w:spacing w:after="0" w:line="240" w:lineRule="auto"/>
    </w:pPr>
    <w:rPr>
      <w:kern w:val="2"/>
      <w:sz w:val="24"/>
      <w:szCs w:val="24"/>
      <w14:ligatures w14:val="standardContextual"/>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style>
  <w:style w:type="paragraph" w:customStyle="1" w:styleId="Lentel">
    <w:name w:val="Lentelė"/>
    <w:basedOn w:val="prastasis"/>
    <w:link w:val="LentelChar"/>
    <w:qFormat/>
    <w:rsid w:val="00840576"/>
    <w:pPr>
      <w:ind w:firstLine="0"/>
    </w:pPr>
    <w:rPr>
      <w:bCs/>
      <w:kern w:val="2"/>
      <w14:ligatures w14:val="standardContextual"/>
    </w:rPr>
  </w:style>
  <w:style w:type="character" w:customStyle="1" w:styleId="LentelChar">
    <w:name w:val="Lentelė Char"/>
    <w:basedOn w:val="Numatytasispastraiposriftas"/>
    <w:link w:val="Lentel"/>
    <w:rsid w:val="00840576"/>
    <w:rPr>
      <w:rFonts w:ascii="Times New Roman" w:eastAsia="Times New Roman" w:hAnsi="Times New Roman" w:cs="Times New Roman"/>
      <w:bCs/>
      <w:kern w:val="2"/>
      <w:sz w:val="24"/>
      <w:szCs w:val="24"/>
      <w:lang w:val="lt-LT" w:eastAsia="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A9A"/>
    <w:rsid w:val="004455A9"/>
    <w:rsid w:val="004806C4"/>
    <w:rsid w:val="00491D36"/>
    <w:rsid w:val="004D30BF"/>
    <w:rsid w:val="004D61E8"/>
    <w:rsid w:val="00501AA9"/>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E1E8E"/>
    <w:rsid w:val="006F7BCE"/>
    <w:rsid w:val="00700995"/>
    <w:rsid w:val="0070467F"/>
    <w:rsid w:val="00707EE7"/>
    <w:rsid w:val="00776E09"/>
    <w:rsid w:val="00791F32"/>
    <w:rsid w:val="00796205"/>
    <w:rsid w:val="007A0F00"/>
    <w:rsid w:val="007A451B"/>
    <w:rsid w:val="007A50E3"/>
    <w:rsid w:val="00831BC9"/>
    <w:rsid w:val="00863F39"/>
    <w:rsid w:val="00864FD6"/>
    <w:rsid w:val="008D14E2"/>
    <w:rsid w:val="00942360"/>
    <w:rsid w:val="00951D16"/>
    <w:rsid w:val="00952A06"/>
    <w:rsid w:val="00955960"/>
    <w:rsid w:val="0098639C"/>
    <w:rsid w:val="00993693"/>
    <w:rsid w:val="009A19BA"/>
    <w:rsid w:val="00A15BC4"/>
    <w:rsid w:val="00A442BF"/>
    <w:rsid w:val="00A62E9A"/>
    <w:rsid w:val="00A73E34"/>
    <w:rsid w:val="00A75EE2"/>
    <w:rsid w:val="00A83735"/>
    <w:rsid w:val="00AA2E85"/>
    <w:rsid w:val="00B14D91"/>
    <w:rsid w:val="00B4135E"/>
    <w:rsid w:val="00B625B0"/>
    <w:rsid w:val="00B66F8C"/>
    <w:rsid w:val="00B74556"/>
    <w:rsid w:val="00B93115"/>
    <w:rsid w:val="00BA1B0E"/>
    <w:rsid w:val="00BD1491"/>
    <w:rsid w:val="00BD2FFA"/>
    <w:rsid w:val="00BF2EA8"/>
    <w:rsid w:val="00C07874"/>
    <w:rsid w:val="00C41640"/>
    <w:rsid w:val="00C55EE7"/>
    <w:rsid w:val="00C60AB4"/>
    <w:rsid w:val="00C6219B"/>
    <w:rsid w:val="00C67257"/>
    <w:rsid w:val="00C96A99"/>
    <w:rsid w:val="00CB35B6"/>
    <w:rsid w:val="00CD6E8D"/>
    <w:rsid w:val="00CE2598"/>
    <w:rsid w:val="00CE3FFB"/>
    <w:rsid w:val="00D07215"/>
    <w:rsid w:val="00D24195"/>
    <w:rsid w:val="00D3337B"/>
    <w:rsid w:val="00D521D6"/>
    <w:rsid w:val="00D84453"/>
    <w:rsid w:val="00DC5571"/>
    <w:rsid w:val="00E06E4B"/>
    <w:rsid w:val="00E13399"/>
    <w:rsid w:val="00E650BE"/>
    <w:rsid w:val="00EC1844"/>
    <w:rsid w:val="00ED77D7"/>
    <w:rsid w:val="00EF298F"/>
    <w:rsid w:val="00F05608"/>
    <w:rsid w:val="00F3404E"/>
    <w:rsid w:val="00F42CA2"/>
    <w:rsid w:val="00F47384"/>
    <w:rsid w:val="00F5022B"/>
    <w:rsid w:val="00F97402"/>
    <w:rsid w:val="00F97AB1"/>
    <w:rsid w:val="00FC00A9"/>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96A99"/>
    <w:rPr>
      <w:color w:val="808080"/>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5dd60-3363-405d-8450-612b123c9675">
      <Terms xmlns="http://schemas.microsoft.com/office/infopath/2007/PartnerControls"/>
    </lcf76f155ced4ddcb4097134ff3c332f>
    <TaxCatchAll xmlns="b4cf2e69-1e87-43c0-966e-29e3d7bfbc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F07443AF875FB44B18C711CB184A669" ma:contentTypeVersion="12" ma:contentTypeDescription="Kurkite naują dokumentą." ma:contentTypeScope="" ma:versionID="670d48eff47ecdb8864be4d3e7c25d1b">
  <xsd:schema xmlns:xsd="http://www.w3.org/2001/XMLSchema" xmlns:xs="http://www.w3.org/2001/XMLSchema" xmlns:p="http://schemas.microsoft.com/office/2006/metadata/properties" xmlns:ns2="78c5dd60-3363-405d-8450-612b123c9675" xmlns:ns3="b4cf2e69-1e87-43c0-966e-29e3d7bfbc84" targetNamespace="http://schemas.microsoft.com/office/2006/metadata/properties" ma:root="true" ma:fieldsID="2d04f5481e945dc13a21512b666b2230" ns2:_="" ns3:_="">
    <xsd:import namespace="78c5dd60-3363-405d-8450-612b123c9675"/>
    <xsd:import namespace="b4cf2e69-1e87-43c0-966e-29e3d7bfbc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dd60-3363-405d-8450-612b123c9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f2e69-1e87-43c0-966e-29e3d7bfbc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f555c6-ee28-473c-9f16-2448642bf119}" ma:internalName="TaxCatchAll" ma:showField="CatchAllData" ma:web="b4cf2e69-1e87-43c0-966e-29e3d7bfb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2.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78c5dd60-3363-405d-8450-612b123c9675"/>
    <ds:schemaRef ds:uri="b4cf2e69-1e87-43c0-966e-29e3d7bfbc84"/>
  </ds:schemaRefs>
</ds:datastoreItem>
</file>

<file path=customXml/itemProps3.xml><?xml version="1.0" encoding="utf-8"?>
<ds:datastoreItem xmlns:ds="http://schemas.openxmlformats.org/officeDocument/2006/customXml" ds:itemID="{41425AE1-2000-4D12-BF84-377F7DBF9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5dd60-3363-405d-8450-612b123c9675"/>
    <ds:schemaRef ds:uri="b4cf2e69-1e87-43c0-966e-29e3d7bfb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6CFAE-C21E-409A-B8D7-6B8D033F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8099</Words>
  <Characters>4617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2026-07-15T04:47:00Z</dcterms:created>
  <dcterms:modified xsi:type="dcterms:W3CDTF">2026-07-15T04:47:00Z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0x010100BF07443AF875FB44B18C711CB184A669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lt</vt:lpwstr>
  </property>
</Properties>
</file>