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355D" w14:textId="34D53521" w:rsidR="007F7445" w:rsidRPr="00D3481B" w:rsidRDefault="005830D7" w:rsidP="005830D7">
      <w:pPr>
        <w:pStyle w:val="Body2"/>
        <w:spacing w:line="276" w:lineRule="auto"/>
        <w:jc w:val="right"/>
        <w:rPr>
          <w:rFonts w:cs="Times New Roman"/>
          <w:sz w:val="23"/>
          <w:szCs w:val="23"/>
          <w:highlight w:val="lightGray"/>
          <w:lang w:val="lt-LT"/>
        </w:rPr>
      </w:pPr>
      <w:r w:rsidRPr="00D3481B">
        <w:rPr>
          <w:rFonts w:cs="Times New Roman"/>
          <w:sz w:val="23"/>
          <w:szCs w:val="23"/>
          <w:lang w:val="lt-LT"/>
        </w:rPr>
        <w:t xml:space="preserve">Rinkos dalyvių konsultacijos aprašo priedas </w:t>
      </w:r>
      <w:r w:rsidR="007F7445" w:rsidRPr="00D3481B">
        <w:rPr>
          <w:rFonts w:cs="Times New Roman"/>
          <w:sz w:val="23"/>
          <w:szCs w:val="23"/>
          <w:lang w:val="lt-LT"/>
        </w:rPr>
        <w:t>1 priedas</w:t>
      </w:r>
    </w:p>
    <w:p w14:paraId="25263915" w14:textId="29A17B29" w:rsidR="007F7445" w:rsidRPr="00D3481B" w:rsidRDefault="005830D7" w:rsidP="007F7445">
      <w:pPr>
        <w:pStyle w:val="Body2"/>
        <w:spacing w:line="276" w:lineRule="auto"/>
        <w:rPr>
          <w:rFonts w:cs="Times New Roman"/>
          <w:b/>
          <w:sz w:val="23"/>
          <w:szCs w:val="23"/>
        </w:rPr>
      </w:pPr>
      <w:r w:rsidRPr="00D3481B">
        <w:rPr>
          <w:rFonts w:cs="Times New Roman"/>
          <w:b/>
          <w:sz w:val="23"/>
          <w:szCs w:val="23"/>
          <w:highlight w:val="lightGray"/>
          <w:lang w:val="lt-LT"/>
        </w:rPr>
        <w:t>Pastaba. Pilkai pažymėtas eilutes pildo tiekėjas</w:t>
      </w:r>
    </w:p>
    <w:p w14:paraId="16CCD57B" w14:textId="77777777" w:rsidR="004C56D3" w:rsidRPr="00D3481B" w:rsidRDefault="004C56D3" w:rsidP="004C56D3">
      <w:pPr>
        <w:suppressAutoHyphens/>
        <w:spacing w:after="40"/>
        <w:jc w:val="right"/>
        <w:rPr>
          <w:b/>
          <w:color w:val="000000"/>
          <w:sz w:val="23"/>
          <w:szCs w:val="23"/>
        </w:rPr>
      </w:pPr>
    </w:p>
    <w:p w14:paraId="4B268076" w14:textId="36B94CBB" w:rsidR="004C56D3" w:rsidRPr="00D3481B" w:rsidRDefault="004C56D3" w:rsidP="004C56D3">
      <w:pPr>
        <w:suppressAutoHyphens/>
        <w:spacing w:after="40"/>
        <w:jc w:val="center"/>
        <w:rPr>
          <w:b/>
          <w:color w:val="000000"/>
          <w:sz w:val="23"/>
          <w:szCs w:val="23"/>
        </w:rPr>
      </w:pPr>
      <w:r w:rsidRPr="00D3481B">
        <w:rPr>
          <w:b/>
          <w:color w:val="000000"/>
          <w:sz w:val="23"/>
          <w:szCs w:val="23"/>
        </w:rPr>
        <w:t xml:space="preserve">TECHNINĖ SPECIFIKACIJA IR </w:t>
      </w:r>
      <w:r w:rsidR="005D1841" w:rsidRPr="00D3481B">
        <w:rPr>
          <w:b/>
          <w:color w:val="000000"/>
          <w:sz w:val="23"/>
          <w:szCs w:val="23"/>
        </w:rPr>
        <w:t xml:space="preserve">PASLAUGŲ </w:t>
      </w:r>
      <w:r w:rsidR="005D0B3E" w:rsidRPr="00D3481B">
        <w:rPr>
          <w:b/>
          <w:color w:val="000000"/>
          <w:sz w:val="23"/>
          <w:szCs w:val="23"/>
        </w:rPr>
        <w:t>KAINA</w:t>
      </w:r>
    </w:p>
    <w:p w14:paraId="1F1B1239" w14:textId="40453135" w:rsidR="004C56D3" w:rsidRPr="00D3481B" w:rsidRDefault="0067737A" w:rsidP="004C56D3">
      <w:pPr>
        <w:jc w:val="center"/>
        <w:rPr>
          <w:b/>
          <w:bCs/>
          <w:caps/>
          <w:spacing w:val="4"/>
          <w:sz w:val="23"/>
          <w:szCs w:val="23"/>
        </w:rPr>
      </w:pPr>
      <w:r w:rsidRPr="00D3481B">
        <w:rPr>
          <w:b/>
          <w:bCs/>
          <w:caps/>
          <w:spacing w:val="4"/>
          <w:sz w:val="23"/>
          <w:szCs w:val="23"/>
        </w:rPr>
        <w:t xml:space="preserve">MIRUSIŲJŲ TRANSPORTAVIMO IR LAIKINO SAUGOJIMO </w:t>
      </w:r>
      <w:r w:rsidR="000E430A" w:rsidRPr="00D3481B">
        <w:rPr>
          <w:b/>
          <w:bCs/>
          <w:caps/>
          <w:spacing w:val="4"/>
          <w:sz w:val="23"/>
          <w:szCs w:val="23"/>
        </w:rPr>
        <w:t xml:space="preserve">PASLAUGOS (nr. </w:t>
      </w:r>
      <w:r w:rsidR="00401102" w:rsidRPr="00D3481B">
        <w:rPr>
          <w:b/>
          <w:bCs/>
          <w:caps/>
          <w:spacing w:val="4"/>
          <w:sz w:val="23"/>
          <w:szCs w:val="23"/>
        </w:rPr>
        <w:t>)</w:t>
      </w:r>
    </w:p>
    <w:p w14:paraId="6C96E900" w14:textId="77777777" w:rsidR="004C56D3" w:rsidRPr="00D3481B" w:rsidRDefault="004C56D3" w:rsidP="004C56D3">
      <w:pPr>
        <w:suppressAutoHyphens/>
        <w:spacing w:after="40"/>
        <w:jc w:val="both"/>
        <w:rPr>
          <w:b/>
          <w:color w:val="000000"/>
          <w:sz w:val="23"/>
          <w:szCs w:val="23"/>
        </w:rPr>
      </w:pPr>
    </w:p>
    <w:p w14:paraId="74758C19" w14:textId="77777777" w:rsidR="004C56D3" w:rsidRPr="00D3481B" w:rsidRDefault="004C56D3" w:rsidP="004C56D3">
      <w:pPr>
        <w:rPr>
          <w:b/>
          <w:sz w:val="23"/>
          <w:szCs w:val="23"/>
        </w:rPr>
      </w:pPr>
      <w:r w:rsidRPr="00D3481B">
        <w:rPr>
          <w:b/>
          <w:sz w:val="23"/>
          <w:szCs w:val="23"/>
        </w:rPr>
        <w:t>VšĮ Respublikinei Vilniaus universitetinei ligoninei</w:t>
      </w:r>
    </w:p>
    <w:p w14:paraId="5C8C98E3" w14:textId="45314AEE" w:rsidR="004C56D3" w:rsidRPr="00D3481B" w:rsidRDefault="004C56D3" w:rsidP="007F7445">
      <w:pPr>
        <w:shd w:val="clear" w:color="auto" w:fill="D9D9D9" w:themeFill="background1" w:themeFillShade="D9"/>
        <w:suppressAutoHyphens/>
        <w:spacing w:after="40" w:line="276" w:lineRule="auto"/>
        <w:jc w:val="center"/>
        <w:rPr>
          <w:b/>
          <w:color w:val="000000"/>
          <w:sz w:val="23"/>
          <w:szCs w:val="23"/>
        </w:rPr>
      </w:pPr>
      <w:r w:rsidRPr="00D3481B">
        <w:rPr>
          <w:b/>
          <w:color w:val="000000"/>
          <w:sz w:val="23"/>
          <w:szCs w:val="23"/>
        </w:rPr>
        <w:t>202</w:t>
      </w:r>
      <w:r w:rsidR="006A3F6A" w:rsidRPr="00D3481B">
        <w:rPr>
          <w:b/>
          <w:color w:val="000000"/>
          <w:sz w:val="23"/>
          <w:szCs w:val="23"/>
        </w:rPr>
        <w:t>6</w:t>
      </w:r>
      <w:r w:rsidRPr="00D3481B">
        <w:rPr>
          <w:b/>
          <w:color w:val="000000"/>
          <w:sz w:val="23"/>
          <w:szCs w:val="23"/>
        </w:rPr>
        <w:t>-</w:t>
      </w:r>
      <w:r w:rsidR="007F7445" w:rsidRPr="00D3481B">
        <w:rPr>
          <w:b/>
          <w:color w:val="000000"/>
          <w:sz w:val="23"/>
          <w:szCs w:val="23"/>
        </w:rPr>
        <w:t>_</w:t>
      </w:r>
      <w:r w:rsidRPr="00D3481B">
        <w:rPr>
          <w:b/>
          <w:color w:val="000000"/>
          <w:sz w:val="23"/>
          <w:szCs w:val="23"/>
        </w:rPr>
        <w:t>-</w:t>
      </w:r>
      <w:r w:rsidR="007F7445" w:rsidRPr="00D3481B">
        <w:rPr>
          <w:b/>
          <w:color w:val="000000"/>
          <w:sz w:val="23"/>
          <w:szCs w:val="23"/>
        </w:rPr>
        <w:t>_</w:t>
      </w:r>
    </w:p>
    <w:p w14:paraId="18D21568" w14:textId="77777777" w:rsidR="004C56D3" w:rsidRPr="00D3481B" w:rsidRDefault="004C56D3" w:rsidP="004C56D3">
      <w:pPr>
        <w:suppressAutoHyphens/>
        <w:spacing w:after="40"/>
        <w:jc w:val="both"/>
        <w:rPr>
          <w:b/>
          <w:color w:val="000000"/>
          <w:sz w:val="23"/>
          <w:szCs w:val="23"/>
        </w:rPr>
      </w:pPr>
    </w:p>
    <w:tbl>
      <w:tblPr>
        <w:tblStyle w:val="Lentelstinklelis"/>
        <w:tblW w:w="0" w:type="auto"/>
        <w:tblInd w:w="108" w:type="dxa"/>
        <w:tblLook w:val="04A0" w:firstRow="1" w:lastRow="0" w:firstColumn="1" w:lastColumn="0" w:noHBand="0" w:noVBand="1"/>
      </w:tblPr>
      <w:tblGrid>
        <w:gridCol w:w="4941"/>
        <w:gridCol w:w="4805"/>
      </w:tblGrid>
      <w:tr w:rsidR="004C56D3" w:rsidRPr="00540EC0" w14:paraId="566AD8B0" w14:textId="77777777" w:rsidTr="00E6293E">
        <w:trPr>
          <w:trHeight w:val="375"/>
        </w:trPr>
        <w:tc>
          <w:tcPr>
            <w:tcW w:w="5103" w:type="dxa"/>
            <w:noWrap/>
            <w:hideMark/>
          </w:tcPr>
          <w:p w14:paraId="4E8C018F" w14:textId="77777777" w:rsidR="004C56D3" w:rsidRPr="00D3481B" w:rsidRDefault="004C56D3" w:rsidP="004C56D3">
            <w:pPr>
              <w:suppressAutoHyphens/>
              <w:spacing w:after="40"/>
              <w:jc w:val="both"/>
              <w:rPr>
                <w:color w:val="000000"/>
                <w:sz w:val="23"/>
                <w:szCs w:val="23"/>
              </w:rPr>
            </w:pPr>
            <w:r w:rsidRPr="00D3481B">
              <w:rPr>
                <w:color w:val="000000"/>
                <w:sz w:val="23"/>
                <w:szCs w:val="23"/>
              </w:rPr>
              <w:t>Tiekėjo pavadinimas / ūkio subjektų grupės nariai:</w:t>
            </w:r>
          </w:p>
        </w:tc>
        <w:tc>
          <w:tcPr>
            <w:tcW w:w="4962" w:type="dxa"/>
            <w:shd w:val="clear" w:color="auto" w:fill="D9D9D9" w:themeFill="background1" w:themeFillShade="D9"/>
            <w:noWrap/>
          </w:tcPr>
          <w:p w14:paraId="6C24AF6D" w14:textId="1DBFA0CE" w:rsidR="004C56D3" w:rsidRPr="00D3481B" w:rsidRDefault="004C56D3" w:rsidP="004C56D3">
            <w:pPr>
              <w:suppressAutoHyphens/>
              <w:spacing w:after="40"/>
              <w:jc w:val="both"/>
              <w:rPr>
                <w:noProof/>
                <w:color w:val="000000"/>
                <w:sz w:val="23"/>
                <w:szCs w:val="23"/>
              </w:rPr>
            </w:pPr>
          </w:p>
        </w:tc>
      </w:tr>
      <w:tr w:rsidR="004C56D3" w:rsidRPr="00540EC0" w14:paraId="44039402" w14:textId="77777777" w:rsidTr="00E6293E">
        <w:trPr>
          <w:trHeight w:val="375"/>
        </w:trPr>
        <w:tc>
          <w:tcPr>
            <w:tcW w:w="5103" w:type="dxa"/>
            <w:noWrap/>
            <w:hideMark/>
          </w:tcPr>
          <w:p w14:paraId="5C07CDF3" w14:textId="77777777" w:rsidR="004C56D3" w:rsidRPr="00D3481B" w:rsidRDefault="004C56D3" w:rsidP="004C56D3">
            <w:pPr>
              <w:suppressAutoHyphens/>
              <w:spacing w:after="40"/>
              <w:jc w:val="both"/>
              <w:rPr>
                <w:color w:val="000000"/>
                <w:sz w:val="23"/>
                <w:szCs w:val="23"/>
              </w:rPr>
            </w:pPr>
            <w:r w:rsidRPr="00D3481B">
              <w:rPr>
                <w:color w:val="000000"/>
                <w:sz w:val="23"/>
                <w:szCs w:val="23"/>
              </w:rPr>
              <w:t>Tiekėjo kodas:</w:t>
            </w:r>
          </w:p>
        </w:tc>
        <w:tc>
          <w:tcPr>
            <w:tcW w:w="4962" w:type="dxa"/>
            <w:shd w:val="clear" w:color="auto" w:fill="D9D9D9" w:themeFill="background1" w:themeFillShade="D9"/>
            <w:noWrap/>
          </w:tcPr>
          <w:p w14:paraId="3274C057" w14:textId="5B88C604" w:rsidR="004C56D3" w:rsidRPr="00D3481B" w:rsidRDefault="004C56D3" w:rsidP="004C56D3">
            <w:pPr>
              <w:jc w:val="both"/>
              <w:rPr>
                <w:noProof/>
                <w:sz w:val="23"/>
                <w:szCs w:val="23"/>
              </w:rPr>
            </w:pPr>
          </w:p>
        </w:tc>
      </w:tr>
      <w:tr w:rsidR="004C56D3" w:rsidRPr="00540EC0" w14:paraId="697DF30E" w14:textId="77777777" w:rsidTr="00E6293E">
        <w:trPr>
          <w:trHeight w:val="375"/>
        </w:trPr>
        <w:tc>
          <w:tcPr>
            <w:tcW w:w="5103" w:type="dxa"/>
            <w:noWrap/>
            <w:hideMark/>
          </w:tcPr>
          <w:p w14:paraId="5851F8BA" w14:textId="77777777" w:rsidR="004C56D3" w:rsidRPr="00D3481B" w:rsidRDefault="004C56D3" w:rsidP="004C56D3">
            <w:pPr>
              <w:suppressAutoHyphens/>
              <w:spacing w:after="40"/>
              <w:jc w:val="both"/>
              <w:rPr>
                <w:color w:val="000000"/>
                <w:sz w:val="23"/>
                <w:szCs w:val="23"/>
              </w:rPr>
            </w:pPr>
            <w:r w:rsidRPr="00D3481B">
              <w:rPr>
                <w:color w:val="000000"/>
                <w:sz w:val="23"/>
                <w:szCs w:val="23"/>
              </w:rPr>
              <w:t>Tiekėjo adresas:</w:t>
            </w:r>
          </w:p>
        </w:tc>
        <w:tc>
          <w:tcPr>
            <w:tcW w:w="4962" w:type="dxa"/>
            <w:shd w:val="clear" w:color="auto" w:fill="D9D9D9" w:themeFill="background1" w:themeFillShade="D9"/>
            <w:noWrap/>
          </w:tcPr>
          <w:p w14:paraId="5BBFD5E7" w14:textId="292176B9" w:rsidR="004C56D3" w:rsidRPr="00D3481B" w:rsidRDefault="004C56D3" w:rsidP="004C56D3">
            <w:pPr>
              <w:suppressAutoHyphens/>
              <w:spacing w:after="40"/>
              <w:jc w:val="both"/>
              <w:rPr>
                <w:noProof/>
                <w:color w:val="000000"/>
                <w:sz w:val="23"/>
                <w:szCs w:val="23"/>
              </w:rPr>
            </w:pPr>
          </w:p>
        </w:tc>
      </w:tr>
      <w:tr w:rsidR="004C56D3" w:rsidRPr="00540EC0" w14:paraId="7C81FE8F" w14:textId="77777777" w:rsidTr="00E6293E">
        <w:trPr>
          <w:trHeight w:val="375"/>
        </w:trPr>
        <w:tc>
          <w:tcPr>
            <w:tcW w:w="5103" w:type="dxa"/>
            <w:noWrap/>
            <w:hideMark/>
          </w:tcPr>
          <w:p w14:paraId="1FE24EC2" w14:textId="4E5A69D3" w:rsidR="004C56D3" w:rsidRPr="00D3481B" w:rsidRDefault="004C56D3" w:rsidP="004C56D3">
            <w:pPr>
              <w:suppressAutoHyphens/>
              <w:spacing w:after="40"/>
              <w:jc w:val="both"/>
              <w:rPr>
                <w:color w:val="000000"/>
                <w:sz w:val="23"/>
                <w:szCs w:val="23"/>
              </w:rPr>
            </w:pPr>
            <w:r w:rsidRPr="00D3481B">
              <w:rPr>
                <w:color w:val="000000"/>
                <w:sz w:val="23"/>
                <w:szCs w:val="23"/>
              </w:rPr>
              <w:t xml:space="preserve">Asmens atsakingo už pasiūlymą </w:t>
            </w:r>
            <w:r w:rsidR="007F7445" w:rsidRPr="00D3481B">
              <w:rPr>
                <w:color w:val="000000"/>
                <w:sz w:val="23"/>
                <w:szCs w:val="23"/>
              </w:rPr>
              <w:t xml:space="preserve">pareigos, </w:t>
            </w:r>
            <w:r w:rsidRPr="00D3481B">
              <w:rPr>
                <w:color w:val="000000"/>
                <w:sz w:val="23"/>
                <w:szCs w:val="23"/>
              </w:rPr>
              <w:t>vardas, pavardė:</w:t>
            </w:r>
          </w:p>
        </w:tc>
        <w:tc>
          <w:tcPr>
            <w:tcW w:w="4962" w:type="dxa"/>
            <w:shd w:val="clear" w:color="auto" w:fill="D9D9D9" w:themeFill="background1" w:themeFillShade="D9"/>
            <w:noWrap/>
          </w:tcPr>
          <w:p w14:paraId="47F426D1" w14:textId="03D466EF" w:rsidR="004C56D3" w:rsidRPr="00D3481B" w:rsidRDefault="004C56D3" w:rsidP="004C56D3">
            <w:pPr>
              <w:suppressAutoHyphens/>
              <w:spacing w:after="40"/>
              <w:jc w:val="both"/>
              <w:rPr>
                <w:noProof/>
                <w:color w:val="000000"/>
                <w:sz w:val="23"/>
                <w:szCs w:val="23"/>
              </w:rPr>
            </w:pPr>
          </w:p>
        </w:tc>
      </w:tr>
      <w:tr w:rsidR="004C56D3" w:rsidRPr="00540EC0" w14:paraId="2F7E0926" w14:textId="77777777" w:rsidTr="00E6293E">
        <w:trPr>
          <w:trHeight w:val="375"/>
        </w:trPr>
        <w:tc>
          <w:tcPr>
            <w:tcW w:w="5103" w:type="dxa"/>
            <w:noWrap/>
            <w:hideMark/>
          </w:tcPr>
          <w:p w14:paraId="220F9D9A" w14:textId="77777777" w:rsidR="004C56D3" w:rsidRPr="00D3481B" w:rsidRDefault="004C56D3" w:rsidP="004C56D3">
            <w:pPr>
              <w:suppressAutoHyphens/>
              <w:spacing w:after="40"/>
              <w:jc w:val="both"/>
              <w:rPr>
                <w:color w:val="000000"/>
                <w:sz w:val="23"/>
                <w:szCs w:val="23"/>
              </w:rPr>
            </w:pPr>
            <w:r w:rsidRPr="00D3481B">
              <w:rPr>
                <w:color w:val="000000"/>
                <w:sz w:val="23"/>
                <w:szCs w:val="23"/>
              </w:rPr>
              <w:t>Asmens atsakingo už pasiūlymą telefono numeris:</w:t>
            </w:r>
          </w:p>
        </w:tc>
        <w:tc>
          <w:tcPr>
            <w:tcW w:w="4962" w:type="dxa"/>
            <w:shd w:val="clear" w:color="auto" w:fill="D9D9D9" w:themeFill="background1" w:themeFillShade="D9"/>
            <w:noWrap/>
          </w:tcPr>
          <w:p w14:paraId="4C1DD4EB" w14:textId="067D9C7E" w:rsidR="004C56D3" w:rsidRPr="00D3481B" w:rsidRDefault="004C56D3" w:rsidP="004C56D3">
            <w:pPr>
              <w:suppressAutoHyphens/>
              <w:spacing w:after="40"/>
              <w:jc w:val="both"/>
              <w:rPr>
                <w:noProof/>
                <w:color w:val="000000"/>
                <w:sz w:val="23"/>
                <w:szCs w:val="23"/>
              </w:rPr>
            </w:pPr>
          </w:p>
        </w:tc>
      </w:tr>
      <w:tr w:rsidR="004C56D3" w:rsidRPr="00540EC0" w14:paraId="34B96503" w14:textId="77777777" w:rsidTr="00E6293E">
        <w:trPr>
          <w:trHeight w:val="375"/>
        </w:trPr>
        <w:tc>
          <w:tcPr>
            <w:tcW w:w="5103" w:type="dxa"/>
            <w:noWrap/>
            <w:hideMark/>
          </w:tcPr>
          <w:p w14:paraId="1131BF1D" w14:textId="77777777" w:rsidR="004C56D3" w:rsidRPr="00D3481B" w:rsidRDefault="004C56D3" w:rsidP="004C56D3">
            <w:pPr>
              <w:suppressAutoHyphens/>
              <w:spacing w:after="40"/>
              <w:jc w:val="both"/>
              <w:rPr>
                <w:color w:val="000000"/>
                <w:sz w:val="23"/>
                <w:szCs w:val="23"/>
              </w:rPr>
            </w:pPr>
            <w:r w:rsidRPr="00D3481B">
              <w:rPr>
                <w:color w:val="000000"/>
                <w:sz w:val="23"/>
                <w:szCs w:val="23"/>
              </w:rPr>
              <w:t>Asmens atsakingo už pasiūlymą el. pašto adresas:</w:t>
            </w:r>
          </w:p>
        </w:tc>
        <w:tc>
          <w:tcPr>
            <w:tcW w:w="4962" w:type="dxa"/>
            <w:shd w:val="clear" w:color="auto" w:fill="D9D9D9" w:themeFill="background1" w:themeFillShade="D9"/>
            <w:noWrap/>
          </w:tcPr>
          <w:p w14:paraId="3C7D79E0" w14:textId="1BE9540F" w:rsidR="004C56D3" w:rsidRPr="00D3481B" w:rsidRDefault="004C56D3" w:rsidP="004C56D3">
            <w:pPr>
              <w:suppressAutoHyphens/>
              <w:spacing w:after="40"/>
              <w:jc w:val="both"/>
              <w:rPr>
                <w:noProof/>
                <w:color w:val="000000"/>
                <w:sz w:val="23"/>
                <w:szCs w:val="23"/>
              </w:rPr>
            </w:pPr>
          </w:p>
        </w:tc>
      </w:tr>
    </w:tbl>
    <w:p w14:paraId="4764E760" w14:textId="77777777" w:rsidR="004C56D3" w:rsidRPr="00D3481B" w:rsidRDefault="004C56D3" w:rsidP="004C56D3">
      <w:pPr>
        <w:suppressAutoHyphens/>
        <w:spacing w:after="40"/>
        <w:jc w:val="both"/>
        <w:rPr>
          <w:b/>
          <w:color w:val="000000"/>
          <w:sz w:val="23"/>
          <w:szCs w:val="23"/>
        </w:rPr>
      </w:pPr>
    </w:p>
    <w:p w14:paraId="050D2C10" w14:textId="79F4FF1E" w:rsidR="004C56D3" w:rsidRPr="00D3481B" w:rsidRDefault="00E9560B" w:rsidP="00752894">
      <w:pPr>
        <w:suppressAutoHyphens/>
        <w:spacing w:after="40" w:line="276" w:lineRule="auto"/>
        <w:jc w:val="both"/>
        <w:rPr>
          <w:b/>
          <w:color w:val="000000"/>
          <w:sz w:val="23"/>
          <w:szCs w:val="23"/>
        </w:rPr>
      </w:pPr>
      <w:r w:rsidRPr="00D3481B">
        <w:rPr>
          <w:b/>
          <w:color w:val="000000"/>
          <w:sz w:val="23"/>
          <w:szCs w:val="23"/>
        </w:rPr>
        <w:t xml:space="preserve">1. </w:t>
      </w:r>
      <w:r w:rsidR="004C56D3" w:rsidRPr="00D3481B">
        <w:rPr>
          <w:b/>
          <w:color w:val="000000"/>
          <w:sz w:val="23"/>
          <w:szCs w:val="23"/>
        </w:rPr>
        <w:t>Tiekėjo patvirtinimai:</w:t>
      </w:r>
    </w:p>
    <w:p w14:paraId="50800F85" w14:textId="77777777" w:rsidR="00E9560B" w:rsidRPr="00D3481B" w:rsidRDefault="00E9560B" w:rsidP="00752894">
      <w:pPr>
        <w:spacing w:line="276" w:lineRule="auto"/>
        <w:jc w:val="both"/>
        <w:rPr>
          <w:color w:val="000000"/>
          <w:sz w:val="23"/>
          <w:szCs w:val="23"/>
          <w:lang w:eastAsia="lt-LT"/>
        </w:rPr>
      </w:pPr>
      <w:r w:rsidRPr="00D3481B">
        <w:rPr>
          <w:color w:val="000000"/>
          <w:sz w:val="23"/>
          <w:szCs w:val="23"/>
          <w:lang w:eastAsia="lt-LT"/>
        </w:rPr>
        <w:t>1.1. Šiuo pasiūlymu pažymime, kad sutinkame su visomis pirkimo sąlygomis, nustatytomis:</w:t>
      </w:r>
    </w:p>
    <w:p w14:paraId="5BE0311D" w14:textId="77777777" w:rsidR="00E9560B" w:rsidRPr="00D3481B" w:rsidRDefault="00E9560B" w:rsidP="00752894">
      <w:pPr>
        <w:spacing w:line="276" w:lineRule="auto"/>
        <w:jc w:val="both"/>
        <w:rPr>
          <w:color w:val="000000"/>
          <w:sz w:val="23"/>
          <w:szCs w:val="23"/>
          <w:lang w:eastAsia="lt-LT"/>
        </w:rPr>
      </w:pPr>
      <w:r w:rsidRPr="00D3481B">
        <w:rPr>
          <w:color w:val="000000"/>
          <w:sz w:val="23"/>
          <w:szCs w:val="23"/>
          <w:lang w:eastAsia="lt-LT"/>
        </w:rPr>
        <w:t>1.1.1. Skelbiamos apklausos skelbime CVP IS;</w:t>
      </w:r>
    </w:p>
    <w:p w14:paraId="42C91088" w14:textId="77777777" w:rsidR="00E9560B" w:rsidRPr="00D3481B" w:rsidRDefault="00E9560B" w:rsidP="00752894">
      <w:pPr>
        <w:spacing w:line="276" w:lineRule="auto"/>
        <w:jc w:val="both"/>
        <w:rPr>
          <w:color w:val="000000"/>
          <w:sz w:val="23"/>
          <w:szCs w:val="23"/>
          <w:lang w:eastAsia="lt-LT"/>
        </w:rPr>
      </w:pPr>
      <w:r w:rsidRPr="00D3481B">
        <w:rPr>
          <w:color w:val="000000"/>
          <w:sz w:val="23"/>
          <w:szCs w:val="23"/>
          <w:lang w:eastAsia="lt-LT"/>
        </w:rPr>
        <w:t>1.1.2. kituose pirkimo dokumentuose (jų paaiškinimuose, papildymuose).</w:t>
      </w:r>
    </w:p>
    <w:p w14:paraId="368C19EF" w14:textId="77777777" w:rsidR="00E9560B" w:rsidRPr="00D3481B" w:rsidRDefault="00E9560B" w:rsidP="00752894">
      <w:pPr>
        <w:spacing w:line="276" w:lineRule="auto"/>
        <w:jc w:val="both"/>
        <w:rPr>
          <w:color w:val="000000"/>
          <w:sz w:val="23"/>
          <w:szCs w:val="23"/>
          <w:lang w:eastAsia="lt-LT"/>
        </w:rPr>
      </w:pPr>
      <w:r w:rsidRPr="00D3481B">
        <w:rPr>
          <w:color w:val="000000"/>
          <w:sz w:val="23"/>
          <w:szCs w:val="23"/>
          <w:lang w:eastAsia="lt-LT"/>
        </w:rPr>
        <w:t>1.2. Pasiūlymas galioja iki termino, nustatyto pirkimo dokumentuose.</w:t>
      </w:r>
    </w:p>
    <w:p w14:paraId="37CBA836" w14:textId="77777777" w:rsidR="00E9560B" w:rsidRPr="00D3481B" w:rsidRDefault="00E9560B" w:rsidP="00752894">
      <w:pPr>
        <w:spacing w:line="276" w:lineRule="auto"/>
        <w:jc w:val="both"/>
        <w:rPr>
          <w:color w:val="000000"/>
          <w:sz w:val="23"/>
          <w:szCs w:val="23"/>
          <w:lang w:eastAsia="lt-LT"/>
        </w:rPr>
      </w:pPr>
      <w:r w:rsidRPr="00D3481B">
        <w:rPr>
          <w:color w:val="000000"/>
          <w:sz w:val="23"/>
          <w:szCs w:val="23"/>
          <w:lang w:eastAsia="lt-LT"/>
        </w:rPr>
        <w:t>1.3. Į pasiūlymo kainą yra įskaityti visi mokesčiai ir visos tiekėjo išlaidos, apimančios viską, ko reikia visiškam ir tinkamam paslaugų pirkimo sutarties įvykdymui.</w:t>
      </w:r>
    </w:p>
    <w:p w14:paraId="1B00F6E9" w14:textId="00197961" w:rsidR="00E9560B" w:rsidRPr="00D3481B" w:rsidRDefault="00E9560B" w:rsidP="00752894">
      <w:pPr>
        <w:spacing w:line="276" w:lineRule="auto"/>
        <w:jc w:val="both"/>
        <w:rPr>
          <w:color w:val="000000"/>
          <w:sz w:val="23"/>
          <w:szCs w:val="23"/>
          <w:lang w:eastAsia="lt-LT"/>
        </w:rPr>
      </w:pPr>
      <w:r w:rsidRPr="00D3481B">
        <w:rPr>
          <w:color w:val="000000"/>
          <w:sz w:val="23"/>
          <w:szCs w:val="23"/>
          <w:lang w:eastAsia="lt-LT"/>
        </w:rPr>
        <w:t>1.4. Jeigu kvalifikacija dėl teisės verstis atitinkama veikla nebuvo tikrinama arba tikrinama ne visa apimtimi, įsipareigojame perkančiajai organizacijai, kad pirkimo sutartį vykdys tik tokią teisę turintys asmenys.</w:t>
      </w:r>
    </w:p>
    <w:p w14:paraId="10414600" w14:textId="32F54C5F" w:rsidR="004C56D3" w:rsidRPr="00D3481B" w:rsidRDefault="004C56D3" w:rsidP="00752894">
      <w:pPr>
        <w:suppressAutoHyphens/>
        <w:spacing w:after="40" w:line="276" w:lineRule="auto"/>
        <w:jc w:val="both"/>
        <w:rPr>
          <w:b/>
          <w:color w:val="000000"/>
          <w:sz w:val="23"/>
          <w:szCs w:val="23"/>
        </w:rPr>
      </w:pPr>
      <w:r w:rsidRPr="00D3481B">
        <w:rPr>
          <w:b/>
          <w:color w:val="000000"/>
          <w:sz w:val="23"/>
          <w:szCs w:val="23"/>
        </w:rPr>
        <w:t>2. Bendrieji reikalavimai:</w:t>
      </w:r>
    </w:p>
    <w:p w14:paraId="3B3F201A" w14:textId="4B61456A" w:rsidR="0067737A" w:rsidRPr="00D3481B" w:rsidRDefault="00AD1E37" w:rsidP="00752894">
      <w:pPr>
        <w:suppressAutoHyphens/>
        <w:spacing w:after="40" w:line="276" w:lineRule="auto"/>
        <w:jc w:val="both"/>
        <w:rPr>
          <w:bCs/>
          <w:color w:val="000000"/>
          <w:sz w:val="23"/>
          <w:szCs w:val="23"/>
        </w:rPr>
      </w:pPr>
      <w:r w:rsidRPr="00D3481B">
        <w:rPr>
          <w:bCs/>
          <w:color w:val="000000"/>
          <w:sz w:val="23"/>
          <w:szCs w:val="23"/>
        </w:rPr>
        <w:t xml:space="preserve">2.1. </w:t>
      </w:r>
      <w:r w:rsidR="0067737A" w:rsidRPr="00D3481B">
        <w:rPr>
          <w:bCs/>
          <w:color w:val="000000"/>
          <w:sz w:val="23"/>
          <w:szCs w:val="23"/>
        </w:rPr>
        <w:t>VšĮ Respublikinėje Vilniaus universitetinėje ligoninėje (toliau – Klientas, ligoninė) mirusių pacientų palaikai vežami iš ligoninės</w:t>
      </w:r>
      <w:r w:rsidR="005F1608" w:rsidRPr="00D3481B">
        <w:rPr>
          <w:bCs/>
          <w:color w:val="000000"/>
          <w:sz w:val="23"/>
          <w:szCs w:val="23"/>
        </w:rPr>
        <w:t xml:space="preserve">, </w:t>
      </w:r>
      <w:r w:rsidR="0067737A" w:rsidRPr="00D3481B">
        <w:rPr>
          <w:bCs/>
          <w:color w:val="000000"/>
          <w:sz w:val="23"/>
          <w:szCs w:val="23"/>
        </w:rPr>
        <w:t xml:space="preserve">Šiltnamių g. 29, Vilniuje, į </w:t>
      </w:r>
      <w:r w:rsidR="007F7DE9" w:rsidRPr="00D3481B">
        <w:rPr>
          <w:bCs/>
          <w:color w:val="000000"/>
          <w:sz w:val="23"/>
          <w:szCs w:val="23"/>
        </w:rPr>
        <w:t>Paslaugų teikėjo</w:t>
      </w:r>
      <w:r w:rsidR="0067737A" w:rsidRPr="00D3481B">
        <w:rPr>
          <w:bCs/>
          <w:color w:val="000000"/>
          <w:sz w:val="23"/>
          <w:szCs w:val="23"/>
        </w:rPr>
        <w:t xml:space="preserve"> šaldytuvus arba patologinės anatomijos ar teismo medicinos įstaigos šaldytuvus.</w:t>
      </w:r>
    </w:p>
    <w:p w14:paraId="28968098" w14:textId="0DA3CEB7" w:rsidR="0067737A" w:rsidRPr="00E32EF8" w:rsidRDefault="00AD1E37" w:rsidP="0067737A">
      <w:pPr>
        <w:suppressAutoHyphens/>
        <w:spacing w:after="40" w:line="276" w:lineRule="auto"/>
        <w:jc w:val="both"/>
        <w:rPr>
          <w:bCs/>
          <w:color w:val="000000"/>
          <w:sz w:val="23"/>
          <w:szCs w:val="23"/>
        </w:rPr>
      </w:pPr>
      <w:r w:rsidRPr="00D3481B">
        <w:rPr>
          <w:bCs/>
          <w:color w:val="000000"/>
          <w:sz w:val="23"/>
          <w:szCs w:val="23"/>
        </w:rPr>
        <w:t xml:space="preserve">2.2. </w:t>
      </w:r>
      <w:r w:rsidR="0067737A" w:rsidRPr="00E32EF8">
        <w:rPr>
          <w:bCs/>
          <w:color w:val="000000"/>
          <w:sz w:val="23"/>
          <w:szCs w:val="23"/>
        </w:rPr>
        <w:t xml:space="preserve">Ne mažiau kaip du </w:t>
      </w:r>
      <w:bookmarkStart w:id="0" w:name="_Hlk139975668"/>
      <w:r w:rsidR="007F7DE9" w:rsidRPr="00E32EF8">
        <w:rPr>
          <w:bCs/>
          <w:color w:val="000000"/>
          <w:sz w:val="23"/>
          <w:szCs w:val="23"/>
        </w:rPr>
        <w:t>Paslaugų teikėjo</w:t>
      </w:r>
      <w:r w:rsidR="0067737A" w:rsidRPr="00E32EF8">
        <w:rPr>
          <w:bCs/>
          <w:color w:val="000000"/>
          <w:sz w:val="23"/>
          <w:szCs w:val="23"/>
        </w:rPr>
        <w:t xml:space="preserve"> </w:t>
      </w:r>
      <w:bookmarkEnd w:id="0"/>
      <w:r w:rsidR="0067737A" w:rsidRPr="00E32EF8">
        <w:rPr>
          <w:bCs/>
          <w:color w:val="000000"/>
          <w:sz w:val="23"/>
          <w:szCs w:val="23"/>
        </w:rPr>
        <w:t xml:space="preserve">darbuotojai bet kuriuo paros metu </w:t>
      </w:r>
      <w:r w:rsidR="007F7DE9" w:rsidRPr="00E32EF8">
        <w:rPr>
          <w:bCs/>
          <w:color w:val="000000"/>
          <w:sz w:val="23"/>
          <w:szCs w:val="23"/>
        </w:rPr>
        <w:t>Paslaugų teikėjo</w:t>
      </w:r>
      <w:r w:rsidR="0067737A" w:rsidRPr="00E32EF8">
        <w:rPr>
          <w:bCs/>
          <w:color w:val="000000"/>
          <w:sz w:val="23"/>
          <w:szCs w:val="23"/>
        </w:rPr>
        <w:t xml:space="preserve"> transportu</w:t>
      </w:r>
      <w:r w:rsidR="00676ACF" w:rsidRPr="00E32EF8">
        <w:rPr>
          <w:sz w:val="23"/>
          <w:szCs w:val="23"/>
        </w:rPr>
        <w:t xml:space="preserve"> </w:t>
      </w:r>
      <w:r w:rsidR="00676ACF" w:rsidRPr="00E32EF8">
        <w:rPr>
          <w:bCs/>
          <w:color w:val="000000"/>
          <w:sz w:val="23"/>
          <w:szCs w:val="23"/>
        </w:rPr>
        <w:t>turi atvykti</w:t>
      </w:r>
      <w:r w:rsidR="0067737A" w:rsidRPr="00E32EF8">
        <w:rPr>
          <w:bCs/>
          <w:color w:val="000000"/>
          <w:sz w:val="23"/>
          <w:szCs w:val="23"/>
        </w:rPr>
        <w:t xml:space="preserve"> paimti mirusiojo palaikų į </w:t>
      </w:r>
      <w:r w:rsidR="007F7DE9" w:rsidRPr="00E32EF8">
        <w:rPr>
          <w:bCs/>
          <w:color w:val="000000"/>
          <w:sz w:val="23"/>
          <w:szCs w:val="23"/>
        </w:rPr>
        <w:t>Paslaugų teikėją</w:t>
      </w:r>
      <w:r w:rsidR="0067737A" w:rsidRPr="00E32EF8">
        <w:rPr>
          <w:bCs/>
          <w:color w:val="000000"/>
          <w:sz w:val="23"/>
          <w:szCs w:val="23"/>
        </w:rPr>
        <w:t xml:space="preserve"> iškvietusio </w:t>
      </w:r>
      <w:r w:rsidR="007F7DE9" w:rsidRPr="00E32EF8">
        <w:rPr>
          <w:bCs/>
          <w:color w:val="000000"/>
          <w:sz w:val="23"/>
          <w:szCs w:val="23"/>
        </w:rPr>
        <w:t>Kliento</w:t>
      </w:r>
      <w:r w:rsidR="0067737A" w:rsidRPr="00E32EF8">
        <w:rPr>
          <w:bCs/>
          <w:color w:val="000000"/>
          <w:sz w:val="23"/>
          <w:szCs w:val="23"/>
        </w:rPr>
        <w:t xml:space="preserve"> padalinio ar skyriaus patalpas ne vėliau kaip per 2 valandas nuo iškvietimo.</w:t>
      </w:r>
      <w:r w:rsidR="0097690A" w:rsidRPr="00E32EF8">
        <w:rPr>
          <w:sz w:val="23"/>
          <w:szCs w:val="23"/>
        </w:rPr>
        <w:t xml:space="preserve"> </w:t>
      </w:r>
      <w:r w:rsidR="0097690A" w:rsidRPr="00E32EF8">
        <w:rPr>
          <w:bCs/>
          <w:color w:val="000000"/>
          <w:sz w:val="23"/>
          <w:szCs w:val="23"/>
        </w:rPr>
        <w:t>Klientas turi teisę pateikti iškvietimą Paslaugų teikėjui telefonu visą parą.</w:t>
      </w:r>
    </w:p>
    <w:p w14:paraId="31B1B0BE" w14:textId="47C48D35" w:rsidR="00714C78" w:rsidRPr="00E32EF8" w:rsidRDefault="00714C78" w:rsidP="00714C78">
      <w:pPr>
        <w:jc w:val="both"/>
        <w:rPr>
          <w:sz w:val="23"/>
          <w:szCs w:val="23"/>
        </w:rPr>
      </w:pPr>
      <w:r w:rsidRPr="00E32EF8">
        <w:rPr>
          <w:bCs/>
          <w:color w:val="000000"/>
          <w:sz w:val="23"/>
          <w:szCs w:val="23"/>
        </w:rPr>
        <w:t xml:space="preserve">2.2.2. </w:t>
      </w:r>
      <w:r w:rsidRPr="00E32EF8">
        <w:rPr>
          <w:sz w:val="23"/>
          <w:szCs w:val="23"/>
        </w:rPr>
        <w:t xml:space="preserve">Orientacinis iškvietimų skaičius per metus </w:t>
      </w:r>
      <w:r w:rsidR="005428D0">
        <w:rPr>
          <w:sz w:val="23"/>
          <w:szCs w:val="23"/>
        </w:rPr>
        <w:t>–</w:t>
      </w:r>
      <w:r w:rsidR="00E32EF8" w:rsidRPr="00E32EF8">
        <w:rPr>
          <w:sz w:val="23"/>
          <w:szCs w:val="23"/>
        </w:rPr>
        <w:t xml:space="preserve"> </w:t>
      </w:r>
      <w:r w:rsidR="005428D0">
        <w:rPr>
          <w:sz w:val="23"/>
          <w:szCs w:val="23"/>
        </w:rPr>
        <w:t>870.</w:t>
      </w:r>
    </w:p>
    <w:p w14:paraId="36D124D4" w14:textId="50656E36" w:rsidR="0067737A" w:rsidRPr="00E32EF8" w:rsidRDefault="0067737A" w:rsidP="0067737A">
      <w:pPr>
        <w:suppressAutoHyphens/>
        <w:spacing w:after="40" w:line="276" w:lineRule="auto"/>
        <w:jc w:val="both"/>
        <w:rPr>
          <w:bCs/>
          <w:color w:val="000000"/>
          <w:sz w:val="23"/>
          <w:szCs w:val="23"/>
        </w:rPr>
      </w:pPr>
      <w:r w:rsidRPr="00E32EF8">
        <w:rPr>
          <w:bCs/>
          <w:color w:val="000000"/>
          <w:sz w:val="23"/>
          <w:szCs w:val="23"/>
        </w:rPr>
        <w:t xml:space="preserve">2.3. </w:t>
      </w:r>
      <w:r w:rsidR="00B52EAC" w:rsidRPr="00E32EF8">
        <w:rPr>
          <w:b/>
          <w:color w:val="000000"/>
          <w:sz w:val="23"/>
          <w:szCs w:val="23"/>
          <w:u w:val="single"/>
        </w:rPr>
        <w:t>Paslaugų teikėjas</w:t>
      </w:r>
      <w:r w:rsidRPr="00E32EF8">
        <w:rPr>
          <w:b/>
          <w:color w:val="000000"/>
          <w:sz w:val="23"/>
          <w:szCs w:val="23"/>
          <w:u w:val="single"/>
        </w:rPr>
        <w:t xml:space="preserve"> </w:t>
      </w:r>
      <w:r w:rsidR="00B52EAC" w:rsidRPr="00E32EF8">
        <w:rPr>
          <w:b/>
          <w:color w:val="000000"/>
          <w:sz w:val="23"/>
          <w:szCs w:val="23"/>
          <w:u w:val="single"/>
        </w:rPr>
        <w:t xml:space="preserve">turi </w:t>
      </w:r>
      <w:r w:rsidRPr="00E32EF8">
        <w:rPr>
          <w:b/>
          <w:color w:val="000000"/>
          <w:sz w:val="23"/>
          <w:szCs w:val="23"/>
          <w:u w:val="single"/>
        </w:rPr>
        <w:t>teik</w:t>
      </w:r>
      <w:r w:rsidR="00B52EAC" w:rsidRPr="00E32EF8">
        <w:rPr>
          <w:b/>
          <w:color w:val="000000"/>
          <w:sz w:val="23"/>
          <w:szCs w:val="23"/>
          <w:u w:val="single"/>
        </w:rPr>
        <w:t>ti</w:t>
      </w:r>
      <w:r w:rsidRPr="00E32EF8">
        <w:rPr>
          <w:b/>
          <w:color w:val="000000"/>
          <w:sz w:val="23"/>
          <w:szCs w:val="23"/>
          <w:u w:val="single"/>
        </w:rPr>
        <w:t xml:space="preserve"> palaikų transportavimo ir laikino laikymo (saugojimo) paslaugas, vadovaudamasis šiais teisės aktais</w:t>
      </w:r>
      <w:r w:rsidRPr="00E32EF8">
        <w:rPr>
          <w:bCs/>
          <w:color w:val="000000"/>
          <w:sz w:val="23"/>
          <w:szCs w:val="23"/>
        </w:rPr>
        <w:t>:</w:t>
      </w:r>
    </w:p>
    <w:p w14:paraId="6456131F" w14:textId="4340A0B5" w:rsidR="0067737A" w:rsidRPr="00E32EF8" w:rsidRDefault="007F7DE9" w:rsidP="0067737A">
      <w:pPr>
        <w:suppressAutoHyphens/>
        <w:spacing w:after="40" w:line="276" w:lineRule="auto"/>
        <w:jc w:val="both"/>
        <w:rPr>
          <w:bCs/>
          <w:color w:val="000000"/>
          <w:sz w:val="23"/>
          <w:szCs w:val="23"/>
        </w:rPr>
      </w:pPr>
      <w:r w:rsidRPr="00E32EF8">
        <w:rPr>
          <w:bCs/>
          <w:color w:val="000000"/>
          <w:sz w:val="23"/>
          <w:szCs w:val="23"/>
        </w:rPr>
        <w:t>2.3.1. LR Sveikatos apsaugos ministro 2002 m. spalio 9 d. įsakymas Nr. 494 ,,Dėl asmenų, mirusių nuo pavojingų ir ypač pavojingų užkrečiamųjų ligų, palaikų vežimo transporto priemonėmis, jų įvežimo į Lietuvos Respubliką ir išvežimo iš jos, laidojimo ir perlaidojimo tvarkos aprašo patvirtinimo“;</w:t>
      </w:r>
    </w:p>
    <w:p w14:paraId="0C8B0678" w14:textId="6BB09A90" w:rsidR="0067737A" w:rsidRPr="00D3481B" w:rsidRDefault="007F7DE9" w:rsidP="0067737A">
      <w:pPr>
        <w:suppressAutoHyphens/>
        <w:spacing w:after="40" w:line="276" w:lineRule="auto"/>
        <w:jc w:val="both"/>
        <w:rPr>
          <w:bCs/>
          <w:color w:val="000000"/>
          <w:sz w:val="23"/>
          <w:szCs w:val="23"/>
        </w:rPr>
      </w:pPr>
      <w:r w:rsidRPr="00E32EF8">
        <w:rPr>
          <w:bCs/>
          <w:color w:val="000000"/>
          <w:sz w:val="23"/>
          <w:szCs w:val="23"/>
        </w:rPr>
        <w:t>2.3.2 LR socialinės apsaugos ir darbo ministro</w:t>
      </w:r>
      <w:r w:rsidRPr="00D3481B">
        <w:rPr>
          <w:bCs/>
          <w:color w:val="000000"/>
          <w:sz w:val="23"/>
          <w:szCs w:val="23"/>
        </w:rPr>
        <w:t xml:space="preserve"> 2007 m. lapkričio 26 d. įsakymas Nr. A1-331 ,,Dėl darbuotojų aprūpinimo asmeninėmis apsaugos priemonėmis nuostatų patvirtinimo“;</w:t>
      </w:r>
    </w:p>
    <w:p w14:paraId="6BF25F7E" w14:textId="3BD1D4F8" w:rsidR="007F7DE9" w:rsidRPr="00D3481B" w:rsidRDefault="00370460" w:rsidP="0067737A">
      <w:pPr>
        <w:suppressAutoHyphens/>
        <w:spacing w:after="40" w:line="276" w:lineRule="auto"/>
        <w:jc w:val="both"/>
        <w:rPr>
          <w:bCs/>
          <w:color w:val="000000"/>
          <w:sz w:val="23"/>
          <w:szCs w:val="23"/>
        </w:rPr>
      </w:pPr>
      <w:r w:rsidRPr="00D3481B">
        <w:rPr>
          <w:bCs/>
          <w:color w:val="000000"/>
          <w:sz w:val="23"/>
          <w:szCs w:val="23"/>
        </w:rPr>
        <w:t>2.3.3 LR Sveikatos apsaugos ministro 2004 m. spalio 14 d. įsakymas Nr. V-716 ,,Dėl Darbuotojų, kurie skiepijami darbdavio lėšomis, profesijų ir pareigybių sąrašo patvirtinimo“;</w:t>
      </w:r>
    </w:p>
    <w:p w14:paraId="7CCFCA29" w14:textId="1EC65B91" w:rsidR="0067737A" w:rsidRPr="00D3481B" w:rsidRDefault="00370460" w:rsidP="0067737A">
      <w:pPr>
        <w:suppressAutoHyphens/>
        <w:spacing w:after="40" w:line="276" w:lineRule="auto"/>
        <w:jc w:val="both"/>
        <w:rPr>
          <w:bCs/>
          <w:color w:val="000000"/>
          <w:sz w:val="23"/>
          <w:szCs w:val="23"/>
        </w:rPr>
      </w:pPr>
      <w:r w:rsidRPr="00D3481B">
        <w:rPr>
          <w:bCs/>
          <w:color w:val="000000"/>
          <w:sz w:val="23"/>
          <w:szCs w:val="23"/>
        </w:rPr>
        <w:lastRenderedPageBreak/>
        <w:t>2.3.4 LR Susisiekimo ministro 2008 m. gegužės 19d.  įsakymas Nr. 3-172 "Dėl reikalavimų žmonių palaikams gabenti skirtoms transporto priemonėms aprašo";</w:t>
      </w:r>
    </w:p>
    <w:p w14:paraId="651583E6" w14:textId="2FDB021D" w:rsidR="0067737A" w:rsidRPr="00D3481B" w:rsidRDefault="00370460" w:rsidP="0067737A">
      <w:pPr>
        <w:suppressAutoHyphens/>
        <w:spacing w:after="40" w:line="276" w:lineRule="auto"/>
        <w:jc w:val="both"/>
        <w:rPr>
          <w:bCs/>
          <w:color w:val="000000"/>
          <w:sz w:val="23"/>
          <w:szCs w:val="23"/>
        </w:rPr>
      </w:pPr>
      <w:r w:rsidRPr="00D3481B">
        <w:rPr>
          <w:bCs/>
          <w:color w:val="000000"/>
          <w:sz w:val="23"/>
          <w:szCs w:val="23"/>
        </w:rPr>
        <w:t>2.3.5 LR Sveikatos apsaugos ministro 2013 m. gegužės 27 d.  įsakymas Nr. V-539 "Dėl Lietuvos higienos normos HN 91:2013 „Žmogaus palaikų laidojimo paslaugų, kremavimo, balzamavimo veiklos visuomenės sveikatos saugos reikalavimai“ patvirtinimo".</w:t>
      </w:r>
    </w:p>
    <w:p w14:paraId="5EC5D0B3" w14:textId="725299BD" w:rsidR="00370460" w:rsidRPr="00D3481B" w:rsidRDefault="00370460" w:rsidP="0067737A">
      <w:pPr>
        <w:suppressAutoHyphens/>
        <w:spacing w:after="40" w:line="276" w:lineRule="auto"/>
        <w:jc w:val="both"/>
        <w:rPr>
          <w:b/>
          <w:color w:val="000000"/>
          <w:sz w:val="23"/>
          <w:szCs w:val="23"/>
          <w:u w:val="single"/>
        </w:rPr>
      </w:pPr>
      <w:r w:rsidRPr="00D3481B">
        <w:rPr>
          <w:bCs/>
          <w:color w:val="000000"/>
          <w:sz w:val="23"/>
          <w:szCs w:val="23"/>
        </w:rPr>
        <w:t xml:space="preserve">2.4. </w:t>
      </w:r>
      <w:r w:rsidR="00CB4ADB" w:rsidRPr="00D3481B">
        <w:rPr>
          <w:b/>
          <w:color w:val="000000"/>
          <w:sz w:val="23"/>
          <w:szCs w:val="23"/>
          <w:u w:val="single"/>
        </w:rPr>
        <w:t>Paslaugų teikėjas teikdamas paslaugas turi užtikrinti šias p</w:t>
      </w:r>
      <w:r w:rsidRPr="00D3481B">
        <w:rPr>
          <w:b/>
          <w:color w:val="000000"/>
          <w:sz w:val="23"/>
          <w:szCs w:val="23"/>
          <w:u w:val="single"/>
        </w:rPr>
        <w:t>alaikų laikino laikymo (saugojimo) vykdym</w:t>
      </w:r>
      <w:r w:rsidR="00CB4ADB" w:rsidRPr="00D3481B">
        <w:rPr>
          <w:b/>
          <w:color w:val="000000"/>
          <w:sz w:val="23"/>
          <w:szCs w:val="23"/>
          <w:u w:val="single"/>
        </w:rPr>
        <w:t>o sąlygas</w:t>
      </w:r>
      <w:r w:rsidRPr="00D3481B">
        <w:rPr>
          <w:b/>
          <w:color w:val="000000"/>
          <w:sz w:val="23"/>
          <w:szCs w:val="23"/>
          <w:u w:val="single"/>
        </w:rPr>
        <w:t>:</w:t>
      </w:r>
    </w:p>
    <w:p w14:paraId="3DE90FEF" w14:textId="3899D0E6" w:rsidR="00714C78" w:rsidRPr="00D3481B" w:rsidRDefault="00714C78" w:rsidP="0067737A">
      <w:pPr>
        <w:suppressAutoHyphens/>
        <w:spacing w:after="40" w:line="276" w:lineRule="auto"/>
        <w:jc w:val="both"/>
        <w:rPr>
          <w:bCs/>
          <w:color w:val="000000"/>
          <w:sz w:val="23"/>
          <w:szCs w:val="23"/>
        </w:rPr>
      </w:pPr>
      <w:r w:rsidRPr="00D3481B">
        <w:rPr>
          <w:bCs/>
          <w:color w:val="000000"/>
          <w:sz w:val="23"/>
          <w:szCs w:val="23"/>
        </w:rPr>
        <w:t>2.4</w:t>
      </w:r>
      <w:r w:rsidR="00CE6E55" w:rsidRPr="00D3481B">
        <w:rPr>
          <w:bCs/>
          <w:color w:val="000000"/>
          <w:sz w:val="23"/>
          <w:szCs w:val="23"/>
        </w:rPr>
        <w:t>.1.</w:t>
      </w:r>
      <w:r w:rsidR="005A5F22" w:rsidRPr="00540EC0">
        <w:rPr>
          <w:sz w:val="23"/>
          <w:szCs w:val="23"/>
        </w:rPr>
        <w:t xml:space="preserve"> </w:t>
      </w:r>
      <w:r w:rsidRPr="00D3481B">
        <w:rPr>
          <w:bCs/>
          <w:color w:val="000000"/>
          <w:sz w:val="23"/>
          <w:szCs w:val="23"/>
        </w:rPr>
        <w:t xml:space="preserve"> Mirusiojo palaikai turi būti pervežami tik specialiuose skysčiams nepralaidžiuose, nepermatomuose maišuose, užtraukiamuose arba užsegamuose kibiomis juostomis bei papildomai uždengtus specialiu gaubtu, tikslu nesukelti Ligoninės pacientams, aplinkiniams neigiamų emocijų.</w:t>
      </w:r>
    </w:p>
    <w:p w14:paraId="04C58B5C" w14:textId="429473E1" w:rsidR="00370460" w:rsidRPr="00D3481B" w:rsidRDefault="00370460" w:rsidP="0067737A">
      <w:pPr>
        <w:suppressAutoHyphens/>
        <w:spacing w:after="40" w:line="276" w:lineRule="auto"/>
        <w:jc w:val="both"/>
        <w:rPr>
          <w:bCs/>
          <w:color w:val="000000"/>
          <w:sz w:val="23"/>
          <w:szCs w:val="23"/>
        </w:rPr>
      </w:pPr>
      <w:r w:rsidRPr="00D3481B">
        <w:rPr>
          <w:bCs/>
          <w:color w:val="000000"/>
          <w:sz w:val="23"/>
          <w:szCs w:val="23"/>
        </w:rPr>
        <w:t>2.4.</w:t>
      </w:r>
      <w:r w:rsidR="00CE6E55" w:rsidRPr="00D3481B">
        <w:rPr>
          <w:bCs/>
          <w:color w:val="000000"/>
          <w:sz w:val="23"/>
          <w:szCs w:val="23"/>
        </w:rPr>
        <w:t>2</w:t>
      </w:r>
      <w:r w:rsidRPr="00D3481B">
        <w:rPr>
          <w:bCs/>
          <w:color w:val="000000"/>
          <w:sz w:val="23"/>
          <w:szCs w:val="23"/>
        </w:rPr>
        <w:t>. palaikų priėmimas visą parą (dvidešimt keturias valandas) ir septynias dienas per savaitę, neišskiriant darbo, poilsio ir švenčių dienų;</w:t>
      </w:r>
    </w:p>
    <w:p w14:paraId="6BCBA231" w14:textId="542E6504" w:rsidR="003F018A" w:rsidRPr="00D3481B" w:rsidRDefault="00370460" w:rsidP="00370460">
      <w:pPr>
        <w:suppressAutoHyphens/>
        <w:spacing w:after="40" w:line="276" w:lineRule="auto"/>
        <w:jc w:val="both"/>
        <w:rPr>
          <w:rFonts w:eastAsia="Calibri"/>
          <w:bCs/>
          <w:sz w:val="23"/>
          <w:szCs w:val="23"/>
          <w:bdr w:val="none" w:sz="0" w:space="0" w:color="auto"/>
        </w:rPr>
      </w:pPr>
      <w:r w:rsidRPr="00D3481B">
        <w:rPr>
          <w:rFonts w:eastAsia="Calibri"/>
          <w:bCs/>
          <w:sz w:val="23"/>
          <w:szCs w:val="23"/>
          <w:bdr w:val="none" w:sz="0" w:space="0" w:color="auto"/>
        </w:rPr>
        <w:t>2.4.</w:t>
      </w:r>
      <w:r w:rsidR="00CE6E55" w:rsidRPr="00D3481B">
        <w:rPr>
          <w:rFonts w:eastAsia="Calibri"/>
          <w:bCs/>
          <w:sz w:val="23"/>
          <w:szCs w:val="23"/>
          <w:bdr w:val="none" w:sz="0" w:space="0" w:color="auto"/>
        </w:rPr>
        <w:t>3</w:t>
      </w:r>
      <w:r w:rsidRPr="00D3481B">
        <w:rPr>
          <w:rFonts w:eastAsia="Calibri"/>
          <w:bCs/>
          <w:sz w:val="23"/>
          <w:szCs w:val="23"/>
          <w:bdr w:val="none" w:sz="0" w:space="0" w:color="auto"/>
        </w:rPr>
        <w:t>. palaikų saugojimas – nuo 1 iki 4 parų imtinai;</w:t>
      </w:r>
    </w:p>
    <w:p w14:paraId="6275323A" w14:textId="12E621F9" w:rsidR="003D1AAE" w:rsidRPr="00D3481B" w:rsidRDefault="00370460" w:rsidP="00752894">
      <w:pPr>
        <w:pStyle w:val="Body2"/>
        <w:spacing w:after="0" w:line="276" w:lineRule="auto"/>
        <w:rPr>
          <w:rFonts w:eastAsia="Calibri" w:cs="Times New Roman"/>
          <w:bCs/>
          <w:color w:val="auto"/>
          <w:sz w:val="23"/>
          <w:szCs w:val="23"/>
          <w:bdr w:val="none" w:sz="0" w:space="0" w:color="auto" w:frame="1"/>
          <w:lang w:val="lt-LT"/>
        </w:rPr>
      </w:pPr>
      <w:r w:rsidRPr="00D3481B">
        <w:rPr>
          <w:rFonts w:eastAsia="Calibri" w:cs="Times New Roman"/>
          <w:bCs/>
          <w:color w:val="auto"/>
          <w:sz w:val="23"/>
          <w:szCs w:val="23"/>
          <w:bdr w:val="none" w:sz="0" w:space="0" w:color="auto" w:frame="1"/>
          <w:lang w:val="lt-LT"/>
        </w:rPr>
        <w:t>2.4.</w:t>
      </w:r>
      <w:r w:rsidR="00CE6E55" w:rsidRPr="00D3481B">
        <w:rPr>
          <w:rFonts w:eastAsia="Calibri" w:cs="Times New Roman"/>
          <w:bCs/>
          <w:color w:val="auto"/>
          <w:sz w:val="23"/>
          <w:szCs w:val="23"/>
          <w:bdr w:val="none" w:sz="0" w:space="0" w:color="auto" w:frame="1"/>
          <w:lang w:val="lt-LT"/>
        </w:rPr>
        <w:t>4</w:t>
      </w:r>
      <w:r w:rsidRPr="00D3481B">
        <w:rPr>
          <w:rFonts w:eastAsia="Calibri" w:cs="Times New Roman"/>
          <w:bCs/>
          <w:color w:val="auto"/>
          <w:sz w:val="23"/>
          <w:szCs w:val="23"/>
          <w:bdr w:val="none" w:sz="0" w:space="0" w:color="auto" w:frame="1"/>
          <w:lang w:val="lt-LT"/>
        </w:rPr>
        <w:t>. vienu metu užtikrinti ne mažiau kaip 20 (dvidešimt) palaikų laikiną laikymą (saugojimą).</w:t>
      </w:r>
    </w:p>
    <w:p w14:paraId="1E759EEF" w14:textId="17C9366C" w:rsidR="00370460" w:rsidRPr="00D3481B" w:rsidRDefault="00370460" w:rsidP="00752894">
      <w:pPr>
        <w:pStyle w:val="Body2"/>
        <w:spacing w:after="0" w:line="276" w:lineRule="auto"/>
        <w:rPr>
          <w:rFonts w:eastAsia="Calibri" w:cs="Times New Roman"/>
          <w:bCs/>
          <w:color w:val="auto"/>
          <w:sz w:val="23"/>
          <w:szCs w:val="23"/>
          <w:bdr w:val="none" w:sz="0" w:space="0" w:color="auto" w:frame="1"/>
          <w:lang w:val="lt-LT"/>
        </w:rPr>
      </w:pPr>
      <w:r w:rsidRPr="00D3481B">
        <w:rPr>
          <w:rFonts w:eastAsia="Calibri" w:cs="Times New Roman"/>
          <w:bCs/>
          <w:color w:val="auto"/>
          <w:sz w:val="23"/>
          <w:szCs w:val="23"/>
          <w:bdr w:val="none" w:sz="0" w:space="0" w:color="auto" w:frame="1"/>
          <w:lang w:val="lt-LT"/>
        </w:rPr>
        <w:t>2.5. Paslaugų teikimo metu susidariusias medicinines atliekas Paslaugų teikėjas tvarko savo lėšomis.</w:t>
      </w:r>
    </w:p>
    <w:p w14:paraId="562925C6" w14:textId="4EEADBDB" w:rsidR="00370460" w:rsidRPr="00D3481B" w:rsidRDefault="00370460" w:rsidP="00752894">
      <w:pPr>
        <w:pStyle w:val="Body2"/>
        <w:spacing w:after="0" w:line="276" w:lineRule="auto"/>
        <w:rPr>
          <w:rFonts w:eastAsia="Calibri" w:cs="Times New Roman"/>
          <w:bCs/>
          <w:color w:val="auto"/>
          <w:sz w:val="23"/>
          <w:szCs w:val="23"/>
          <w:bdr w:val="none" w:sz="0" w:space="0" w:color="auto" w:frame="1"/>
          <w:lang w:val="lt-LT"/>
        </w:rPr>
      </w:pPr>
      <w:r w:rsidRPr="00D3481B">
        <w:rPr>
          <w:rFonts w:eastAsia="Calibri" w:cs="Times New Roman"/>
          <w:bCs/>
          <w:color w:val="auto"/>
          <w:sz w:val="23"/>
          <w:szCs w:val="23"/>
          <w:bdr w:val="none" w:sz="0" w:space="0" w:color="auto" w:frame="1"/>
          <w:lang w:val="lt-LT"/>
        </w:rPr>
        <w:t>2.6. Paslaugų teikėjo darbuotojams patyrus incidentą, susijusį su palaikų biologiniais skysčiais, infekuota medžiaga ligoninės patalpose, teritorijoje bei palaikų transportavimo metu, Paslaugų teikėjas savo lėšomis užtikrina nukentėjusiajam darbuotojui aktyvios imunoprofilaktikos priemones bei po ekspozicinę profilaktiką, apie įvykį raštu informuojant ligoninės administraciją.</w:t>
      </w:r>
    </w:p>
    <w:p w14:paraId="6E524EB2" w14:textId="26A3A25C" w:rsidR="00370460" w:rsidRPr="00D3481B" w:rsidRDefault="00AE3F66" w:rsidP="00752894">
      <w:pPr>
        <w:pStyle w:val="Body2"/>
        <w:spacing w:after="0" w:line="276" w:lineRule="auto"/>
        <w:rPr>
          <w:rFonts w:eastAsia="Calibri" w:cs="Times New Roman"/>
          <w:bCs/>
          <w:color w:val="auto"/>
          <w:sz w:val="23"/>
          <w:szCs w:val="23"/>
          <w:bdr w:val="none" w:sz="0" w:space="0" w:color="auto" w:frame="1"/>
          <w:lang w:val="lt-LT"/>
        </w:rPr>
      </w:pPr>
      <w:r w:rsidRPr="00D3481B">
        <w:rPr>
          <w:rFonts w:eastAsia="Calibri" w:cs="Times New Roman"/>
          <w:bCs/>
          <w:color w:val="auto"/>
          <w:sz w:val="23"/>
          <w:szCs w:val="23"/>
          <w:bdr w:val="none" w:sz="0" w:space="0" w:color="auto" w:frame="1"/>
          <w:lang w:val="lt-LT"/>
        </w:rPr>
        <w:t>2.7. Paslaugų teikėjo</w:t>
      </w:r>
      <w:r w:rsidR="00370460" w:rsidRPr="00D3481B">
        <w:rPr>
          <w:rFonts w:eastAsia="Calibri" w:cs="Times New Roman"/>
          <w:bCs/>
          <w:color w:val="auto"/>
          <w:sz w:val="23"/>
          <w:szCs w:val="23"/>
          <w:bdr w:val="none" w:sz="0" w:space="0" w:color="auto" w:frame="1"/>
          <w:lang w:val="lt-LT"/>
        </w:rPr>
        <w:t xml:space="preserve"> darbuotojai privalo mandagiai teikti paslaugas tiek ligoninės personalo, tiek mirusiojo artimųjų atžvilgiu, pagarbiai elgtis su palaikais, savo darbo metu nepažeisti ligoninės vidaus tvarkos taisyklių.</w:t>
      </w:r>
    </w:p>
    <w:p w14:paraId="7F867F9B" w14:textId="429AEFF9" w:rsidR="00370460" w:rsidRPr="00D3481B" w:rsidRDefault="00370460" w:rsidP="00752894">
      <w:pPr>
        <w:pStyle w:val="Body2"/>
        <w:spacing w:after="0" w:line="276" w:lineRule="auto"/>
        <w:rPr>
          <w:rFonts w:eastAsia="Calibri" w:cs="Times New Roman"/>
          <w:bCs/>
          <w:color w:val="auto"/>
          <w:sz w:val="23"/>
          <w:szCs w:val="23"/>
          <w:bdr w:val="none" w:sz="0" w:space="0" w:color="auto" w:frame="1"/>
          <w:lang w:val="lt-LT"/>
        </w:rPr>
      </w:pPr>
      <w:r w:rsidRPr="00D3481B">
        <w:rPr>
          <w:rFonts w:eastAsia="Calibri" w:cs="Times New Roman"/>
          <w:bCs/>
          <w:color w:val="auto"/>
          <w:sz w:val="23"/>
          <w:szCs w:val="23"/>
          <w:bdr w:val="none" w:sz="0" w:space="0" w:color="auto" w:frame="1"/>
          <w:lang w:val="lt-LT"/>
        </w:rPr>
        <w:t xml:space="preserve">2.8. Paslaugų teikėjas </w:t>
      </w:r>
      <w:r w:rsidR="00571CA1" w:rsidRPr="00D3481B">
        <w:rPr>
          <w:rFonts w:eastAsia="Calibri" w:cs="Times New Roman"/>
          <w:bCs/>
          <w:color w:val="auto"/>
          <w:sz w:val="23"/>
          <w:szCs w:val="23"/>
          <w:bdr w:val="none" w:sz="0" w:space="0" w:color="auto" w:frame="1"/>
          <w:lang w:val="lt-LT"/>
        </w:rPr>
        <w:t>Klientui</w:t>
      </w:r>
      <w:r w:rsidRPr="00D3481B">
        <w:rPr>
          <w:rFonts w:eastAsia="Calibri" w:cs="Times New Roman"/>
          <w:bCs/>
          <w:color w:val="auto"/>
          <w:sz w:val="23"/>
          <w:szCs w:val="23"/>
          <w:bdr w:val="none" w:sz="0" w:space="0" w:color="auto" w:frame="1"/>
          <w:lang w:val="lt-LT"/>
        </w:rPr>
        <w:t xml:space="preserve"> turi suteikti informaciją, kuriuo laiku mirusiojo artimieji gali pasiimti palaikus iš saugojimo vietos.</w:t>
      </w:r>
    </w:p>
    <w:p w14:paraId="035F5211" w14:textId="20239E84" w:rsidR="00370460" w:rsidRPr="00D3481B" w:rsidRDefault="003405B8" w:rsidP="00752894">
      <w:pPr>
        <w:pStyle w:val="Body2"/>
        <w:spacing w:after="0" w:line="276" w:lineRule="auto"/>
        <w:rPr>
          <w:rFonts w:eastAsia="Calibri" w:cs="Times New Roman"/>
          <w:color w:val="auto"/>
          <w:sz w:val="23"/>
          <w:szCs w:val="23"/>
          <w:bdr w:val="none" w:sz="0" w:space="0" w:color="auto" w:frame="1"/>
          <w:lang w:val="lt-LT"/>
        </w:rPr>
      </w:pPr>
      <w:r w:rsidRPr="00D3481B">
        <w:rPr>
          <w:rFonts w:eastAsia="Calibri" w:cs="Times New Roman"/>
          <w:color w:val="auto"/>
          <w:sz w:val="23"/>
          <w:szCs w:val="23"/>
          <w:bdr w:val="none" w:sz="0" w:space="0" w:color="auto" w:frame="1"/>
          <w:lang w:val="lt-LT"/>
        </w:rPr>
        <w:t>2.9.</w:t>
      </w:r>
      <w:r w:rsidR="009A778E" w:rsidRPr="00D3481B">
        <w:rPr>
          <w:rFonts w:eastAsia="Calibri" w:cs="Times New Roman"/>
          <w:color w:val="auto"/>
          <w:sz w:val="23"/>
          <w:szCs w:val="23"/>
          <w:bdr w:val="none" w:sz="0" w:space="0" w:color="auto" w:frame="1"/>
          <w:lang w:val="lt-LT"/>
        </w:rPr>
        <w:t xml:space="preserve"> Paslaugų teikėjas turi užtikrinti galimybę paciento artimiesiems bet kurią dieną Paslaugų teikėjo nurodytu laiku neatlygintinai pasiimti palaikus iš saugojimo vietos.</w:t>
      </w:r>
    </w:p>
    <w:p w14:paraId="67AA2EFC" w14:textId="7092B887" w:rsidR="00370460" w:rsidRPr="00D3481B" w:rsidRDefault="0097690A" w:rsidP="00752894">
      <w:pPr>
        <w:pStyle w:val="Body2"/>
        <w:spacing w:after="0" w:line="276" w:lineRule="auto"/>
        <w:rPr>
          <w:rFonts w:eastAsia="Calibri" w:cs="Times New Roman"/>
          <w:color w:val="auto"/>
          <w:sz w:val="23"/>
          <w:szCs w:val="23"/>
          <w:bdr w:val="none" w:sz="0" w:space="0" w:color="auto" w:frame="1"/>
          <w:lang w:val="lt-LT"/>
        </w:rPr>
      </w:pPr>
      <w:r w:rsidRPr="00D3481B">
        <w:rPr>
          <w:rFonts w:eastAsia="Calibri" w:cs="Times New Roman"/>
          <w:color w:val="auto"/>
          <w:sz w:val="23"/>
          <w:szCs w:val="23"/>
          <w:bdr w:val="none" w:sz="0" w:space="0" w:color="auto" w:frame="1"/>
          <w:lang w:val="lt-LT"/>
        </w:rPr>
        <w:t>2.10. Paslaugų teikėjas turi perkelti mirusiojo kūną iš saugojimo vietos į artimųjų nurodytą transporto priemonę, nereikalaujant iš mirusiojo artimųjų papildomo mokesčio.</w:t>
      </w:r>
    </w:p>
    <w:p w14:paraId="623466C9" w14:textId="4863D7C1" w:rsidR="0097690A" w:rsidRPr="00D3481B" w:rsidRDefault="0097690A" w:rsidP="00752894">
      <w:pPr>
        <w:pStyle w:val="Body2"/>
        <w:spacing w:after="0" w:line="276" w:lineRule="auto"/>
        <w:rPr>
          <w:rFonts w:eastAsia="Calibri" w:cs="Times New Roman"/>
          <w:color w:val="auto"/>
          <w:sz w:val="23"/>
          <w:szCs w:val="23"/>
          <w:bdr w:val="none" w:sz="0" w:space="0" w:color="auto" w:frame="1"/>
          <w:lang w:val="lt-LT"/>
        </w:rPr>
      </w:pPr>
      <w:r w:rsidRPr="00D3481B">
        <w:rPr>
          <w:rFonts w:eastAsia="Calibri" w:cs="Times New Roman"/>
          <w:color w:val="auto"/>
          <w:sz w:val="23"/>
          <w:szCs w:val="23"/>
          <w:bdr w:val="none" w:sz="0" w:space="0" w:color="auto" w:frame="1"/>
          <w:lang w:val="lt-LT"/>
        </w:rPr>
        <w:t xml:space="preserve">2.11. Į paslaugos kainą turi būti įskaičiuotas mirusiojo kūno pervežimas iš saugojimo vietos į ekspertizės </w:t>
      </w:r>
      <w:r w:rsidR="007C6DB8" w:rsidRPr="00D3481B">
        <w:rPr>
          <w:rFonts w:eastAsia="Calibri" w:cs="Times New Roman"/>
          <w:color w:val="auto"/>
          <w:sz w:val="23"/>
          <w:szCs w:val="23"/>
          <w:bdr w:val="none" w:sz="0" w:space="0" w:color="auto" w:frame="1"/>
          <w:lang w:val="lt-LT"/>
        </w:rPr>
        <w:t>į</w:t>
      </w:r>
      <w:r w:rsidRPr="00D3481B">
        <w:rPr>
          <w:rFonts w:eastAsia="Calibri" w:cs="Times New Roman"/>
          <w:color w:val="auto"/>
          <w:sz w:val="23"/>
          <w:szCs w:val="23"/>
          <w:bdr w:val="none" w:sz="0" w:space="0" w:color="auto" w:frame="1"/>
          <w:lang w:val="lt-LT"/>
        </w:rPr>
        <w:t>staigą (jei v</w:t>
      </w:r>
      <w:r w:rsidR="007C6DB8" w:rsidRPr="00D3481B">
        <w:rPr>
          <w:rFonts w:eastAsia="Calibri" w:cs="Times New Roman"/>
          <w:color w:val="auto"/>
          <w:sz w:val="23"/>
          <w:szCs w:val="23"/>
          <w:bdr w:val="none" w:sz="0" w:space="0" w:color="auto" w:frame="1"/>
          <w:lang w:val="lt-LT"/>
        </w:rPr>
        <w:t>ė</w:t>
      </w:r>
      <w:r w:rsidRPr="00D3481B">
        <w:rPr>
          <w:rFonts w:eastAsia="Calibri" w:cs="Times New Roman"/>
          <w:color w:val="auto"/>
          <w:sz w:val="23"/>
          <w:szCs w:val="23"/>
          <w:bdr w:val="none" w:sz="0" w:space="0" w:color="auto" w:frame="1"/>
          <w:lang w:val="lt-LT"/>
        </w:rPr>
        <w:t>liau paskiriama ekspertizė).</w:t>
      </w:r>
    </w:p>
    <w:p w14:paraId="7A542391" w14:textId="033FC7ED" w:rsidR="00473DC2" w:rsidRPr="00D3481B" w:rsidRDefault="0097690A" w:rsidP="00473DC2">
      <w:pPr>
        <w:pStyle w:val="Body2"/>
        <w:spacing w:line="276" w:lineRule="auto"/>
        <w:rPr>
          <w:rFonts w:cs="Times New Roman"/>
          <w:b/>
          <w:sz w:val="23"/>
          <w:szCs w:val="23"/>
          <w:lang w:val="lt-LT"/>
        </w:rPr>
      </w:pPr>
      <w:r w:rsidRPr="00D3481B">
        <w:rPr>
          <w:rFonts w:cs="Times New Roman"/>
          <w:b/>
          <w:sz w:val="23"/>
          <w:szCs w:val="23"/>
          <w:lang w:val="lt-LT"/>
        </w:rPr>
        <w:t>3</w:t>
      </w:r>
      <w:r w:rsidR="00473DC2" w:rsidRPr="00D3481B">
        <w:rPr>
          <w:rFonts w:cs="Times New Roman"/>
          <w:b/>
          <w:sz w:val="23"/>
          <w:szCs w:val="23"/>
          <w:lang w:val="lt-LT"/>
        </w:rPr>
        <w:t xml:space="preserve">. Paslaugų teikėjo </w:t>
      </w:r>
      <w:r w:rsidR="007C1422" w:rsidRPr="00D3481B">
        <w:rPr>
          <w:rFonts w:cs="Times New Roman"/>
          <w:b/>
          <w:sz w:val="23"/>
          <w:szCs w:val="23"/>
          <w:lang w:val="lt-LT"/>
        </w:rPr>
        <w:t>reikalaujami parametrai ir tiekėjo siūloma paslaugos kaina:</w:t>
      </w:r>
    </w:p>
    <w:tbl>
      <w:tblPr>
        <w:tblW w:w="9762" w:type="dxa"/>
        <w:tblInd w:w="-15" w:type="dxa"/>
        <w:tblLayout w:type="fixed"/>
        <w:tblLook w:val="04A0" w:firstRow="1" w:lastRow="0" w:firstColumn="1" w:lastColumn="0" w:noHBand="0" w:noVBand="1"/>
      </w:tblPr>
      <w:tblGrid>
        <w:gridCol w:w="555"/>
        <w:gridCol w:w="427"/>
        <w:gridCol w:w="2685"/>
        <w:gridCol w:w="284"/>
        <w:gridCol w:w="1121"/>
        <w:gridCol w:w="1288"/>
        <w:gridCol w:w="142"/>
        <w:gridCol w:w="1559"/>
        <w:gridCol w:w="1701"/>
      </w:tblGrid>
      <w:tr w:rsidR="00DF582B" w:rsidRPr="00540EC0" w14:paraId="1C12F38F" w14:textId="77777777" w:rsidTr="00EC7054">
        <w:trPr>
          <w:trHeight w:val="725"/>
        </w:trPr>
        <w:tc>
          <w:tcPr>
            <w:tcW w:w="555" w:type="dxa"/>
            <w:tcBorders>
              <w:top w:val="single" w:sz="4" w:space="0" w:color="auto"/>
              <w:left w:val="single" w:sz="4" w:space="0" w:color="auto"/>
              <w:bottom w:val="single" w:sz="4" w:space="0" w:color="auto"/>
              <w:right w:val="single" w:sz="4" w:space="0" w:color="auto"/>
            </w:tcBorders>
            <w:vAlign w:val="center"/>
            <w:hideMark/>
          </w:tcPr>
          <w:p w14:paraId="08E56D9C" w14:textId="77777777" w:rsidR="00DF582B" w:rsidRPr="00D3481B" w:rsidRDefault="00DF582B" w:rsidP="00641A3B">
            <w:pPr>
              <w:pStyle w:val="Body2"/>
              <w:spacing w:line="276" w:lineRule="auto"/>
              <w:rPr>
                <w:rFonts w:cs="Times New Roman"/>
                <w:b/>
                <w:bCs/>
                <w:sz w:val="23"/>
                <w:szCs w:val="23"/>
                <w:lang w:val="lt-LT"/>
              </w:rPr>
            </w:pPr>
            <w:r w:rsidRPr="00D3481B">
              <w:rPr>
                <w:rFonts w:cs="Times New Roman"/>
                <w:b/>
                <w:bCs/>
                <w:sz w:val="23"/>
                <w:szCs w:val="23"/>
                <w:lang w:val="lt-LT"/>
              </w:rPr>
              <w:t>Eil. Nr.</w:t>
            </w:r>
          </w:p>
        </w:tc>
        <w:tc>
          <w:tcPr>
            <w:tcW w:w="3396" w:type="dxa"/>
            <w:gridSpan w:val="3"/>
            <w:tcBorders>
              <w:top w:val="single" w:sz="4" w:space="0" w:color="auto"/>
              <w:left w:val="single" w:sz="4" w:space="0" w:color="auto"/>
              <w:bottom w:val="single" w:sz="4" w:space="0" w:color="auto"/>
              <w:right w:val="single" w:sz="4" w:space="0" w:color="auto"/>
            </w:tcBorders>
            <w:vAlign w:val="center"/>
            <w:hideMark/>
          </w:tcPr>
          <w:p w14:paraId="64AABDEE" w14:textId="77777777" w:rsidR="00DF582B" w:rsidRPr="00D3481B" w:rsidRDefault="00DF582B" w:rsidP="00DF582B">
            <w:pPr>
              <w:pStyle w:val="Body2"/>
              <w:spacing w:line="276" w:lineRule="auto"/>
              <w:jc w:val="center"/>
              <w:rPr>
                <w:rFonts w:cs="Times New Roman"/>
                <w:b/>
                <w:bCs/>
                <w:sz w:val="23"/>
                <w:szCs w:val="23"/>
                <w:lang w:val="lt-LT"/>
              </w:rPr>
            </w:pPr>
            <w:r w:rsidRPr="00D3481B">
              <w:rPr>
                <w:rFonts w:cs="Times New Roman"/>
                <w:b/>
                <w:bCs/>
                <w:sz w:val="23"/>
                <w:szCs w:val="23"/>
                <w:lang w:val="lt-LT"/>
              </w:rPr>
              <w:t>Paslaugų pavadinimas</w:t>
            </w:r>
          </w:p>
        </w:tc>
        <w:tc>
          <w:tcPr>
            <w:tcW w:w="1121" w:type="dxa"/>
            <w:tcBorders>
              <w:top w:val="single" w:sz="8" w:space="0" w:color="000000"/>
              <w:left w:val="single" w:sz="8" w:space="0" w:color="000000"/>
              <w:bottom w:val="single" w:sz="8" w:space="0" w:color="000000"/>
              <w:right w:val="single" w:sz="8" w:space="0" w:color="000000"/>
            </w:tcBorders>
            <w:vAlign w:val="center"/>
            <w:hideMark/>
          </w:tcPr>
          <w:p w14:paraId="05453F83" w14:textId="5C7D23CA" w:rsidR="00DF582B" w:rsidRPr="00D3481B" w:rsidRDefault="00DF582B" w:rsidP="00DF582B">
            <w:pPr>
              <w:pStyle w:val="Body2"/>
              <w:spacing w:line="276" w:lineRule="auto"/>
              <w:jc w:val="center"/>
              <w:rPr>
                <w:rFonts w:cs="Times New Roman"/>
                <w:b/>
                <w:bCs/>
                <w:sz w:val="23"/>
                <w:szCs w:val="23"/>
                <w:lang w:val="lt-LT"/>
              </w:rPr>
            </w:pPr>
            <w:r w:rsidRPr="00D3481B">
              <w:rPr>
                <w:rFonts w:cs="Times New Roman"/>
                <w:b/>
                <w:bCs/>
                <w:sz w:val="23"/>
                <w:szCs w:val="23"/>
                <w:lang w:val="lt-LT"/>
              </w:rPr>
              <w:t>Mato vnt.</w:t>
            </w:r>
          </w:p>
        </w:tc>
        <w:tc>
          <w:tcPr>
            <w:tcW w:w="1430" w:type="dxa"/>
            <w:gridSpan w:val="2"/>
            <w:tcBorders>
              <w:top w:val="single" w:sz="8" w:space="0" w:color="000000"/>
              <w:left w:val="nil"/>
              <w:bottom w:val="single" w:sz="8" w:space="0" w:color="000000"/>
              <w:right w:val="single" w:sz="8" w:space="0" w:color="000000"/>
            </w:tcBorders>
            <w:vAlign w:val="center"/>
            <w:hideMark/>
          </w:tcPr>
          <w:p w14:paraId="4CA23538" w14:textId="00417E43" w:rsidR="00DF582B" w:rsidRPr="00D3481B" w:rsidRDefault="00DF582B" w:rsidP="00BA6896">
            <w:pPr>
              <w:pStyle w:val="Body2"/>
              <w:spacing w:line="276" w:lineRule="auto"/>
              <w:jc w:val="center"/>
              <w:rPr>
                <w:rFonts w:cs="Times New Roman"/>
                <w:b/>
                <w:bCs/>
                <w:sz w:val="23"/>
                <w:szCs w:val="23"/>
                <w:lang w:val="lt-LT"/>
              </w:rPr>
            </w:pPr>
            <w:r w:rsidRPr="00D3481B">
              <w:rPr>
                <w:rFonts w:cs="Times New Roman"/>
                <w:b/>
                <w:bCs/>
                <w:sz w:val="23"/>
                <w:szCs w:val="23"/>
                <w:lang w:val="lt-LT"/>
              </w:rPr>
              <w:t xml:space="preserve">Maksimalus </w:t>
            </w:r>
            <w:r w:rsidR="00BE708A" w:rsidRPr="00D3481B">
              <w:rPr>
                <w:rFonts w:cs="Times New Roman"/>
                <w:b/>
                <w:bCs/>
                <w:color w:val="auto"/>
                <w:sz w:val="23"/>
                <w:szCs w:val="23"/>
                <w:lang w:val="lt-LT"/>
              </w:rPr>
              <w:t xml:space="preserve">mato vnt. </w:t>
            </w:r>
            <w:r w:rsidRPr="00D3481B">
              <w:rPr>
                <w:rFonts w:cs="Times New Roman"/>
                <w:b/>
                <w:bCs/>
                <w:color w:val="auto"/>
                <w:sz w:val="23"/>
                <w:szCs w:val="23"/>
                <w:lang w:val="lt-LT"/>
              </w:rPr>
              <w:t xml:space="preserve">kiekis per </w:t>
            </w:r>
            <w:r w:rsidR="007C6DB8" w:rsidRPr="00D3481B">
              <w:rPr>
                <w:rFonts w:cs="Times New Roman"/>
                <w:b/>
                <w:bCs/>
                <w:color w:val="auto"/>
                <w:sz w:val="23"/>
                <w:szCs w:val="23"/>
                <w:lang w:val="lt-LT"/>
              </w:rPr>
              <w:t>36</w:t>
            </w:r>
            <w:r w:rsidRPr="00D3481B">
              <w:rPr>
                <w:rFonts w:cs="Times New Roman"/>
                <w:b/>
                <w:bCs/>
                <w:sz w:val="23"/>
                <w:szCs w:val="23"/>
                <w:lang w:val="lt-LT"/>
              </w:rPr>
              <w:t xml:space="preserve"> mėn.</w:t>
            </w:r>
          </w:p>
        </w:tc>
        <w:tc>
          <w:tcPr>
            <w:tcW w:w="1559" w:type="dxa"/>
            <w:tcBorders>
              <w:top w:val="single" w:sz="8" w:space="0" w:color="000000"/>
              <w:left w:val="nil"/>
              <w:bottom w:val="single" w:sz="8" w:space="0" w:color="000000"/>
              <w:right w:val="single" w:sz="8" w:space="0" w:color="000000"/>
            </w:tcBorders>
            <w:vAlign w:val="center"/>
            <w:hideMark/>
          </w:tcPr>
          <w:p w14:paraId="0FD26761" w14:textId="1834E01C" w:rsidR="00DF582B" w:rsidRPr="00D3481B" w:rsidRDefault="00DF582B" w:rsidP="00DF582B">
            <w:pPr>
              <w:pStyle w:val="Body2"/>
              <w:spacing w:line="276" w:lineRule="auto"/>
              <w:jc w:val="center"/>
              <w:rPr>
                <w:rFonts w:cs="Times New Roman"/>
                <w:b/>
                <w:bCs/>
                <w:sz w:val="23"/>
                <w:szCs w:val="23"/>
                <w:lang w:val="lt-LT"/>
              </w:rPr>
            </w:pPr>
            <w:r w:rsidRPr="00D3481B">
              <w:rPr>
                <w:rFonts w:cs="Times New Roman"/>
                <w:b/>
                <w:bCs/>
                <w:sz w:val="23"/>
                <w:szCs w:val="23"/>
                <w:lang w:val="lt-LT"/>
              </w:rPr>
              <w:t xml:space="preserve">Mato vnt. </w:t>
            </w:r>
            <w:r w:rsidR="003C73EC" w:rsidRPr="00D3481B">
              <w:rPr>
                <w:rFonts w:cs="Times New Roman"/>
                <w:b/>
                <w:bCs/>
                <w:sz w:val="23"/>
                <w:szCs w:val="23"/>
                <w:lang w:val="lt-LT"/>
              </w:rPr>
              <w:t xml:space="preserve">fiksuotas </w:t>
            </w:r>
            <w:r w:rsidRPr="00D3481B">
              <w:rPr>
                <w:rFonts w:cs="Times New Roman"/>
                <w:b/>
                <w:bCs/>
                <w:sz w:val="23"/>
                <w:szCs w:val="23"/>
                <w:lang w:val="lt-LT"/>
              </w:rPr>
              <w:t>įkainis EUR be PVM</w:t>
            </w:r>
          </w:p>
        </w:tc>
        <w:tc>
          <w:tcPr>
            <w:tcW w:w="1701" w:type="dxa"/>
            <w:tcBorders>
              <w:top w:val="single" w:sz="4" w:space="0" w:color="auto"/>
              <w:left w:val="single" w:sz="4" w:space="0" w:color="auto"/>
              <w:bottom w:val="single" w:sz="4" w:space="0" w:color="auto"/>
              <w:right w:val="single" w:sz="4" w:space="0" w:color="auto"/>
            </w:tcBorders>
            <w:hideMark/>
          </w:tcPr>
          <w:p w14:paraId="360C86DB" w14:textId="77777777" w:rsidR="00BE708A" w:rsidRPr="00D3481B" w:rsidRDefault="00BE708A" w:rsidP="00DF582B">
            <w:pPr>
              <w:pStyle w:val="Body2"/>
              <w:spacing w:line="276" w:lineRule="auto"/>
              <w:jc w:val="center"/>
              <w:rPr>
                <w:rFonts w:cs="Times New Roman"/>
                <w:b/>
                <w:bCs/>
                <w:sz w:val="23"/>
                <w:szCs w:val="23"/>
                <w:lang w:val="lt-LT"/>
              </w:rPr>
            </w:pPr>
          </w:p>
          <w:p w14:paraId="15D4B43B" w14:textId="6F429043" w:rsidR="00DF582B" w:rsidRPr="00D3481B" w:rsidRDefault="00DF582B" w:rsidP="00DF582B">
            <w:pPr>
              <w:pStyle w:val="Body2"/>
              <w:spacing w:line="276" w:lineRule="auto"/>
              <w:jc w:val="center"/>
              <w:rPr>
                <w:rFonts w:cs="Times New Roman"/>
                <w:b/>
                <w:bCs/>
                <w:sz w:val="23"/>
                <w:szCs w:val="23"/>
                <w:lang w:val="lt-LT"/>
              </w:rPr>
            </w:pPr>
            <w:r w:rsidRPr="00D3481B">
              <w:rPr>
                <w:rFonts w:cs="Times New Roman"/>
                <w:b/>
                <w:bCs/>
                <w:sz w:val="23"/>
                <w:szCs w:val="23"/>
                <w:lang w:val="lt-LT"/>
              </w:rPr>
              <w:t>Viso kiekio kaina EUR be PVM</w:t>
            </w:r>
          </w:p>
        </w:tc>
      </w:tr>
      <w:tr w:rsidR="00DF582B" w:rsidRPr="00540EC0" w14:paraId="72838EC0" w14:textId="77777777" w:rsidTr="00EC7054">
        <w:trPr>
          <w:trHeight w:val="512"/>
        </w:trPr>
        <w:tc>
          <w:tcPr>
            <w:tcW w:w="555" w:type="dxa"/>
            <w:tcBorders>
              <w:top w:val="single" w:sz="4" w:space="0" w:color="auto"/>
              <w:left w:val="single" w:sz="4" w:space="0" w:color="auto"/>
              <w:bottom w:val="single" w:sz="4" w:space="0" w:color="auto"/>
              <w:right w:val="single" w:sz="4" w:space="0" w:color="auto"/>
            </w:tcBorders>
            <w:noWrap/>
            <w:vAlign w:val="center"/>
            <w:hideMark/>
          </w:tcPr>
          <w:p w14:paraId="1E166A4D" w14:textId="77777777" w:rsidR="00DF582B" w:rsidRPr="00D3481B" w:rsidRDefault="00DF582B" w:rsidP="00641A3B">
            <w:pPr>
              <w:pStyle w:val="Body2"/>
              <w:spacing w:line="276" w:lineRule="auto"/>
              <w:rPr>
                <w:rFonts w:cs="Times New Roman"/>
                <w:bCs/>
                <w:sz w:val="23"/>
                <w:szCs w:val="23"/>
                <w:lang w:val="lt-LT"/>
              </w:rPr>
            </w:pPr>
            <w:r w:rsidRPr="00D3481B">
              <w:rPr>
                <w:rFonts w:cs="Times New Roman"/>
                <w:bCs/>
                <w:sz w:val="23"/>
                <w:szCs w:val="23"/>
                <w:lang w:val="lt-LT"/>
              </w:rPr>
              <w:t>1.</w:t>
            </w:r>
          </w:p>
        </w:tc>
        <w:tc>
          <w:tcPr>
            <w:tcW w:w="3396" w:type="dxa"/>
            <w:gridSpan w:val="3"/>
            <w:tcBorders>
              <w:top w:val="single" w:sz="4" w:space="0" w:color="auto"/>
              <w:left w:val="single" w:sz="4" w:space="0" w:color="auto"/>
              <w:bottom w:val="single" w:sz="4" w:space="0" w:color="auto"/>
              <w:right w:val="single" w:sz="4" w:space="0" w:color="auto"/>
            </w:tcBorders>
            <w:vAlign w:val="center"/>
            <w:hideMark/>
          </w:tcPr>
          <w:p w14:paraId="5CF8CC09" w14:textId="791B9303" w:rsidR="00DF582B" w:rsidRPr="00D3481B" w:rsidRDefault="007C6DB8" w:rsidP="00D04CD1">
            <w:pPr>
              <w:snapToGrid w:val="0"/>
              <w:rPr>
                <w:noProof/>
                <w:sz w:val="23"/>
                <w:szCs w:val="23"/>
              </w:rPr>
            </w:pPr>
            <w:r w:rsidRPr="00D3481B">
              <w:rPr>
                <w:sz w:val="23"/>
                <w:szCs w:val="23"/>
              </w:rPr>
              <w:t>Mirusiųjų transportavimo ir laikino saugojimo paslaugos (atitinkančios šios techninės specifikacijos reikalavimus)</w:t>
            </w:r>
          </w:p>
        </w:tc>
        <w:tc>
          <w:tcPr>
            <w:tcW w:w="1121" w:type="dxa"/>
            <w:tcBorders>
              <w:top w:val="single" w:sz="4" w:space="0" w:color="auto"/>
              <w:left w:val="single" w:sz="4" w:space="0" w:color="auto"/>
              <w:bottom w:val="single" w:sz="4" w:space="0" w:color="auto"/>
              <w:right w:val="single" w:sz="4" w:space="0" w:color="auto"/>
            </w:tcBorders>
            <w:vAlign w:val="center"/>
            <w:hideMark/>
          </w:tcPr>
          <w:p w14:paraId="4FB85AB9" w14:textId="6F0A4218" w:rsidR="00DF582B" w:rsidRPr="00D3481B" w:rsidRDefault="007C6DB8" w:rsidP="00641A3B">
            <w:pPr>
              <w:pStyle w:val="Body2"/>
              <w:spacing w:line="276" w:lineRule="auto"/>
              <w:jc w:val="center"/>
              <w:rPr>
                <w:rFonts w:cs="Times New Roman"/>
                <w:sz w:val="23"/>
                <w:szCs w:val="23"/>
                <w:lang w:val="lt-LT"/>
              </w:rPr>
            </w:pPr>
            <w:r w:rsidRPr="00D3481B">
              <w:rPr>
                <w:rFonts w:cs="Times New Roman"/>
                <w:sz w:val="23"/>
                <w:szCs w:val="23"/>
                <w:lang w:val="lt-LT"/>
              </w:rPr>
              <w:t>para</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14:paraId="6E7D42CC" w14:textId="2846B9D5" w:rsidR="00DF582B" w:rsidRPr="00D3481B" w:rsidRDefault="000E430A" w:rsidP="00641A3B">
            <w:pPr>
              <w:pStyle w:val="Body2"/>
              <w:spacing w:line="276" w:lineRule="auto"/>
              <w:jc w:val="center"/>
              <w:rPr>
                <w:rFonts w:cs="Times New Roman"/>
                <w:sz w:val="23"/>
                <w:szCs w:val="23"/>
                <w:lang w:val="lt-LT"/>
              </w:rPr>
            </w:pPr>
            <w:r w:rsidRPr="00D3481B">
              <w:rPr>
                <w:rFonts w:cs="Times New Roman"/>
                <w:sz w:val="23"/>
                <w:szCs w:val="23"/>
                <w:lang w:val="lt-LT"/>
              </w:rPr>
              <w:t>1095</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872E9" w14:textId="77777777" w:rsidR="00DF582B" w:rsidRPr="00D3481B" w:rsidRDefault="00DF582B" w:rsidP="00641A3B">
            <w:pPr>
              <w:pStyle w:val="Body2"/>
              <w:spacing w:line="276" w:lineRule="auto"/>
              <w:jc w:val="center"/>
              <w:rPr>
                <w:rFonts w:cs="Times New Roman"/>
                <w:sz w:val="23"/>
                <w:szCs w:val="23"/>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D3693" w14:textId="77777777" w:rsidR="00DF582B" w:rsidRPr="00D3481B" w:rsidRDefault="00DF582B" w:rsidP="00641A3B">
            <w:pPr>
              <w:pStyle w:val="Body2"/>
              <w:spacing w:line="276" w:lineRule="auto"/>
              <w:jc w:val="center"/>
              <w:rPr>
                <w:rFonts w:cs="Times New Roman"/>
                <w:sz w:val="23"/>
                <w:szCs w:val="23"/>
                <w:lang w:val="lt-LT"/>
              </w:rPr>
            </w:pPr>
          </w:p>
        </w:tc>
      </w:tr>
      <w:tr w:rsidR="00473DC2" w:rsidRPr="00540EC0" w14:paraId="26F5B197" w14:textId="77777777" w:rsidTr="00EC7054">
        <w:trPr>
          <w:trHeight w:val="434"/>
        </w:trPr>
        <w:tc>
          <w:tcPr>
            <w:tcW w:w="982" w:type="dxa"/>
            <w:gridSpan w:val="2"/>
          </w:tcPr>
          <w:p w14:paraId="3C08446D" w14:textId="77777777" w:rsidR="00473DC2" w:rsidRPr="00D3481B" w:rsidRDefault="00473DC2" w:rsidP="00641A3B">
            <w:pPr>
              <w:pStyle w:val="Body2"/>
              <w:spacing w:line="276" w:lineRule="auto"/>
              <w:jc w:val="right"/>
              <w:rPr>
                <w:rFonts w:cs="Times New Roman"/>
                <w:sz w:val="23"/>
                <w:szCs w:val="23"/>
                <w:lang w:val="lt-LT"/>
              </w:rPr>
            </w:pPr>
          </w:p>
        </w:tc>
        <w:tc>
          <w:tcPr>
            <w:tcW w:w="7079" w:type="dxa"/>
            <w:gridSpan w:val="6"/>
            <w:tcBorders>
              <w:top w:val="single" w:sz="4" w:space="0" w:color="auto"/>
              <w:left w:val="nil"/>
              <w:bottom w:val="nil"/>
              <w:right w:val="single" w:sz="8" w:space="0" w:color="000000"/>
            </w:tcBorders>
            <w:noWrap/>
            <w:vAlign w:val="center"/>
            <w:hideMark/>
          </w:tcPr>
          <w:p w14:paraId="2435D9FF" w14:textId="77777777" w:rsidR="00473DC2" w:rsidRPr="00D3481B" w:rsidRDefault="00473DC2" w:rsidP="00641A3B">
            <w:pPr>
              <w:pStyle w:val="Body2"/>
              <w:spacing w:line="276" w:lineRule="auto"/>
              <w:jc w:val="right"/>
              <w:rPr>
                <w:rFonts w:cs="Times New Roman"/>
                <w:sz w:val="23"/>
                <w:szCs w:val="23"/>
                <w:lang w:val="lt-LT"/>
              </w:rPr>
            </w:pPr>
            <w:r w:rsidRPr="00D3481B">
              <w:rPr>
                <w:rFonts w:cs="Times New Roman"/>
                <w:sz w:val="23"/>
                <w:szCs w:val="23"/>
                <w:lang w:val="lt-LT"/>
              </w:rPr>
              <w:t>Bendra kaina, EUR be PVM:</w:t>
            </w:r>
          </w:p>
        </w:tc>
        <w:tc>
          <w:tcPr>
            <w:tcW w:w="1701" w:type="dxa"/>
            <w:tcBorders>
              <w:top w:val="single" w:sz="4" w:space="0" w:color="auto"/>
              <w:left w:val="nil"/>
              <w:bottom w:val="single" w:sz="8" w:space="0" w:color="auto"/>
              <w:right w:val="single" w:sz="8" w:space="0" w:color="auto"/>
            </w:tcBorders>
            <w:shd w:val="clear" w:color="auto" w:fill="D9D9D9" w:themeFill="background1" w:themeFillShade="D9"/>
            <w:noWrap/>
            <w:vAlign w:val="center"/>
          </w:tcPr>
          <w:p w14:paraId="40F8E1A8" w14:textId="77777777" w:rsidR="00473DC2" w:rsidRPr="00D3481B" w:rsidRDefault="00473DC2" w:rsidP="00641A3B">
            <w:pPr>
              <w:pStyle w:val="Body2"/>
              <w:spacing w:line="276" w:lineRule="auto"/>
              <w:jc w:val="center"/>
              <w:rPr>
                <w:rFonts w:cs="Times New Roman"/>
                <w:b/>
                <w:sz w:val="23"/>
                <w:szCs w:val="23"/>
                <w:lang w:val="lt-LT"/>
              </w:rPr>
            </w:pPr>
          </w:p>
        </w:tc>
      </w:tr>
      <w:tr w:rsidR="00473DC2" w:rsidRPr="00540EC0" w14:paraId="29D44949" w14:textId="77777777" w:rsidTr="00EC7054">
        <w:trPr>
          <w:trHeight w:val="290"/>
        </w:trPr>
        <w:tc>
          <w:tcPr>
            <w:tcW w:w="3951" w:type="dxa"/>
            <w:gridSpan w:val="4"/>
            <w:noWrap/>
            <w:vAlign w:val="center"/>
            <w:hideMark/>
          </w:tcPr>
          <w:p w14:paraId="3AAAB33D" w14:textId="77777777" w:rsidR="00473DC2" w:rsidRPr="00D3481B" w:rsidRDefault="00473DC2" w:rsidP="00641A3B">
            <w:pPr>
              <w:pStyle w:val="Body2"/>
              <w:spacing w:line="276" w:lineRule="auto"/>
              <w:jc w:val="right"/>
              <w:rPr>
                <w:rFonts w:cs="Times New Roman"/>
                <w:sz w:val="23"/>
                <w:szCs w:val="23"/>
                <w:lang w:val="lt-LT"/>
              </w:rPr>
            </w:pPr>
            <w:r w:rsidRPr="00D3481B">
              <w:rPr>
                <w:rFonts w:cs="Times New Roman"/>
                <w:sz w:val="23"/>
                <w:szCs w:val="23"/>
                <w:lang w:val="lt-LT"/>
              </w:rPr>
              <w:t>PVM tarifas* (%):</w:t>
            </w:r>
          </w:p>
        </w:tc>
        <w:tc>
          <w:tcPr>
            <w:tcW w:w="1121"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41AB0CA4" w14:textId="77777777" w:rsidR="00473DC2" w:rsidRPr="00D3481B" w:rsidRDefault="00473DC2" w:rsidP="00641A3B">
            <w:pPr>
              <w:rPr>
                <w:sz w:val="23"/>
                <w:szCs w:val="23"/>
              </w:rPr>
            </w:pPr>
          </w:p>
        </w:tc>
        <w:tc>
          <w:tcPr>
            <w:tcW w:w="2989" w:type="dxa"/>
            <w:gridSpan w:val="3"/>
            <w:hideMark/>
          </w:tcPr>
          <w:p w14:paraId="5A10D57B" w14:textId="77777777" w:rsidR="00473DC2" w:rsidRPr="00D3481B" w:rsidRDefault="00473DC2" w:rsidP="00641A3B">
            <w:pPr>
              <w:pStyle w:val="Body2"/>
              <w:spacing w:line="276" w:lineRule="auto"/>
              <w:rPr>
                <w:rFonts w:cs="Times New Roman"/>
                <w:sz w:val="23"/>
                <w:szCs w:val="23"/>
                <w:lang w:val="lt-LT"/>
              </w:rPr>
            </w:pPr>
            <w:r w:rsidRPr="00D3481B">
              <w:rPr>
                <w:rFonts w:cs="Times New Roman"/>
                <w:sz w:val="23"/>
                <w:szCs w:val="23"/>
                <w:lang w:val="lt-LT"/>
              </w:rPr>
              <w:t>PVM suma, EUR:</w:t>
            </w:r>
          </w:p>
        </w:tc>
        <w:tc>
          <w:tcPr>
            <w:tcW w:w="1701" w:type="dxa"/>
            <w:tcBorders>
              <w:top w:val="nil"/>
              <w:left w:val="single" w:sz="8" w:space="0" w:color="auto"/>
              <w:bottom w:val="single" w:sz="8" w:space="0" w:color="auto"/>
              <w:right w:val="single" w:sz="8" w:space="0" w:color="auto"/>
            </w:tcBorders>
            <w:shd w:val="clear" w:color="auto" w:fill="D9D9D9" w:themeFill="background1" w:themeFillShade="D9"/>
            <w:noWrap/>
            <w:vAlign w:val="center"/>
          </w:tcPr>
          <w:p w14:paraId="52DAAAB8" w14:textId="77777777" w:rsidR="00473DC2" w:rsidRPr="00D3481B" w:rsidRDefault="00473DC2" w:rsidP="00641A3B">
            <w:pPr>
              <w:pStyle w:val="Body2"/>
              <w:spacing w:line="276" w:lineRule="auto"/>
              <w:jc w:val="center"/>
              <w:rPr>
                <w:rFonts w:cs="Times New Roman"/>
                <w:sz w:val="23"/>
                <w:szCs w:val="23"/>
                <w:lang w:val="lt-LT"/>
              </w:rPr>
            </w:pPr>
          </w:p>
        </w:tc>
      </w:tr>
      <w:tr w:rsidR="00473DC2" w:rsidRPr="00540EC0" w14:paraId="6BC17CA3" w14:textId="77777777" w:rsidTr="00EC7054">
        <w:trPr>
          <w:trHeight w:val="339"/>
        </w:trPr>
        <w:tc>
          <w:tcPr>
            <w:tcW w:w="982" w:type="dxa"/>
            <w:gridSpan w:val="2"/>
          </w:tcPr>
          <w:p w14:paraId="500C3356" w14:textId="77777777" w:rsidR="00473DC2" w:rsidRPr="00D3481B" w:rsidRDefault="00473DC2" w:rsidP="00641A3B">
            <w:pPr>
              <w:pStyle w:val="Body2"/>
              <w:spacing w:line="276" w:lineRule="auto"/>
              <w:jc w:val="right"/>
              <w:rPr>
                <w:rFonts w:cs="Times New Roman"/>
                <w:sz w:val="23"/>
                <w:szCs w:val="23"/>
                <w:lang w:val="lt-LT"/>
              </w:rPr>
            </w:pPr>
          </w:p>
        </w:tc>
        <w:tc>
          <w:tcPr>
            <w:tcW w:w="7079" w:type="dxa"/>
            <w:gridSpan w:val="6"/>
            <w:tcBorders>
              <w:top w:val="nil"/>
              <w:left w:val="nil"/>
              <w:bottom w:val="nil"/>
              <w:right w:val="single" w:sz="8" w:space="0" w:color="000000"/>
            </w:tcBorders>
            <w:noWrap/>
            <w:vAlign w:val="center"/>
            <w:hideMark/>
          </w:tcPr>
          <w:p w14:paraId="7F1A3E75" w14:textId="77777777" w:rsidR="00473DC2" w:rsidRPr="00D3481B" w:rsidRDefault="00473DC2" w:rsidP="00641A3B">
            <w:pPr>
              <w:pStyle w:val="Body2"/>
              <w:spacing w:line="276" w:lineRule="auto"/>
              <w:jc w:val="right"/>
              <w:rPr>
                <w:rFonts w:cs="Times New Roman"/>
                <w:sz w:val="23"/>
                <w:szCs w:val="23"/>
                <w:lang w:val="lt-LT"/>
              </w:rPr>
            </w:pPr>
            <w:r w:rsidRPr="00D3481B">
              <w:rPr>
                <w:rFonts w:cs="Times New Roman"/>
                <w:sz w:val="23"/>
                <w:szCs w:val="23"/>
                <w:lang w:val="lt-LT"/>
              </w:rPr>
              <w:t>Bendra kaina, EUR su PVM:</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tcPr>
          <w:p w14:paraId="2CDB1500" w14:textId="77777777" w:rsidR="00473DC2" w:rsidRPr="00D3481B" w:rsidRDefault="00473DC2" w:rsidP="00641A3B">
            <w:pPr>
              <w:pStyle w:val="Body2"/>
              <w:spacing w:line="276" w:lineRule="auto"/>
              <w:jc w:val="center"/>
              <w:rPr>
                <w:rFonts w:cs="Times New Roman"/>
                <w:b/>
                <w:sz w:val="23"/>
                <w:szCs w:val="23"/>
                <w:lang w:val="lt-LT"/>
              </w:rPr>
            </w:pPr>
          </w:p>
        </w:tc>
      </w:tr>
      <w:tr w:rsidR="00473DC2" w:rsidRPr="00540EC0" w14:paraId="5BB9FDCE" w14:textId="77777777" w:rsidTr="00EC7054">
        <w:trPr>
          <w:trHeight w:val="592"/>
        </w:trPr>
        <w:tc>
          <w:tcPr>
            <w:tcW w:w="9762" w:type="dxa"/>
            <w:gridSpan w:val="9"/>
            <w:shd w:val="clear" w:color="auto" w:fill="FFFFFF"/>
            <w:vAlign w:val="center"/>
          </w:tcPr>
          <w:p w14:paraId="78D758AC" w14:textId="77777777" w:rsidR="00473DC2" w:rsidRPr="00540EC0" w:rsidRDefault="00473DC2" w:rsidP="00641A3B">
            <w:pPr>
              <w:jc w:val="both"/>
              <w:rPr>
                <w:noProof/>
                <w:sz w:val="23"/>
                <w:szCs w:val="23"/>
                <w:lang w:val="en-US"/>
              </w:rPr>
            </w:pPr>
            <w:r w:rsidRPr="00D3481B">
              <w:rPr>
                <w:noProof/>
                <w:sz w:val="23"/>
                <w:szCs w:val="23"/>
                <w:lang w:val="en-US"/>
              </w:rPr>
              <w:t>* Tais atvejais, kai pagal galiojančius teisės aktus tiekėjui nereikia mokėti PVM, teikėjas privalo su pasiūlymu pateikti laisvos formos raštą dėl PVM netaikymo pagrindo.</w:t>
            </w:r>
          </w:p>
          <w:p w14:paraId="7871A835" w14:textId="77777777" w:rsidR="00473DC2" w:rsidRPr="00D3481B" w:rsidRDefault="00473DC2" w:rsidP="00641A3B">
            <w:pPr>
              <w:jc w:val="both"/>
              <w:rPr>
                <w:b/>
                <w:bCs/>
                <w:noProof/>
                <w:sz w:val="23"/>
                <w:szCs w:val="23"/>
                <w:lang w:val="en-US"/>
              </w:rPr>
            </w:pPr>
          </w:p>
          <w:p w14:paraId="0425ABB3" w14:textId="77777777" w:rsidR="007C6DB8" w:rsidRPr="00D3481B" w:rsidRDefault="007C6DB8" w:rsidP="00641A3B">
            <w:pPr>
              <w:jc w:val="both"/>
              <w:rPr>
                <w:b/>
                <w:bCs/>
                <w:noProof/>
                <w:sz w:val="23"/>
                <w:szCs w:val="23"/>
                <w:lang w:val="en-US"/>
              </w:rPr>
            </w:pPr>
          </w:p>
          <w:p w14:paraId="3B4EDE7C" w14:textId="77777777" w:rsidR="00473DC2" w:rsidRPr="00D3481B" w:rsidRDefault="00473DC2" w:rsidP="00641A3B">
            <w:pPr>
              <w:jc w:val="both"/>
              <w:rPr>
                <w:b/>
                <w:bCs/>
                <w:noProof/>
                <w:sz w:val="23"/>
                <w:szCs w:val="23"/>
                <w:lang w:val="en-US"/>
              </w:rPr>
            </w:pPr>
            <w:r w:rsidRPr="00D3481B">
              <w:rPr>
                <w:b/>
                <w:bCs/>
                <w:noProof/>
                <w:sz w:val="23"/>
                <w:szCs w:val="23"/>
                <w:lang w:val="en-US"/>
              </w:rPr>
              <w:lastRenderedPageBreak/>
              <w:t>Pasiūlymo priedai:</w:t>
            </w:r>
          </w:p>
        </w:tc>
      </w:tr>
      <w:tr w:rsidR="00473DC2" w:rsidRPr="00540EC0" w14:paraId="3E03935F" w14:textId="77777777" w:rsidTr="00EC7054">
        <w:trPr>
          <w:trHeight w:val="351"/>
        </w:trPr>
        <w:tc>
          <w:tcPr>
            <w:tcW w:w="3667"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4AC1F9" w14:textId="77777777" w:rsidR="00473DC2" w:rsidRPr="00D3481B" w:rsidRDefault="00473DC2" w:rsidP="00641A3B">
            <w:pPr>
              <w:jc w:val="both"/>
              <w:rPr>
                <w:noProof/>
                <w:sz w:val="23"/>
                <w:szCs w:val="23"/>
                <w:lang w:val="en-US"/>
              </w:rPr>
            </w:pPr>
            <w:r w:rsidRPr="00D3481B">
              <w:rPr>
                <w:noProof/>
                <w:sz w:val="23"/>
                <w:szCs w:val="23"/>
                <w:lang w:val="en-US"/>
              </w:rPr>
              <w:lastRenderedPageBreak/>
              <w:t>Dokumento pavadinimas</w:t>
            </w:r>
          </w:p>
        </w:tc>
        <w:tc>
          <w:tcPr>
            <w:tcW w:w="2693" w:type="dxa"/>
            <w:gridSpan w:val="3"/>
            <w:tcBorders>
              <w:top w:val="single" w:sz="4" w:space="0" w:color="auto"/>
              <w:left w:val="nil"/>
              <w:bottom w:val="single" w:sz="4" w:space="0" w:color="auto"/>
              <w:right w:val="single" w:sz="4" w:space="0" w:color="auto"/>
            </w:tcBorders>
            <w:shd w:val="clear" w:color="auto" w:fill="FFFFFF"/>
            <w:vAlign w:val="center"/>
            <w:hideMark/>
          </w:tcPr>
          <w:p w14:paraId="140023C8" w14:textId="77777777" w:rsidR="00473DC2" w:rsidRPr="00D3481B" w:rsidRDefault="00473DC2" w:rsidP="00641A3B">
            <w:pPr>
              <w:jc w:val="both"/>
              <w:rPr>
                <w:noProof/>
                <w:sz w:val="23"/>
                <w:szCs w:val="23"/>
                <w:lang w:val="en-US"/>
              </w:rPr>
            </w:pPr>
            <w:r w:rsidRPr="00D3481B">
              <w:rPr>
                <w:noProof/>
                <w:sz w:val="23"/>
                <w:szCs w:val="23"/>
                <w:lang w:val="en-US"/>
              </w:rPr>
              <w:t>Lapų skaičius</w:t>
            </w:r>
          </w:p>
        </w:tc>
        <w:tc>
          <w:tcPr>
            <w:tcW w:w="3402" w:type="dxa"/>
            <w:gridSpan w:val="3"/>
            <w:tcBorders>
              <w:top w:val="single" w:sz="4" w:space="0" w:color="auto"/>
              <w:left w:val="nil"/>
              <w:bottom w:val="single" w:sz="4" w:space="0" w:color="auto"/>
              <w:right w:val="single" w:sz="4" w:space="0" w:color="auto"/>
            </w:tcBorders>
            <w:shd w:val="clear" w:color="auto" w:fill="FFFFFF"/>
            <w:vAlign w:val="center"/>
            <w:hideMark/>
          </w:tcPr>
          <w:p w14:paraId="64697D94" w14:textId="77777777" w:rsidR="00473DC2" w:rsidRPr="00D3481B" w:rsidRDefault="00473DC2" w:rsidP="00641A3B">
            <w:pPr>
              <w:jc w:val="center"/>
              <w:rPr>
                <w:noProof/>
                <w:sz w:val="23"/>
                <w:szCs w:val="23"/>
                <w:lang w:val="en-US"/>
              </w:rPr>
            </w:pPr>
            <w:r w:rsidRPr="00D3481B">
              <w:rPr>
                <w:noProof/>
                <w:sz w:val="23"/>
                <w:szCs w:val="23"/>
                <w:lang w:val="en-US"/>
              </w:rPr>
              <w:t>Dokumentas yra konfidencialus? Taip / Ne</w:t>
            </w:r>
          </w:p>
        </w:tc>
      </w:tr>
      <w:tr w:rsidR="007C6DB8" w:rsidRPr="00540EC0" w14:paraId="496AE664" w14:textId="77777777" w:rsidTr="00EC7054">
        <w:trPr>
          <w:trHeight w:val="391"/>
        </w:trPr>
        <w:tc>
          <w:tcPr>
            <w:tcW w:w="3667"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3F49318A" w14:textId="633A81F0" w:rsidR="007C6DB8" w:rsidRPr="00D3481B" w:rsidRDefault="007C6DB8" w:rsidP="007C6DB8">
            <w:pPr>
              <w:jc w:val="both"/>
              <w:rPr>
                <w:noProof/>
                <w:sz w:val="23"/>
                <w:szCs w:val="23"/>
                <w:lang w:val="en-US"/>
              </w:rPr>
            </w:pPr>
            <w:r w:rsidRPr="00D3481B">
              <w:rPr>
                <w:noProof/>
                <w:sz w:val="23"/>
                <w:szCs w:val="23"/>
                <w:lang w:val="en-US"/>
              </w:rPr>
              <w:t>Įgaliojimas pasirašyti pasiūlymą (jei taikoma)</w:t>
            </w:r>
          </w:p>
        </w:tc>
        <w:tc>
          <w:tcPr>
            <w:tcW w:w="2693"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75FE4130" w14:textId="77777777" w:rsidR="007C6DB8" w:rsidRPr="00D3481B" w:rsidRDefault="007C6DB8" w:rsidP="007C6DB8">
            <w:pPr>
              <w:jc w:val="both"/>
              <w:rPr>
                <w:noProof/>
                <w:sz w:val="23"/>
                <w:szCs w:val="23"/>
                <w:lang w:val="en-US"/>
              </w:rPr>
            </w:pPr>
          </w:p>
        </w:tc>
        <w:tc>
          <w:tcPr>
            <w:tcW w:w="340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3617C846" w14:textId="77777777" w:rsidR="007C6DB8" w:rsidRPr="00D3481B" w:rsidRDefault="007C6DB8" w:rsidP="007C6DB8">
            <w:pPr>
              <w:jc w:val="both"/>
              <w:rPr>
                <w:noProof/>
                <w:sz w:val="23"/>
                <w:szCs w:val="23"/>
                <w:lang w:val="en-US"/>
              </w:rPr>
            </w:pPr>
          </w:p>
        </w:tc>
      </w:tr>
      <w:tr w:rsidR="007C6DB8" w:rsidRPr="00540EC0" w14:paraId="0FD7F575" w14:textId="77777777" w:rsidTr="00EC7054">
        <w:trPr>
          <w:trHeight w:val="391"/>
        </w:trPr>
        <w:tc>
          <w:tcPr>
            <w:tcW w:w="3667"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397FFA" w14:textId="7064C862" w:rsidR="007C6DB8" w:rsidRPr="00D3481B" w:rsidRDefault="007C6DB8" w:rsidP="007C6DB8">
            <w:pPr>
              <w:jc w:val="both"/>
              <w:rPr>
                <w:noProof/>
                <w:sz w:val="23"/>
                <w:szCs w:val="23"/>
                <w:lang w:val="en-US"/>
              </w:rPr>
            </w:pPr>
            <w:r w:rsidRPr="00D3481B">
              <w:rPr>
                <w:noProof/>
                <w:sz w:val="23"/>
                <w:szCs w:val="23"/>
                <w:lang w:val="en-US"/>
              </w:rPr>
              <w:t>Jungtinės veiklos sutarties kopija (jei taikoma)</w:t>
            </w:r>
          </w:p>
        </w:tc>
        <w:tc>
          <w:tcPr>
            <w:tcW w:w="2693"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EF52D6" w14:textId="77777777" w:rsidR="007C6DB8" w:rsidRPr="00D3481B" w:rsidRDefault="007C6DB8" w:rsidP="007C6DB8">
            <w:pPr>
              <w:jc w:val="both"/>
              <w:rPr>
                <w:noProof/>
                <w:sz w:val="23"/>
                <w:szCs w:val="23"/>
                <w:lang w:val="en-US"/>
              </w:rPr>
            </w:pPr>
            <w:r w:rsidRPr="00D3481B">
              <w:rPr>
                <w:noProof/>
                <w:sz w:val="23"/>
                <w:szCs w:val="23"/>
                <w:lang w:val="en-US"/>
              </w:rPr>
              <w:t> </w:t>
            </w:r>
          </w:p>
        </w:tc>
        <w:tc>
          <w:tcPr>
            <w:tcW w:w="340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49E4B6" w14:textId="77777777" w:rsidR="007C6DB8" w:rsidRPr="00D3481B" w:rsidRDefault="007C6DB8" w:rsidP="007C6DB8">
            <w:pPr>
              <w:jc w:val="both"/>
              <w:rPr>
                <w:noProof/>
                <w:sz w:val="23"/>
                <w:szCs w:val="23"/>
                <w:lang w:val="en-US"/>
              </w:rPr>
            </w:pPr>
            <w:r w:rsidRPr="00D3481B">
              <w:rPr>
                <w:noProof/>
                <w:sz w:val="23"/>
                <w:szCs w:val="23"/>
                <w:lang w:val="en-US"/>
              </w:rPr>
              <w:t> </w:t>
            </w:r>
          </w:p>
        </w:tc>
      </w:tr>
      <w:tr w:rsidR="007C6DB8" w:rsidRPr="00540EC0" w14:paraId="687DBFF7" w14:textId="77777777" w:rsidTr="00EC7054">
        <w:trPr>
          <w:trHeight w:val="410"/>
        </w:trPr>
        <w:tc>
          <w:tcPr>
            <w:tcW w:w="36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F04D16" w14:textId="77777777" w:rsidR="007C6DB8" w:rsidRPr="00D3481B" w:rsidRDefault="007C6DB8" w:rsidP="007C6DB8">
            <w:pPr>
              <w:jc w:val="both"/>
              <w:rPr>
                <w:noProof/>
                <w:sz w:val="23"/>
                <w:szCs w:val="23"/>
                <w:lang w:val="en-US"/>
              </w:rPr>
            </w:pPr>
            <w:r w:rsidRPr="00D3481B">
              <w:rPr>
                <w:noProof/>
                <w:sz w:val="23"/>
                <w:szCs w:val="23"/>
                <w:lang w:val="en-US"/>
              </w:rPr>
              <w:t>Kita</w:t>
            </w:r>
          </w:p>
        </w:tc>
        <w:tc>
          <w:tcPr>
            <w:tcW w:w="2693"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CA3F0D" w14:textId="77777777" w:rsidR="007C6DB8" w:rsidRPr="00D3481B" w:rsidRDefault="007C6DB8" w:rsidP="007C6DB8">
            <w:pPr>
              <w:jc w:val="both"/>
              <w:rPr>
                <w:noProof/>
                <w:sz w:val="23"/>
                <w:szCs w:val="23"/>
                <w:lang w:val="en-US"/>
              </w:rPr>
            </w:pPr>
            <w:r w:rsidRPr="00D3481B">
              <w:rPr>
                <w:noProof/>
                <w:sz w:val="23"/>
                <w:szCs w:val="23"/>
                <w:lang w:val="en-US"/>
              </w:rPr>
              <w:t> </w:t>
            </w:r>
          </w:p>
        </w:tc>
        <w:tc>
          <w:tcPr>
            <w:tcW w:w="340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E1AB84" w14:textId="77777777" w:rsidR="007C6DB8" w:rsidRPr="00D3481B" w:rsidRDefault="007C6DB8" w:rsidP="007C6DB8">
            <w:pPr>
              <w:jc w:val="both"/>
              <w:rPr>
                <w:noProof/>
                <w:sz w:val="23"/>
                <w:szCs w:val="23"/>
                <w:lang w:val="en-US"/>
              </w:rPr>
            </w:pPr>
            <w:r w:rsidRPr="00D3481B">
              <w:rPr>
                <w:noProof/>
                <w:sz w:val="23"/>
                <w:szCs w:val="23"/>
                <w:lang w:val="en-US"/>
              </w:rPr>
              <w:t> </w:t>
            </w:r>
          </w:p>
        </w:tc>
      </w:tr>
      <w:tr w:rsidR="007C6DB8" w:rsidRPr="00540EC0" w14:paraId="49553E77" w14:textId="77777777" w:rsidTr="00EC7054">
        <w:trPr>
          <w:trHeight w:val="592"/>
        </w:trPr>
        <w:tc>
          <w:tcPr>
            <w:tcW w:w="9762" w:type="dxa"/>
            <w:gridSpan w:val="9"/>
            <w:shd w:val="clear" w:color="auto" w:fill="FFFFFF"/>
            <w:vAlign w:val="center"/>
            <w:hideMark/>
          </w:tcPr>
          <w:p w14:paraId="3B3A5ED7" w14:textId="77777777" w:rsidR="007C6DB8" w:rsidRPr="00D3481B" w:rsidRDefault="007C6DB8" w:rsidP="007C6DB8">
            <w:pPr>
              <w:spacing w:line="276" w:lineRule="auto"/>
              <w:jc w:val="both"/>
              <w:rPr>
                <w:b/>
                <w:bCs/>
                <w:noProof/>
                <w:sz w:val="23"/>
                <w:szCs w:val="23"/>
              </w:rPr>
            </w:pPr>
            <w:r w:rsidRPr="00D3481B">
              <w:rPr>
                <w:b/>
                <w:bCs/>
                <w:noProof/>
                <w:sz w:val="23"/>
                <w:szCs w:val="23"/>
              </w:rPr>
              <w:t>Numatomi pasitekti subtiekėjai (jei numatoma):</w:t>
            </w:r>
          </w:p>
        </w:tc>
      </w:tr>
      <w:tr w:rsidR="007C6DB8" w:rsidRPr="00540EC0" w14:paraId="30528A5F" w14:textId="77777777" w:rsidTr="00EC7054">
        <w:trPr>
          <w:trHeight w:val="404"/>
        </w:trPr>
        <w:tc>
          <w:tcPr>
            <w:tcW w:w="3667"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4A2555" w14:textId="77777777" w:rsidR="007C6DB8" w:rsidRPr="00D3481B" w:rsidRDefault="007C6DB8" w:rsidP="007C6DB8">
            <w:pPr>
              <w:spacing w:line="276" w:lineRule="auto"/>
              <w:jc w:val="both"/>
              <w:rPr>
                <w:noProof/>
                <w:sz w:val="23"/>
                <w:szCs w:val="23"/>
              </w:rPr>
            </w:pPr>
            <w:r w:rsidRPr="00D3481B">
              <w:rPr>
                <w:noProof/>
                <w:sz w:val="23"/>
                <w:szCs w:val="23"/>
              </w:rPr>
              <w:t>Subtiekėjo pavadinimas</w:t>
            </w:r>
          </w:p>
        </w:tc>
        <w:tc>
          <w:tcPr>
            <w:tcW w:w="2693" w:type="dxa"/>
            <w:gridSpan w:val="3"/>
            <w:tcBorders>
              <w:top w:val="single" w:sz="4" w:space="0" w:color="auto"/>
              <w:left w:val="nil"/>
              <w:bottom w:val="single" w:sz="4" w:space="0" w:color="auto"/>
              <w:right w:val="single" w:sz="4" w:space="0" w:color="auto"/>
            </w:tcBorders>
            <w:shd w:val="clear" w:color="auto" w:fill="FFFFFF"/>
            <w:vAlign w:val="center"/>
            <w:hideMark/>
          </w:tcPr>
          <w:p w14:paraId="4587205F" w14:textId="77777777" w:rsidR="007C6DB8" w:rsidRPr="00D3481B" w:rsidRDefault="007C6DB8" w:rsidP="007C6DB8">
            <w:pPr>
              <w:spacing w:line="276" w:lineRule="auto"/>
              <w:jc w:val="both"/>
              <w:rPr>
                <w:noProof/>
                <w:sz w:val="23"/>
                <w:szCs w:val="23"/>
              </w:rPr>
            </w:pPr>
            <w:r w:rsidRPr="00D3481B">
              <w:rPr>
                <w:noProof/>
                <w:sz w:val="23"/>
                <w:szCs w:val="23"/>
              </w:rPr>
              <w:t>Subtiekėjo kodas</w:t>
            </w:r>
          </w:p>
        </w:tc>
        <w:tc>
          <w:tcPr>
            <w:tcW w:w="3402" w:type="dxa"/>
            <w:gridSpan w:val="3"/>
            <w:tcBorders>
              <w:top w:val="single" w:sz="4" w:space="0" w:color="auto"/>
              <w:left w:val="nil"/>
              <w:bottom w:val="single" w:sz="4" w:space="0" w:color="auto"/>
              <w:right w:val="single" w:sz="4" w:space="0" w:color="auto"/>
            </w:tcBorders>
            <w:shd w:val="clear" w:color="auto" w:fill="FFFFFF"/>
            <w:vAlign w:val="center"/>
            <w:hideMark/>
          </w:tcPr>
          <w:p w14:paraId="6BF1A4F7" w14:textId="77777777" w:rsidR="007C6DB8" w:rsidRPr="00D3481B" w:rsidRDefault="007C6DB8" w:rsidP="007C6DB8">
            <w:pPr>
              <w:spacing w:line="276" w:lineRule="auto"/>
              <w:jc w:val="both"/>
              <w:rPr>
                <w:noProof/>
                <w:sz w:val="23"/>
                <w:szCs w:val="23"/>
              </w:rPr>
            </w:pPr>
            <w:r w:rsidRPr="00D3481B">
              <w:rPr>
                <w:noProof/>
                <w:sz w:val="23"/>
                <w:szCs w:val="23"/>
              </w:rPr>
              <w:t>Perduodama veikla ir jos dalis bendroje pasiūlymo kainoje (%)</w:t>
            </w:r>
          </w:p>
        </w:tc>
      </w:tr>
      <w:tr w:rsidR="007C6DB8" w:rsidRPr="00540EC0" w14:paraId="0323DC71" w14:textId="77777777" w:rsidTr="00EC7054">
        <w:trPr>
          <w:trHeight w:val="459"/>
        </w:trPr>
        <w:tc>
          <w:tcPr>
            <w:tcW w:w="36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93350D" w14:textId="77777777" w:rsidR="007C6DB8" w:rsidRPr="00D3481B" w:rsidRDefault="007C6DB8" w:rsidP="007C6DB8">
            <w:pPr>
              <w:spacing w:line="276" w:lineRule="auto"/>
              <w:jc w:val="both"/>
              <w:rPr>
                <w:noProof/>
                <w:sz w:val="23"/>
                <w:szCs w:val="23"/>
              </w:rPr>
            </w:pPr>
            <w:r w:rsidRPr="00D3481B">
              <w:rPr>
                <w:noProof/>
                <w:sz w:val="23"/>
                <w:szCs w:val="23"/>
              </w:rPr>
              <w:t> </w:t>
            </w:r>
          </w:p>
        </w:tc>
        <w:tc>
          <w:tcPr>
            <w:tcW w:w="2693"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672C0F" w14:textId="77777777" w:rsidR="007C6DB8" w:rsidRPr="00D3481B" w:rsidRDefault="007C6DB8" w:rsidP="007C6DB8">
            <w:pPr>
              <w:spacing w:line="276" w:lineRule="auto"/>
              <w:jc w:val="both"/>
              <w:rPr>
                <w:noProof/>
                <w:sz w:val="23"/>
                <w:szCs w:val="23"/>
              </w:rPr>
            </w:pPr>
            <w:r w:rsidRPr="00D3481B">
              <w:rPr>
                <w:noProof/>
                <w:sz w:val="23"/>
                <w:szCs w:val="23"/>
              </w:rPr>
              <w:t> </w:t>
            </w:r>
          </w:p>
        </w:tc>
        <w:tc>
          <w:tcPr>
            <w:tcW w:w="340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120A59" w14:textId="77777777" w:rsidR="007C6DB8" w:rsidRPr="00D3481B" w:rsidRDefault="007C6DB8" w:rsidP="007C6DB8">
            <w:pPr>
              <w:spacing w:line="276" w:lineRule="auto"/>
              <w:jc w:val="both"/>
              <w:rPr>
                <w:noProof/>
                <w:sz w:val="23"/>
                <w:szCs w:val="23"/>
              </w:rPr>
            </w:pPr>
            <w:r w:rsidRPr="00D3481B">
              <w:rPr>
                <w:noProof/>
                <w:sz w:val="23"/>
                <w:szCs w:val="23"/>
              </w:rPr>
              <w:t> </w:t>
            </w:r>
          </w:p>
        </w:tc>
      </w:tr>
    </w:tbl>
    <w:p w14:paraId="11CC81F1" w14:textId="77777777" w:rsidR="00473DC2" w:rsidRPr="00D3481B" w:rsidRDefault="00473DC2" w:rsidP="00473DC2">
      <w:pPr>
        <w:tabs>
          <w:tab w:val="left" w:pos="284"/>
          <w:tab w:val="center" w:pos="4153"/>
          <w:tab w:val="left" w:pos="6825"/>
          <w:tab w:val="right" w:pos="8306"/>
        </w:tabs>
        <w:spacing w:after="160" w:line="256" w:lineRule="auto"/>
        <w:rPr>
          <w:rFonts w:eastAsia="Calibri"/>
          <w:sz w:val="23"/>
          <w:szCs w:val="23"/>
        </w:rPr>
      </w:pPr>
    </w:p>
    <w:sectPr w:rsidR="00473DC2" w:rsidRPr="00D3481B" w:rsidSect="00E6293E">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C956" w14:textId="77777777" w:rsidR="0024144E" w:rsidRDefault="0024144E">
      <w:r>
        <w:separator/>
      </w:r>
    </w:p>
  </w:endnote>
  <w:endnote w:type="continuationSeparator" w:id="0">
    <w:p w14:paraId="0751B5B4" w14:textId="77777777" w:rsidR="0024144E" w:rsidRDefault="002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00000001"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6BB9" w14:textId="77777777" w:rsidR="0024144E" w:rsidRDefault="0024144E">
      <w:r>
        <w:separator/>
      </w:r>
    </w:p>
  </w:footnote>
  <w:footnote w:type="continuationSeparator" w:id="0">
    <w:p w14:paraId="059838A9" w14:textId="77777777" w:rsidR="0024144E" w:rsidRDefault="0024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204969"/>
      <w:docPartObj>
        <w:docPartGallery w:val="Page Numbers (Top of Page)"/>
        <w:docPartUnique/>
      </w:docPartObj>
    </w:sdtPr>
    <w:sdtContent>
      <w:p w14:paraId="7182A120" w14:textId="77777777" w:rsidR="00401102" w:rsidRDefault="00401102">
        <w:pPr>
          <w:pStyle w:val="Antrats"/>
          <w:jc w:val="center"/>
        </w:pPr>
        <w:r>
          <w:fldChar w:fldCharType="begin"/>
        </w:r>
        <w:r>
          <w:instrText>PAGE   \* MERGEFORMAT</w:instrText>
        </w:r>
        <w:r>
          <w:fldChar w:fldCharType="separate"/>
        </w:r>
        <w:r w:rsidR="000E430A">
          <w:rPr>
            <w:noProof/>
          </w:rPr>
          <w:t>3</w:t>
        </w:r>
        <w:r>
          <w:fldChar w:fldCharType="end"/>
        </w:r>
      </w:p>
    </w:sdtContent>
  </w:sdt>
  <w:p w14:paraId="3B6C2F81" w14:textId="77777777" w:rsidR="00401102" w:rsidRDefault="004011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B5273"/>
    <w:multiLevelType w:val="hybridMultilevel"/>
    <w:tmpl w:val="D18E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2509F"/>
    <w:multiLevelType w:val="multilevel"/>
    <w:tmpl w:val="8AEE6052"/>
    <w:lvl w:ilvl="0">
      <w:start w:val="1"/>
      <w:numFmt w:val="decimal"/>
      <w:lvlText w:val="%1."/>
      <w:lvlJc w:val="left"/>
      <w:pPr>
        <w:ind w:left="752" w:hanging="360"/>
      </w:pPr>
    </w:lvl>
    <w:lvl w:ilvl="1">
      <w:start w:val="1"/>
      <w:numFmt w:val="decimal"/>
      <w:isLgl/>
      <w:lvlText w:val="%1.%2."/>
      <w:lvlJc w:val="left"/>
      <w:pPr>
        <w:ind w:left="827" w:hanging="435"/>
      </w:pPr>
      <w:rPr>
        <w:rFonts w:ascii="Times New Roman" w:hAnsi="Times New Roman" w:cs="Times New Roman" w:hint="default"/>
        <w:sz w:val="24"/>
        <w:szCs w:val="24"/>
      </w:rPr>
    </w:lvl>
    <w:lvl w:ilvl="2">
      <w:start w:val="1"/>
      <w:numFmt w:val="decimal"/>
      <w:isLgl/>
      <w:lvlText w:val="%1.%2.%3."/>
      <w:lvlJc w:val="left"/>
      <w:pPr>
        <w:ind w:left="1112" w:hanging="720"/>
      </w:pPr>
      <w:rPr>
        <w:rFonts w:asciiTheme="minorHAnsi" w:hAnsiTheme="minorHAnsi" w:cstheme="minorBidi" w:hint="default"/>
        <w:sz w:val="22"/>
      </w:rPr>
    </w:lvl>
    <w:lvl w:ilvl="3">
      <w:start w:val="1"/>
      <w:numFmt w:val="decimal"/>
      <w:isLgl/>
      <w:lvlText w:val="%1.%2.%3.%4."/>
      <w:lvlJc w:val="left"/>
      <w:pPr>
        <w:ind w:left="1112" w:hanging="720"/>
      </w:pPr>
      <w:rPr>
        <w:rFonts w:asciiTheme="minorHAnsi" w:hAnsiTheme="minorHAnsi" w:cstheme="minorBidi" w:hint="default"/>
        <w:sz w:val="22"/>
      </w:rPr>
    </w:lvl>
    <w:lvl w:ilvl="4">
      <w:start w:val="1"/>
      <w:numFmt w:val="decimal"/>
      <w:isLgl/>
      <w:lvlText w:val="%1.%2.%3.%4.%5."/>
      <w:lvlJc w:val="left"/>
      <w:pPr>
        <w:ind w:left="1472" w:hanging="1080"/>
      </w:pPr>
      <w:rPr>
        <w:rFonts w:asciiTheme="minorHAnsi" w:hAnsiTheme="minorHAnsi" w:cstheme="minorBidi" w:hint="default"/>
        <w:sz w:val="22"/>
      </w:rPr>
    </w:lvl>
    <w:lvl w:ilvl="5">
      <w:start w:val="1"/>
      <w:numFmt w:val="decimal"/>
      <w:isLgl/>
      <w:lvlText w:val="%1.%2.%3.%4.%5.%6."/>
      <w:lvlJc w:val="left"/>
      <w:pPr>
        <w:ind w:left="1472" w:hanging="1080"/>
      </w:pPr>
      <w:rPr>
        <w:rFonts w:asciiTheme="minorHAnsi" w:hAnsiTheme="minorHAnsi" w:cstheme="minorBidi" w:hint="default"/>
        <w:sz w:val="22"/>
      </w:rPr>
    </w:lvl>
    <w:lvl w:ilvl="6">
      <w:start w:val="1"/>
      <w:numFmt w:val="decimal"/>
      <w:isLgl/>
      <w:lvlText w:val="%1.%2.%3.%4.%5.%6.%7."/>
      <w:lvlJc w:val="left"/>
      <w:pPr>
        <w:ind w:left="1832" w:hanging="1440"/>
      </w:pPr>
      <w:rPr>
        <w:rFonts w:asciiTheme="minorHAnsi" w:hAnsiTheme="minorHAnsi" w:cstheme="minorBidi" w:hint="default"/>
        <w:sz w:val="22"/>
      </w:rPr>
    </w:lvl>
    <w:lvl w:ilvl="7">
      <w:start w:val="1"/>
      <w:numFmt w:val="decimal"/>
      <w:isLgl/>
      <w:lvlText w:val="%1.%2.%3.%4.%5.%6.%7.%8."/>
      <w:lvlJc w:val="left"/>
      <w:pPr>
        <w:ind w:left="1832" w:hanging="1440"/>
      </w:pPr>
      <w:rPr>
        <w:rFonts w:asciiTheme="minorHAnsi" w:hAnsiTheme="minorHAnsi" w:cstheme="minorBidi" w:hint="default"/>
        <w:sz w:val="22"/>
      </w:rPr>
    </w:lvl>
    <w:lvl w:ilvl="8">
      <w:start w:val="1"/>
      <w:numFmt w:val="decimal"/>
      <w:isLgl/>
      <w:lvlText w:val="%1.%2.%3.%4.%5.%6.%7.%8.%9."/>
      <w:lvlJc w:val="left"/>
      <w:pPr>
        <w:ind w:left="2192" w:hanging="1800"/>
      </w:pPr>
      <w:rPr>
        <w:rFonts w:asciiTheme="minorHAnsi" w:hAnsiTheme="minorHAnsi" w:cstheme="minorBidi" w:hint="default"/>
        <w:sz w:val="22"/>
      </w:rPr>
    </w:lvl>
  </w:abstractNum>
  <w:num w:numId="1" w16cid:durableId="135798875">
    <w:abstractNumId w:val="1"/>
  </w:num>
  <w:num w:numId="2" w16cid:durableId="109571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D62"/>
    <w:rsid w:val="000140B0"/>
    <w:rsid w:val="000205AB"/>
    <w:rsid w:val="00026B08"/>
    <w:rsid w:val="00040C4F"/>
    <w:rsid w:val="00071B96"/>
    <w:rsid w:val="000805E8"/>
    <w:rsid w:val="000B0C4E"/>
    <w:rsid w:val="000E430A"/>
    <w:rsid w:val="000E614F"/>
    <w:rsid w:val="000F0243"/>
    <w:rsid w:val="001158ED"/>
    <w:rsid w:val="001163D7"/>
    <w:rsid w:val="00136B4E"/>
    <w:rsid w:val="00142ADE"/>
    <w:rsid w:val="00154106"/>
    <w:rsid w:val="00154B13"/>
    <w:rsid w:val="00156082"/>
    <w:rsid w:val="001645F8"/>
    <w:rsid w:val="001763AF"/>
    <w:rsid w:val="00195475"/>
    <w:rsid w:val="001A3198"/>
    <w:rsid w:val="001A79DC"/>
    <w:rsid w:val="001B09CA"/>
    <w:rsid w:val="001B6403"/>
    <w:rsid w:val="001C5018"/>
    <w:rsid w:val="001D3F13"/>
    <w:rsid w:val="001D6ED6"/>
    <w:rsid w:val="001D70EB"/>
    <w:rsid w:val="001F2D75"/>
    <w:rsid w:val="00204306"/>
    <w:rsid w:val="002238D2"/>
    <w:rsid w:val="002266AB"/>
    <w:rsid w:val="00227A0A"/>
    <w:rsid w:val="002337EE"/>
    <w:rsid w:val="0024144E"/>
    <w:rsid w:val="00280D98"/>
    <w:rsid w:val="00281E02"/>
    <w:rsid w:val="002C7814"/>
    <w:rsid w:val="002F1122"/>
    <w:rsid w:val="00307A5C"/>
    <w:rsid w:val="003108A6"/>
    <w:rsid w:val="0031423B"/>
    <w:rsid w:val="00327748"/>
    <w:rsid w:val="003405B8"/>
    <w:rsid w:val="003603D0"/>
    <w:rsid w:val="003673EC"/>
    <w:rsid w:val="00370460"/>
    <w:rsid w:val="00371EDB"/>
    <w:rsid w:val="00382C49"/>
    <w:rsid w:val="003A0C02"/>
    <w:rsid w:val="003A5653"/>
    <w:rsid w:val="003C73EC"/>
    <w:rsid w:val="003D1AAE"/>
    <w:rsid w:val="003E00FB"/>
    <w:rsid w:val="003E1C04"/>
    <w:rsid w:val="003F018A"/>
    <w:rsid w:val="00401102"/>
    <w:rsid w:val="00403219"/>
    <w:rsid w:val="0040709E"/>
    <w:rsid w:val="00421B44"/>
    <w:rsid w:val="0042319F"/>
    <w:rsid w:val="0043114B"/>
    <w:rsid w:val="00445F7A"/>
    <w:rsid w:val="00452445"/>
    <w:rsid w:val="0045258F"/>
    <w:rsid w:val="00471C14"/>
    <w:rsid w:val="00473DC2"/>
    <w:rsid w:val="004833FB"/>
    <w:rsid w:val="00490E86"/>
    <w:rsid w:val="00495F2E"/>
    <w:rsid w:val="00496CA9"/>
    <w:rsid w:val="004A5040"/>
    <w:rsid w:val="004B0C98"/>
    <w:rsid w:val="004C5586"/>
    <w:rsid w:val="004C56D3"/>
    <w:rsid w:val="004C7801"/>
    <w:rsid w:val="004D40A9"/>
    <w:rsid w:val="004F355D"/>
    <w:rsid w:val="004F43B0"/>
    <w:rsid w:val="005047EE"/>
    <w:rsid w:val="00531F5E"/>
    <w:rsid w:val="00540EC0"/>
    <w:rsid w:val="005428D0"/>
    <w:rsid w:val="00547DED"/>
    <w:rsid w:val="00550DF6"/>
    <w:rsid w:val="00555B88"/>
    <w:rsid w:val="00571CA1"/>
    <w:rsid w:val="0057533A"/>
    <w:rsid w:val="005830D7"/>
    <w:rsid w:val="005A5F22"/>
    <w:rsid w:val="005B401B"/>
    <w:rsid w:val="005D0B3E"/>
    <w:rsid w:val="005D14F5"/>
    <w:rsid w:val="005D1841"/>
    <w:rsid w:val="005D2F9A"/>
    <w:rsid w:val="005D4892"/>
    <w:rsid w:val="005E4833"/>
    <w:rsid w:val="005E4FF0"/>
    <w:rsid w:val="005F1608"/>
    <w:rsid w:val="00606F29"/>
    <w:rsid w:val="00633F33"/>
    <w:rsid w:val="00636B64"/>
    <w:rsid w:val="00647DCE"/>
    <w:rsid w:val="00662786"/>
    <w:rsid w:val="00667D34"/>
    <w:rsid w:val="00676ACF"/>
    <w:rsid w:val="0067737A"/>
    <w:rsid w:val="006825B2"/>
    <w:rsid w:val="006915F2"/>
    <w:rsid w:val="006A3F6A"/>
    <w:rsid w:val="006A56E9"/>
    <w:rsid w:val="006B798A"/>
    <w:rsid w:val="006C123B"/>
    <w:rsid w:val="006D12ED"/>
    <w:rsid w:val="006E08C2"/>
    <w:rsid w:val="006F6A43"/>
    <w:rsid w:val="00702B6E"/>
    <w:rsid w:val="00710A88"/>
    <w:rsid w:val="00713D13"/>
    <w:rsid w:val="00714C78"/>
    <w:rsid w:val="007161CF"/>
    <w:rsid w:val="007268B9"/>
    <w:rsid w:val="00752894"/>
    <w:rsid w:val="007748DA"/>
    <w:rsid w:val="00776D1A"/>
    <w:rsid w:val="00781E0F"/>
    <w:rsid w:val="007846B5"/>
    <w:rsid w:val="00787AE1"/>
    <w:rsid w:val="00795C7B"/>
    <w:rsid w:val="007A063E"/>
    <w:rsid w:val="007A7B37"/>
    <w:rsid w:val="007C1422"/>
    <w:rsid w:val="007C6DB8"/>
    <w:rsid w:val="007D2931"/>
    <w:rsid w:val="007E154F"/>
    <w:rsid w:val="007F0FD2"/>
    <w:rsid w:val="007F5867"/>
    <w:rsid w:val="007F7445"/>
    <w:rsid w:val="007F7DE9"/>
    <w:rsid w:val="00800E31"/>
    <w:rsid w:val="008113A5"/>
    <w:rsid w:val="00820F9E"/>
    <w:rsid w:val="00821AEE"/>
    <w:rsid w:val="008258C3"/>
    <w:rsid w:val="00830F61"/>
    <w:rsid w:val="00850D62"/>
    <w:rsid w:val="008512DF"/>
    <w:rsid w:val="00853A8E"/>
    <w:rsid w:val="00882EE7"/>
    <w:rsid w:val="00890E28"/>
    <w:rsid w:val="008B7B1B"/>
    <w:rsid w:val="008D1816"/>
    <w:rsid w:val="00905720"/>
    <w:rsid w:val="00922610"/>
    <w:rsid w:val="00936068"/>
    <w:rsid w:val="0097690A"/>
    <w:rsid w:val="00982E52"/>
    <w:rsid w:val="0098732D"/>
    <w:rsid w:val="009879B2"/>
    <w:rsid w:val="009A13F8"/>
    <w:rsid w:val="009A778E"/>
    <w:rsid w:val="009B3334"/>
    <w:rsid w:val="009D247E"/>
    <w:rsid w:val="009E2F14"/>
    <w:rsid w:val="009F1742"/>
    <w:rsid w:val="009F2B86"/>
    <w:rsid w:val="009F7B44"/>
    <w:rsid w:val="00A03A8A"/>
    <w:rsid w:val="00A448C4"/>
    <w:rsid w:val="00A62C19"/>
    <w:rsid w:val="00A817DB"/>
    <w:rsid w:val="00A93B31"/>
    <w:rsid w:val="00A94239"/>
    <w:rsid w:val="00A94BEF"/>
    <w:rsid w:val="00AB1ADE"/>
    <w:rsid w:val="00AD0AC0"/>
    <w:rsid w:val="00AD1E37"/>
    <w:rsid w:val="00AE2DD9"/>
    <w:rsid w:val="00AE3F66"/>
    <w:rsid w:val="00AF4BE6"/>
    <w:rsid w:val="00B5070B"/>
    <w:rsid w:val="00B52EAC"/>
    <w:rsid w:val="00B662AD"/>
    <w:rsid w:val="00B8035E"/>
    <w:rsid w:val="00B87630"/>
    <w:rsid w:val="00B92639"/>
    <w:rsid w:val="00B96C5E"/>
    <w:rsid w:val="00BA3D8E"/>
    <w:rsid w:val="00BA6896"/>
    <w:rsid w:val="00BB446D"/>
    <w:rsid w:val="00BC480F"/>
    <w:rsid w:val="00BC5174"/>
    <w:rsid w:val="00BD27DC"/>
    <w:rsid w:val="00BD7160"/>
    <w:rsid w:val="00BE020F"/>
    <w:rsid w:val="00BE23CB"/>
    <w:rsid w:val="00BE708A"/>
    <w:rsid w:val="00C018E7"/>
    <w:rsid w:val="00C04DE7"/>
    <w:rsid w:val="00C118F9"/>
    <w:rsid w:val="00C34825"/>
    <w:rsid w:val="00C352BC"/>
    <w:rsid w:val="00C36780"/>
    <w:rsid w:val="00C47D85"/>
    <w:rsid w:val="00C670C2"/>
    <w:rsid w:val="00C734C2"/>
    <w:rsid w:val="00C85AA4"/>
    <w:rsid w:val="00CA4E1D"/>
    <w:rsid w:val="00CB4ADB"/>
    <w:rsid w:val="00CC2A6C"/>
    <w:rsid w:val="00CD1411"/>
    <w:rsid w:val="00CE6E55"/>
    <w:rsid w:val="00CE7EB1"/>
    <w:rsid w:val="00CF3EF4"/>
    <w:rsid w:val="00D01696"/>
    <w:rsid w:val="00D0320B"/>
    <w:rsid w:val="00D04CD1"/>
    <w:rsid w:val="00D339B9"/>
    <w:rsid w:val="00D3481B"/>
    <w:rsid w:val="00D42058"/>
    <w:rsid w:val="00D426F5"/>
    <w:rsid w:val="00DA192E"/>
    <w:rsid w:val="00DC000B"/>
    <w:rsid w:val="00DE1F03"/>
    <w:rsid w:val="00DF582B"/>
    <w:rsid w:val="00E20D34"/>
    <w:rsid w:val="00E26C8E"/>
    <w:rsid w:val="00E30F13"/>
    <w:rsid w:val="00E32EF8"/>
    <w:rsid w:val="00E36D89"/>
    <w:rsid w:val="00E40367"/>
    <w:rsid w:val="00E47161"/>
    <w:rsid w:val="00E5520A"/>
    <w:rsid w:val="00E5759B"/>
    <w:rsid w:val="00E62490"/>
    <w:rsid w:val="00E6293E"/>
    <w:rsid w:val="00E64925"/>
    <w:rsid w:val="00E6773C"/>
    <w:rsid w:val="00E75342"/>
    <w:rsid w:val="00E871E2"/>
    <w:rsid w:val="00E933A6"/>
    <w:rsid w:val="00E9478D"/>
    <w:rsid w:val="00E9560B"/>
    <w:rsid w:val="00E960C4"/>
    <w:rsid w:val="00E964CC"/>
    <w:rsid w:val="00EB7FB6"/>
    <w:rsid w:val="00EC3CE7"/>
    <w:rsid w:val="00EC7054"/>
    <w:rsid w:val="00ED6D2C"/>
    <w:rsid w:val="00EE44A9"/>
    <w:rsid w:val="00EF0FCC"/>
    <w:rsid w:val="00EF3F17"/>
    <w:rsid w:val="00F1759C"/>
    <w:rsid w:val="00F30994"/>
    <w:rsid w:val="00F4320A"/>
    <w:rsid w:val="00F703DB"/>
    <w:rsid w:val="00F84E6E"/>
    <w:rsid w:val="00FC1680"/>
    <w:rsid w:val="00FC3EE6"/>
    <w:rsid w:val="00FC4746"/>
    <w:rsid w:val="00FD219A"/>
    <w:rsid w:val="00FE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2DC83"/>
  <w15:docId w15:val="{9EABAA14-275A-4911-A4E3-5216F516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636B64"/>
    <w:pPr>
      <w:tabs>
        <w:tab w:val="center" w:pos="4986"/>
        <w:tab w:val="right" w:pos="9972"/>
      </w:tabs>
    </w:pPr>
  </w:style>
  <w:style w:type="character" w:customStyle="1" w:styleId="AntratsDiagrama">
    <w:name w:val="Antraštės Diagrama"/>
    <w:basedOn w:val="Numatytasispastraiposriftas"/>
    <w:link w:val="Antrats"/>
    <w:uiPriority w:val="99"/>
    <w:rsid w:val="00636B64"/>
    <w:rPr>
      <w:sz w:val="24"/>
      <w:szCs w:val="24"/>
    </w:rPr>
  </w:style>
  <w:style w:type="paragraph" w:styleId="Porat">
    <w:name w:val="footer"/>
    <w:basedOn w:val="prastasis"/>
    <w:link w:val="PoratDiagrama"/>
    <w:uiPriority w:val="99"/>
    <w:unhideWhenUsed/>
    <w:rsid w:val="00636B64"/>
    <w:pPr>
      <w:tabs>
        <w:tab w:val="center" w:pos="4986"/>
        <w:tab w:val="right" w:pos="9972"/>
      </w:tabs>
    </w:pPr>
  </w:style>
  <w:style w:type="character" w:customStyle="1" w:styleId="PoratDiagrama">
    <w:name w:val="Poraštė Diagrama"/>
    <w:basedOn w:val="Numatytasispastraiposriftas"/>
    <w:link w:val="Porat"/>
    <w:uiPriority w:val="99"/>
    <w:rsid w:val="00636B64"/>
    <w:rPr>
      <w:sz w:val="24"/>
      <w:szCs w:val="24"/>
    </w:rPr>
  </w:style>
  <w:style w:type="paragraph" w:styleId="Debesliotekstas">
    <w:name w:val="Balloon Text"/>
    <w:basedOn w:val="prastasis"/>
    <w:link w:val="DebesliotekstasDiagrama"/>
    <w:uiPriority w:val="99"/>
    <w:semiHidden/>
    <w:unhideWhenUsed/>
    <w:rsid w:val="004F35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355D"/>
    <w:rPr>
      <w:rFonts w:ascii="Segoe UI" w:hAnsi="Segoe UI" w:cs="Segoe UI"/>
      <w:sz w:val="18"/>
      <w:szCs w:val="18"/>
    </w:rPr>
  </w:style>
  <w:style w:type="character" w:styleId="Komentaronuoroda">
    <w:name w:val="annotation reference"/>
    <w:basedOn w:val="Numatytasispastraiposriftas"/>
    <w:uiPriority w:val="99"/>
    <w:semiHidden/>
    <w:unhideWhenUsed/>
    <w:rsid w:val="00B5070B"/>
    <w:rPr>
      <w:sz w:val="16"/>
      <w:szCs w:val="16"/>
    </w:rPr>
  </w:style>
  <w:style w:type="paragraph" w:styleId="Komentarotekstas">
    <w:name w:val="annotation text"/>
    <w:basedOn w:val="prastasis"/>
    <w:link w:val="KomentarotekstasDiagrama"/>
    <w:uiPriority w:val="99"/>
    <w:semiHidden/>
    <w:unhideWhenUsed/>
    <w:rsid w:val="00B5070B"/>
    <w:rPr>
      <w:sz w:val="20"/>
      <w:szCs w:val="20"/>
    </w:rPr>
  </w:style>
  <w:style w:type="character" w:customStyle="1" w:styleId="KomentarotekstasDiagrama">
    <w:name w:val="Komentaro tekstas Diagrama"/>
    <w:basedOn w:val="Numatytasispastraiposriftas"/>
    <w:link w:val="Komentarotekstas"/>
    <w:uiPriority w:val="99"/>
    <w:semiHidden/>
    <w:rsid w:val="00B5070B"/>
  </w:style>
  <w:style w:type="paragraph" w:styleId="Komentarotema">
    <w:name w:val="annotation subject"/>
    <w:basedOn w:val="Komentarotekstas"/>
    <w:next w:val="Komentarotekstas"/>
    <w:link w:val="KomentarotemaDiagrama"/>
    <w:uiPriority w:val="99"/>
    <w:semiHidden/>
    <w:unhideWhenUsed/>
    <w:rsid w:val="00B5070B"/>
    <w:rPr>
      <w:b/>
      <w:bCs/>
    </w:rPr>
  </w:style>
  <w:style w:type="character" w:customStyle="1" w:styleId="KomentarotemaDiagrama">
    <w:name w:val="Komentaro tema Diagrama"/>
    <w:basedOn w:val="KomentarotekstasDiagrama"/>
    <w:link w:val="Komentarotema"/>
    <w:uiPriority w:val="99"/>
    <w:semiHidden/>
    <w:rsid w:val="00B5070B"/>
    <w:rPr>
      <w:b/>
      <w:bCs/>
    </w:rPr>
  </w:style>
  <w:style w:type="table" w:styleId="Lentelstinklelis">
    <w:name w:val="Table Grid"/>
    <w:basedOn w:val="prastojilentel"/>
    <w:uiPriority w:val="39"/>
    <w:rsid w:val="004C5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uiPriority w:val="99"/>
    <w:unhideWhenUsed/>
    <w:rsid w:val="00C018E7"/>
    <w:pPr>
      <w:pBdr>
        <w:top w:val="none" w:sz="0" w:space="0" w:color="auto"/>
        <w:left w:val="none" w:sz="0" w:space="0" w:color="auto"/>
        <w:bottom w:val="none" w:sz="0" w:space="0" w:color="auto"/>
        <w:right w:val="none" w:sz="0" w:space="0" w:color="auto"/>
        <w:between w:val="none" w:sz="0" w:space="0" w:color="auto"/>
        <w:bar w:val="none" w:sz="0" w:color="auto"/>
      </w:pBdr>
      <w:spacing w:beforeAutospacing="1" w:line="288" w:lineRule="auto"/>
    </w:pPr>
    <w:rPr>
      <w:rFonts w:eastAsia="SimSun"/>
      <w:sz w:val="24"/>
      <w:szCs w:val="24"/>
      <w:bdr w:val="none" w:sz="0" w:space="0" w:color="auto"/>
      <w:lang w:eastAsia="zh-CN"/>
    </w:rPr>
  </w:style>
  <w:style w:type="character" w:customStyle="1" w:styleId="UnresolvedMention1">
    <w:name w:val="Unresolved Mention1"/>
    <w:basedOn w:val="Numatytasispastraiposriftas"/>
    <w:uiPriority w:val="99"/>
    <w:semiHidden/>
    <w:unhideWhenUsed/>
    <w:rsid w:val="00CF3EF4"/>
    <w:rPr>
      <w:color w:val="605E5C"/>
      <w:shd w:val="clear" w:color="auto" w:fill="E1DFDD"/>
    </w:rPr>
  </w:style>
  <w:style w:type="character" w:styleId="Emfaz">
    <w:name w:val="Emphasis"/>
    <w:qFormat/>
    <w:rsid w:val="008113A5"/>
    <w:rPr>
      <w:b w:val="0"/>
      <w:bCs/>
      <w:i w:val="0"/>
      <w:iCs w:val="0"/>
    </w:rPr>
  </w:style>
  <w:style w:type="paragraph" w:styleId="Sraopastraipa">
    <w:name w:val="List Paragraph"/>
    <w:basedOn w:val="prastasis"/>
    <w:uiPriority w:val="34"/>
    <w:qFormat/>
    <w:rsid w:val="00E9560B"/>
    <w:pPr>
      <w:ind w:left="720"/>
      <w:contextualSpacing/>
    </w:pPr>
  </w:style>
  <w:style w:type="paragraph" w:styleId="Pataisymai">
    <w:name w:val="Revision"/>
    <w:hidden/>
    <w:uiPriority w:val="99"/>
    <w:semiHidden/>
    <w:rsid w:val="004B0C9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61">
      <w:bodyDiv w:val="1"/>
      <w:marLeft w:val="0"/>
      <w:marRight w:val="0"/>
      <w:marTop w:val="0"/>
      <w:marBottom w:val="0"/>
      <w:divBdr>
        <w:top w:val="none" w:sz="0" w:space="0" w:color="auto"/>
        <w:left w:val="none" w:sz="0" w:space="0" w:color="auto"/>
        <w:bottom w:val="none" w:sz="0" w:space="0" w:color="auto"/>
        <w:right w:val="none" w:sz="0" w:space="0" w:color="auto"/>
      </w:divBdr>
    </w:div>
    <w:div w:id="545214203">
      <w:bodyDiv w:val="1"/>
      <w:marLeft w:val="0"/>
      <w:marRight w:val="0"/>
      <w:marTop w:val="0"/>
      <w:marBottom w:val="0"/>
      <w:divBdr>
        <w:top w:val="none" w:sz="0" w:space="0" w:color="auto"/>
        <w:left w:val="none" w:sz="0" w:space="0" w:color="auto"/>
        <w:bottom w:val="none" w:sz="0" w:space="0" w:color="auto"/>
        <w:right w:val="none" w:sz="0" w:space="0" w:color="auto"/>
      </w:divBdr>
    </w:div>
    <w:div w:id="759762562">
      <w:bodyDiv w:val="1"/>
      <w:marLeft w:val="0"/>
      <w:marRight w:val="0"/>
      <w:marTop w:val="0"/>
      <w:marBottom w:val="0"/>
      <w:divBdr>
        <w:top w:val="none" w:sz="0" w:space="0" w:color="auto"/>
        <w:left w:val="none" w:sz="0" w:space="0" w:color="auto"/>
        <w:bottom w:val="none" w:sz="0" w:space="0" w:color="auto"/>
        <w:right w:val="none" w:sz="0" w:space="0" w:color="auto"/>
      </w:divBdr>
    </w:div>
    <w:div w:id="1686706179">
      <w:bodyDiv w:val="1"/>
      <w:marLeft w:val="0"/>
      <w:marRight w:val="0"/>
      <w:marTop w:val="0"/>
      <w:marBottom w:val="0"/>
      <w:divBdr>
        <w:top w:val="none" w:sz="0" w:space="0" w:color="auto"/>
        <w:left w:val="none" w:sz="0" w:space="0" w:color="auto"/>
        <w:bottom w:val="none" w:sz="0" w:space="0" w:color="auto"/>
        <w:right w:val="none" w:sz="0" w:space="0" w:color="auto"/>
      </w:divBdr>
    </w:div>
    <w:div w:id="1762604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90C6-D4EB-4F8E-A42B-32F9282F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909</Words>
  <Characters>5184</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Robertas Urmanavičius</cp:lastModifiedBy>
  <cp:revision>26</cp:revision>
  <cp:lastPrinted>2021-03-24T14:28:00Z</cp:lastPrinted>
  <dcterms:created xsi:type="dcterms:W3CDTF">2026-07-10T11:07:00Z</dcterms:created>
  <dcterms:modified xsi:type="dcterms:W3CDTF">2026-07-15T06:01:00Z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20d8c0-0771-451f-966c-6b0de5568634_Enabled">
    <vt:lpwstr>True</vt:lpwstr>
  </property>
  <property fmtid="{D5CDD505-2E9C-101B-9397-08002B2CF9AE}" pid="3" name="MSIP_Label_7e20d8c0-0771-451f-966c-6b0de5568634_SiteId">
    <vt:lpwstr>aa06dce7-99d7-403b-8a08-0c5f50471e64</vt:lpwstr>
  </property>
  <property fmtid="{D5CDD505-2E9C-101B-9397-08002B2CF9AE}" pid="4" name="MSIP_Label_7e20d8c0-0771-451f-966c-6b0de5568634_Owner">
    <vt:lpwstr>giedre.darvydiene@schindler.com</vt:lpwstr>
  </property>
  <property fmtid="{D5CDD505-2E9C-101B-9397-08002B2CF9AE}" pid="5" name="MSIP_Label_7e20d8c0-0771-451f-966c-6b0de5568634_SetDate">
    <vt:lpwstr>2019-12-18T11:26:36.9388353Z</vt:lpwstr>
  </property>
  <property fmtid="{D5CDD505-2E9C-101B-9397-08002B2CF9AE}" pid="6" name="MSIP_Label_7e20d8c0-0771-451f-966c-6b0de5568634_Name">
    <vt:lpwstr>Internal Use Only</vt:lpwstr>
  </property>
  <property fmtid="{D5CDD505-2E9C-101B-9397-08002B2CF9AE}" pid="7" name="MSIP_Label_7e20d8c0-0771-451f-966c-6b0de5568634_Application">
    <vt:lpwstr>Microsoft Azure Information Protection</vt:lpwstr>
  </property>
  <property fmtid="{D5CDD505-2E9C-101B-9397-08002B2CF9AE}" pid="8" name="MSIP_Label_7e20d8c0-0771-451f-966c-6b0de5568634_ActionId">
    <vt:lpwstr>e6c46f96-37cb-44a9-835d-3531a9cea0bb</vt:lpwstr>
  </property>
  <property fmtid="{D5CDD505-2E9C-101B-9397-08002B2CF9AE}" pid="9" name="MSIP_Label_7e20d8c0-0771-451f-966c-6b0de5568634_Extended_MSFT_Method">
    <vt:lpwstr>Automatic</vt:lpwstr>
  </property>
  <property fmtid="{D5CDD505-2E9C-101B-9397-08002B2CF9AE}" pid="10" name="MSIP_Label_1dc4716b-92d5-4aa9-93a8-2ed8b74a3ef4_Enabled">
    <vt:lpwstr>True</vt:lpwstr>
  </property>
  <property fmtid="{D5CDD505-2E9C-101B-9397-08002B2CF9AE}" pid="11" name="MSIP_Label_1dc4716b-92d5-4aa9-93a8-2ed8b74a3ef4_SiteId">
    <vt:lpwstr>aa06dce7-99d7-403b-8a08-0c5f50471e64</vt:lpwstr>
  </property>
  <property fmtid="{D5CDD505-2E9C-101B-9397-08002B2CF9AE}" pid="12" name="MSIP_Label_1dc4716b-92d5-4aa9-93a8-2ed8b74a3ef4_Owner">
    <vt:lpwstr>giedre.darvydiene@schindler.com</vt:lpwstr>
  </property>
  <property fmtid="{D5CDD505-2E9C-101B-9397-08002B2CF9AE}" pid="13" name="MSIP_Label_1dc4716b-92d5-4aa9-93a8-2ed8b74a3ef4_SetDate">
    <vt:lpwstr>2019-12-18T11:26:36.9388353Z</vt:lpwstr>
  </property>
  <property fmtid="{D5CDD505-2E9C-101B-9397-08002B2CF9AE}" pid="14" name="MSIP_Label_1dc4716b-92d5-4aa9-93a8-2ed8b74a3ef4_Name">
    <vt:lpwstr>Sharing with no encryption</vt:lpwstr>
  </property>
  <property fmtid="{D5CDD505-2E9C-101B-9397-08002B2CF9AE}" pid="15" name="MSIP_Label_1dc4716b-92d5-4aa9-93a8-2ed8b74a3ef4_Application">
    <vt:lpwstr>Microsoft Azure Information Protection</vt:lpwstr>
  </property>
  <property fmtid="{D5CDD505-2E9C-101B-9397-08002B2CF9AE}" pid="16" name="MSIP_Label_1dc4716b-92d5-4aa9-93a8-2ed8b74a3ef4_ActionId">
    <vt:lpwstr>e6c46f96-37cb-44a9-835d-3531a9cea0bb</vt:lpwstr>
  </property>
  <property fmtid="{D5CDD505-2E9C-101B-9397-08002B2CF9AE}" pid="17" name="MSIP_Label_1dc4716b-92d5-4aa9-93a8-2ed8b74a3ef4_Parent">
    <vt:lpwstr>7e20d8c0-0771-451f-966c-6b0de5568634</vt:lpwstr>
  </property>
  <property fmtid="{D5CDD505-2E9C-101B-9397-08002B2CF9AE}" pid="18" name="MSIP_Label_1dc4716b-92d5-4aa9-93a8-2ed8b74a3ef4_Extended_MSFT_Method">
    <vt:lpwstr>Automatic</vt:lpwstr>
  </property>
  <property fmtid="{D5CDD505-2E9C-101B-9397-08002B2CF9AE}" pid="19" name="Sensitivity">
    <vt:lpwstr>Internal Use Only Sharing with no encryption</vt:lpwstr>
  </property>
</Properties>
</file>