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Pr="0012253C" w:rsidRDefault="00AF7F8F" w:rsidP="00AF7F8F">
      <w:pPr>
        <w:tabs>
          <w:tab w:val="left" w:pos="5848"/>
        </w:tabs>
        <w:rPr>
          <w:sz w:val="24"/>
          <w:lang w:val="lt-LT"/>
        </w:rPr>
      </w:pPr>
      <w:r w:rsidRPr="0012253C">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r>
                                <w:rPr>
                                  <w:sz w:val="18"/>
                                  <w:szCs w:val="18"/>
                                </w:rPr>
                                <w:t>iva</w:t>
                              </w:r>
                              <w:r w:rsidRPr="00182E8E">
                                <w:rPr>
                                  <w:sz w:val="18"/>
                                  <w:szCs w:val="18"/>
                                </w:rPr>
                                <w:t>.info@kam.lt</w:t>
                              </w:r>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vbUckwMAAKMJAAAOAAAAZHJzL2Uyb0RvYy54bWzMVltvpDYUfq/U/2D5nXAZBgYUskrmElVK 20ib/gAPmIsKNrU9gXTV/95jG8hM0lW3qVR1Hhgb24fj73Ls609j16JnKmTDWYb9Kw8jynJeNKzK 8C9PB2eDkVSEFaTljGb4hUr86eb7766HPqUBr3lbUIEgCJPp0Ge4VqpPXVfmNe2IvOI9ZTBYctER BV1RuYUgA0TvWjfwvMgduCh6wXMqJbzd2UF8Y+KXJc3Vz2UpqUJthiE3ZZ7CPI/66d5ck7QSpK+b fEqDfCCLjjQMPrqE2hFF0Ek070J1TS645KW6ynnn8rJscmr2ALvxvTe7uRf81Ju9VOlQ9QtMAO0b nD4cNv/p+VGgpgDuMGKkA4rMV5GvoRn6KoUZ96L/3D8Kuz9oPvD8VwnD7ttx3a/sZHQcfuQFhCMn xQ00Yyk6HQI2jUbDwMvCAB0VyuFl5AdxvAaichjzV7EfeRNHeQ1E6nV+7EGqethfB5a/vN5P65No WZxsQj3qktR+2CQ7Jad3BnqTr5DKfwfp55r01DAlNWATpMEM6UPDKFpZRM2ELbNw5iOb4ESMb2vC KmpCPb30AJ3hAPI+W6I7Erj4W3j92F8ZmFZ+YOKQdAY5iVbgSo2wwXZBiKS9kOqe8g7pRoZbSNtQ R54fpLJgzlM0k4wfmraF9yRtGRog4SAGvnRf8rYp9KjpiOq4bQV6JtqF5jdRczEN1M4KE62mpNhP bUWa1rYh0ZbpeLARyGdqWZt9Sbxkv9lvQicMor0Terudc3vYhk508OP1brXbbnf+Hzo1P0zrpigo 09nNlvfDb+N/Kj7WrIvpFxzcy+hGfZDs/G+SNnxqCq0Ij7x4eRQa20mS/5E2QRzW7k9aFnd8RMYu k9i03ZEa4bVWoeHQun6R6a0QfNA8gXMudGorxT/Q6Ts7n+l0PVWCt2Z+J1UBld7k+S1S1fs54+x/ qqoLb8hzCx3M772Fvio/631zHn1J/CD07oLEOUSb2AkP4dpJYm/jeH5yl0RemIS7w6VRTPWyRzTo +6NG0fUhWQdrq6YPlIeuUXBVaJsuw5ulhpD0a7Vi8blOf3bg/P9XTlTjcQQfauVaUyLBoQjCYQT3 G2jUXPyO0QB3hQzL305EUIzaHxjoX18s5oaYG8e5QVgOSzOsMLLNrbIXkFMvmqqGyNZhjN/CUVk2 ptC+ZnFeGcwZBjcBs43p1qKvGud9M//1bnXzJwAAAP//AwBQSwMEFAAGAAgAAAAhAEKQEaPfAAAA CAEAAA8AAABkcnMvZG93bnJldi54bWxMj0FrwkAQhe+F/odlCr3pJlZDjdmISNuTFKqF4m3Mjkkw uxuyaxL/faenepz3Hm++l61H04ieOl87qyCeRiDIFk7XtlTwfXifvILwAa3GxllScCMP6/zxIcNU u8F+Ub8PpeAS61NUUIXQplL6oiKDfupasuydXWcw8NmVUnc4cLlp5CyKEmmwtvyhwpa2FRWX/dUo +Bhw2LzEb/3uct7ejofF588uJqWen8bNCkSgMfyH4Q+f0SFnppO7Wu1Fo4CHBAWTWTwHwfYyWbBy 4txynoDMM3k/IP8FAAD//wMAUEsBAi0AFAAGAAgAAAAhALaDOJL+AAAA4QEAABMAAAAAAAAAAAAA AAAAAAAAAFtDb250ZW50X1R5cGVzXS54bWxQSwECLQAUAAYACAAAACEAOP0h/9YAAACUAQAACwAA AAAAAAAAAAAAAAAvAQAAX3JlbHMvLnJlbHNQSwECLQAUAAYACAAAACEAa721HJMDAACjCQAADgAA AAAAAAAAAAAAAAAuAgAAZHJzL2Uyb0RvYy54bWxQSwECLQAUAAYACAAAACEAQpARo98AAAAIAQAA DwAAAAAAAAAAAAAAAADtBQAAZHJzL2Rvd25yZXYueG1sUEsFBgAAAAAEAAQA8wAAAPkGAAAAAA== ">
                <v:line id="Line 3" o:spid="_x0000_s1027" style="position:absolute;visibility:visible;mso-wrap-style:square" from="1713,3121" to="11351,31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JpoQwwAAANoAAAAPAAAAZHJzL2Rvd25yZXYueG1sRI9BawIx FITvBf9DeAVvNasHabdmF6ktKD2Uqj/guXndrG5eliTq6q9vBMHjMDPfMLOyt604kQ+NYwXjUQaC uHK64VrBdvP18goiRGSNrWNScKEAZTF4mmGu3Zl/6bSOtUgQDjkqMDF2uZShMmQxjFxHnLw/5y3G JH0ttcdzgttWTrJsKi02nBYMdvRhqDqsj1bByu++D+NrbeSOV/6z/Vm8BbtXavjcz99BROrjI3xv L7WCCdyupBsgi38AAAD//wMAUEsBAi0AFAAGAAgAAAAhANvh9svuAAAAhQEAABMAAAAAAAAAAAAA AAAAAAAAAFtDb250ZW50X1R5cGVzXS54bWxQSwECLQAUAAYACAAAACEAWvQsW78AAAAVAQAACwAA AAAAAAAAAAAAAAAfAQAAX3JlbHMvLnJlbHNQSwECLQAUAAYACAAAACEAASaaEMMAAADaAAAADwAA AAAAAAAAAAAAAAAHAgAAZHJzL2Rvd25yZXYueG1sUEsFBgAAAAADAAMAtwAAAPcCAAAAAA== "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wjLAwwAAANoAAAAPAAAAZHJzL2Rvd25yZXYueG1sRI9Ba8JA FITvBf/D8gRvdWMFqdFVRCwUhGKMB4/P7DNZzL6N2a3Gf98VCh6HmfmGmS87W4sbtd44VjAaJiCI C6cNlwoO+df7JwgfkDXWjknBgzwsF723Oaba3Tmj2z6UIkLYp6igCqFJpfRFRRb90DXE0Tu71mKI si2lbvEe4baWH0kykRYNx4UKG1pXVFz2v1bB6sjZxlx/TrvsnJk8nya8nVyUGvS71QxEoC68wv/t b61gDM8r8QbIxR8AAAD//wMAUEsBAi0AFAAGAAgAAAAhANvh9svuAAAAhQEAABMAAAAAAAAAAAAA AAAAAAAAAFtDb250ZW50X1R5cGVzXS54bWxQSwECLQAUAAYACAAAACEAWvQsW78AAAAVAQAACwAA AAAAAAAAAAAAAAAfAQAAX3JlbHMvLnJlbHNQSwECLQAUAAYACAAAACEAt8IywMMAAADaAAAADwAA AAAAAAAAAAAAAAAHAgAAZHJzL2Rvd25yZXYueG1sUEsFBgAAAAADAAMAtwAAAPcCAAAAAA== "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r>
                          <w:rPr>
                            <w:sz w:val="18"/>
                            <w:szCs w:val="18"/>
                          </w:rPr>
                          <w:t>iva</w:t>
                        </w:r>
                        <w:r w:rsidRPr="00182E8E">
                          <w:rPr>
                            <w:sz w:val="18"/>
                            <w:szCs w:val="18"/>
                          </w:rPr>
                          <w:t>.info@kam.lt</w:t>
                        </w:r>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Pr="0012253C" w:rsidRDefault="000A69B0" w:rsidP="000A69B0">
      <w:pPr>
        <w:rPr>
          <w:sz w:val="24"/>
          <w:lang w:val="lt-LT"/>
        </w:rPr>
      </w:pPr>
    </w:p>
    <w:p w14:paraId="698A26FF" w14:textId="77777777" w:rsidR="000A69B0" w:rsidRPr="0012253C" w:rsidRDefault="000A69B0" w:rsidP="000A69B0">
      <w:pPr>
        <w:rPr>
          <w:sz w:val="24"/>
          <w:lang w:val="lt-LT"/>
        </w:rPr>
      </w:pPr>
    </w:p>
    <w:p w14:paraId="7406F434" w14:textId="77777777" w:rsidR="000A69B0" w:rsidRPr="0012253C" w:rsidRDefault="000A69B0" w:rsidP="000A69B0">
      <w:pPr>
        <w:rPr>
          <w:sz w:val="24"/>
          <w:lang w:val="lt-LT"/>
        </w:rPr>
      </w:pPr>
    </w:p>
    <w:p w14:paraId="49D35A7D" w14:textId="77777777" w:rsidR="000A69B0" w:rsidRPr="0012253C"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12253C" w:rsidRPr="0012253C" w14:paraId="4BE9F71D" w14:textId="77777777" w:rsidTr="00BB2779">
        <w:tc>
          <w:tcPr>
            <w:tcW w:w="4820" w:type="dxa"/>
          </w:tcPr>
          <w:p w14:paraId="4C4340F4" w14:textId="77777777" w:rsidR="00E4196E" w:rsidRPr="0012253C" w:rsidRDefault="00E4196E" w:rsidP="00BB2779">
            <w:pPr>
              <w:pStyle w:val="BodyTextIndent2"/>
              <w:spacing w:after="0" w:line="240" w:lineRule="auto"/>
              <w:ind w:left="34"/>
              <w:rPr>
                <w:sz w:val="24"/>
                <w:szCs w:val="24"/>
                <w:lang w:val="lt-LT"/>
              </w:rPr>
            </w:pPr>
            <w:r w:rsidRPr="0012253C">
              <w:rPr>
                <w:sz w:val="24"/>
                <w:szCs w:val="24"/>
                <w:lang w:val="lt-LT"/>
              </w:rPr>
              <w:t>Suinteresuotiems asmenims</w:t>
            </w:r>
          </w:p>
        </w:tc>
        <w:tc>
          <w:tcPr>
            <w:tcW w:w="383" w:type="dxa"/>
          </w:tcPr>
          <w:p w14:paraId="4B1FBEC9" w14:textId="77777777" w:rsidR="00E4196E" w:rsidRPr="0012253C" w:rsidRDefault="00E4196E" w:rsidP="00BB2779">
            <w:pPr>
              <w:ind w:left="33" w:hanging="33"/>
              <w:rPr>
                <w:sz w:val="24"/>
                <w:szCs w:val="24"/>
                <w:lang w:val="lt-LT"/>
              </w:rPr>
            </w:pPr>
          </w:p>
        </w:tc>
        <w:tc>
          <w:tcPr>
            <w:tcW w:w="1240" w:type="dxa"/>
          </w:tcPr>
          <w:p w14:paraId="1BE6FF50" w14:textId="77777777" w:rsidR="00E4196E" w:rsidRPr="0012253C" w:rsidRDefault="00E4196E" w:rsidP="00BB2779">
            <w:pPr>
              <w:ind w:right="-108"/>
              <w:rPr>
                <w:sz w:val="24"/>
                <w:szCs w:val="24"/>
                <w:lang w:val="lt-LT"/>
              </w:rPr>
            </w:pPr>
          </w:p>
        </w:tc>
        <w:tc>
          <w:tcPr>
            <w:tcW w:w="503" w:type="dxa"/>
          </w:tcPr>
          <w:p w14:paraId="07DD4ED2" w14:textId="77777777" w:rsidR="00E4196E" w:rsidRPr="0012253C" w:rsidRDefault="00E4196E" w:rsidP="00BB2779">
            <w:pPr>
              <w:ind w:right="-250"/>
              <w:rPr>
                <w:sz w:val="24"/>
                <w:szCs w:val="24"/>
                <w:lang w:val="lt-LT"/>
              </w:rPr>
            </w:pPr>
          </w:p>
        </w:tc>
        <w:tc>
          <w:tcPr>
            <w:tcW w:w="2835" w:type="dxa"/>
          </w:tcPr>
          <w:p w14:paraId="50258EF4" w14:textId="77777777" w:rsidR="00E4196E" w:rsidRPr="0012253C" w:rsidRDefault="00E4196E" w:rsidP="00BB2779">
            <w:pPr>
              <w:tabs>
                <w:tab w:val="left" w:pos="1060"/>
              </w:tabs>
              <w:ind w:right="-109"/>
              <w:jc w:val="both"/>
              <w:rPr>
                <w:sz w:val="24"/>
                <w:szCs w:val="24"/>
                <w:lang w:val="lt-LT"/>
              </w:rPr>
            </w:pPr>
          </w:p>
        </w:tc>
      </w:tr>
      <w:tr w:rsidR="0012253C" w:rsidRPr="0012253C" w14:paraId="60D630F3" w14:textId="77777777" w:rsidTr="00BB2779">
        <w:tc>
          <w:tcPr>
            <w:tcW w:w="4820" w:type="dxa"/>
          </w:tcPr>
          <w:p w14:paraId="69B9F085" w14:textId="77777777" w:rsidR="00E4196E" w:rsidRPr="0012253C"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12253C" w:rsidRDefault="00E4196E" w:rsidP="00BB2779">
            <w:pPr>
              <w:ind w:left="33" w:hanging="33"/>
              <w:rPr>
                <w:sz w:val="24"/>
                <w:szCs w:val="24"/>
                <w:lang w:val="lt-LT"/>
              </w:rPr>
            </w:pPr>
          </w:p>
        </w:tc>
        <w:tc>
          <w:tcPr>
            <w:tcW w:w="1240" w:type="dxa"/>
          </w:tcPr>
          <w:p w14:paraId="2F3D2CA8" w14:textId="77777777" w:rsidR="00E4196E" w:rsidRPr="0012253C" w:rsidRDefault="00E4196E" w:rsidP="00BB2779">
            <w:pPr>
              <w:ind w:right="-108" w:hanging="108"/>
              <w:rPr>
                <w:sz w:val="24"/>
                <w:szCs w:val="24"/>
                <w:lang w:val="lt-LT"/>
              </w:rPr>
            </w:pPr>
          </w:p>
        </w:tc>
        <w:tc>
          <w:tcPr>
            <w:tcW w:w="503" w:type="dxa"/>
          </w:tcPr>
          <w:p w14:paraId="58E706FD" w14:textId="77777777" w:rsidR="00E4196E" w:rsidRPr="0012253C" w:rsidRDefault="00E4196E" w:rsidP="00BB2779">
            <w:pPr>
              <w:ind w:right="-250"/>
              <w:rPr>
                <w:sz w:val="24"/>
                <w:szCs w:val="24"/>
                <w:lang w:val="lt-LT"/>
              </w:rPr>
            </w:pPr>
          </w:p>
        </w:tc>
        <w:tc>
          <w:tcPr>
            <w:tcW w:w="2835" w:type="dxa"/>
          </w:tcPr>
          <w:p w14:paraId="32040F92" w14:textId="77777777" w:rsidR="00E4196E" w:rsidRPr="0012253C" w:rsidRDefault="00E4196E" w:rsidP="00BB2779">
            <w:pPr>
              <w:tabs>
                <w:tab w:val="left" w:pos="1060"/>
              </w:tabs>
              <w:ind w:right="-109"/>
              <w:jc w:val="both"/>
              <w:rPr>
                <w:sz w:val="24"/>
                <w:szCs w:val="24"/>
                <w:lang w:val="lt-LT"/>
              </w:rPr>
            </w:pPr>
          </w:p>
        </w:tc>
      </w:tr>
    </w:tbl>
    <w:p w14:paraId="1420BD1C" w14:textId="77777777" w:rsidR="00E4196E" w:rsidRPr="0012253C" w:rsidRDefault="00E4196E" w:rsidP="00E4196E">
      <w:pPr>
        <w:jc w:val="both"/>
        <w:rPr>
          <w:sz w:val="24"/>
          <w:szCs w:val="24"/>
          <w:lang w:val="lt-LT"/>
        </w:rPr>
      </w:pPr>
    </w:p>
    <w:p w14:paraId="4703A50D" w14:textId="77777777" w:rsidR="00E4196E" w:rsidRPr="0012253C" w:rsidRDefault="00E4196E" w:rsidP="00E4196E">
      <w:pPr>
        <w:jc w:val="both"/>
        <w:rPr>
          <w:rFonts w:ascii="Times New Roman" w:hAnsi="Times New Roman" w:cs="Times New Roman"/>
          <w:b/>
          <w:sz w:val="24"/>
          <w:szCs w:val="24"/>
          <w:lang w:val="lt-LT"/>
        </w:rPr>
      </w:pPr>
      <w:r w:rsidRPr="0012253C">
        <w:rPr>
          <w:rFonts w:ascii="Times New Roman" w:hAnsi="Times New Roman" w:cs="Times New Roman"/>
          <w:b/>
          <w:sz w:val="24"/>
          <w:szCs w:val="24"/>
          <w:lang w:val="lt-LT"/>
        </w:rPr>
        <w:t>DĖL KVIETIMO Į RINKOS KONSULTACIJĄ</w:t>
      </w:r>
    </w:p>
    <w:p w14:paraId="71DFC14E" w14:textId="77777777" w:rsidR="00E4196E" w:rsidRPr="0012253C" w:rsidRDefault="00E4196E" w:rsidP="00E4196E">
      <w:pPr>
        <w:jc w:val="both"/>
        <w:rPr>
          <w:rFonts w:ascii="Times New Roman" w:hAnsi="Times New Roman" w:cs="Times New Roman"/>
          <w:b/>
          <w:sz w:val="24"/>
          <w:szCs w:val="24"/>
          <w:lang w:val="lt-LT"/>
        </w:rPr>
      </w:pPr>
    </w:p>
    <w:p w14:paraId="3007C885" w14:textId="2FA58248" w:rsidR="00E4196E" w:rsidRPr="000A42CC" w:rsidRDefault="00E4196E" w:rsidP="000A42CC">
      <w:pPr>
        <w:contextualSpacing/>
        <w:jc w:val="both"/>
        <w:rPr>
          <w:rFonts w:ascii="Times New Roman" w:hAnsi="Times New Roman" w:cs="Times New Roman"/>
          <w:b/>
          <w:i/>
          <w:sz w:val="24"/>
          <w:szCs w:val="24"/>
          <w:lang w:val="lt-LT"/>
        </w:rPr>
      </w:pPr>
      <w:r w:rsidRPr="0012253C">
        <w:rPr>
          <w:rFonts w:ascii="Times New Roman" w:hAnsi="Times New Roman" w:cs="Times New Roman"/>
          <w:sz w:val="24"/>
          <w:szCs w:val="24"/>
          <w:lang w:val="lt-LT" w:eastAsia="lt-LT"/>
        </w:rPr>
        <w:t>Infrastruktūros valdymo agentūra, juridinio asmens kodas 188743887, adresas Giedraičių g. 41-101, Vilnius</w:t>
      </w:r>
      <w:r w:rsidRPr="0012253C">
        <w:rPr>
          <w:rFonts w:ascii="Times New Roman" w:hAnsi="Times New Roman" w:cs="Times New Roman"/>
          <w:sz w:val="24"/>
          <w:szCs w:val="24"/>
          <w:lang w:val="lt-LT"/>
        </w:rPr>
        <w:t xml:space="preserve"> (toliau – </w:t>
      </w:r>
      <w:r w:rsidR="000A42CC">
        <w:rPr>
          <w:rFonts w:ascii="Times New Roman" w:hAnsi="Times New Roman" w:cs="Times New Roman"/>
          <w:sz w:val="24"/>
          <w:szCs w:val="24"/>
          <w:lang w:val="lt-LT"/>
        </w:rPr>
        <w:t>p</w:t>
      </w:r>
      <w:r w:rsidRPr="0012253C">
        <w:rPr>
          <w:rFonts w:ascii="Times New Roman" w:hAnsi="Times New Roman" w:cs="Times New Roman"/>
          <w:sz w:val="24"/>
          <w:szCs w:val="24"/>
          <w:lang w:val="lt-LT"/>
        </w:rPr>
        <w:t xml:space="preserve">erkančioji organizacija), siekdama tinkamai pasiruošti numatomam pirkimui </w:t>
      </w:r>
      <w:r w:rsidRPr="0012253C">
        <w:rPr>
          <w:rFonts w:ascii="Times New Roman" w:hAnsi="Times New Roman" w:cs="Times New Roman"/>
          <w:b/>
          <w:sz w:val="24"/>
          <w:szCs w:val="24"/>
          <w:lang w:val="lt-LT"/>
        </w:rPr>
        <w:t>„</w:t>
      </w:r>
      <w:r w:rsidR="000A42CC">
        <w:rPr>
          <w:rFonts w:ascii="Times New Roman" w:hAnsi="Times New Roman" w:cs="Times New Roman"/>
          <w:b/>
          <w:i/>
          <w:sz w:val="24"/>
          <w:szCs w:val="24"/>
          <w:lang w:val="lt-LT"/>
        </w:rPr>
        <w:t>B</w:t>
      </w:r>
      <w:r w:rsidR="000A42CC" w:rsidRPr="000A42CC">
        <w:rPr>
          <w:rFonts w:ascii="Times New Roman" w:hAnsi="Times New Roman" w:cs="Times New Roman"/>
          <w:b/>
          <w:i/>
          <w:sz w:val="24"/>
          <w:szCs w:val="24"/>
          <w:lang w:val="lt-LT"/>
        </w:rPr>
        <w:t>ataliono st</w:t>
      </w:r>
      <w:r w:rsidR="000A42CC">
        <w:rPr>
          <w:rFonts w:ascii="Times New Roman" w:hAnsi="Times New Roman" w:cs="Times New Roman"/>
          <w:b/>
          <w:i/>
          <w:sz w:val="24"/>
          <w:szCs w:val="24"/>
          <w:lang w:val="lt-LT"/>
        </w:rPr>
        <w:t xml:space="preserve">atinių </w:t>
      </w:r>
      <w:r w:rsidR="0086228C">
        <w:rPr>
          <w:rFonts w:ascii="Times New Roman" w:hAnsi="Times New Roman" w:cs="Times New Roman"/>
          <w:b/>
          <w:i/>
          <w:sz w:val="24"/>
          <w:szCs w:val="24"/>
          <w:lang w:val="lt-LT"/>
        </w:rPr>
        <w:t>rytų Lietuvoje</w:t>
      </w:r>
      <w:r w:rsidR="000A42CC">
        <w:rPr>
          <w:rFonts w:ascii="Times New Roman" w:hAnsi="Times New Roman" w:cs="Times New Roman"/>
          <w:b/>
          <w:i/>
          <w:sz w:val="24"/>
          <w:szCs w:val="24"/>
          <w:lang w:val="lt-LT"/>
        </w:rPr>
        <w:t xml:space="preserve"> projektavimo paslaugos (projektiniai pasiūlymai), taikant statinio </w:t>
      </w:r>
      <w:r w:rsidR="000A42CC" w:rsidRPr="000A42CC">
        <w:rPr>
          <w:rFonts w:ascii="Times New Roman" w:hAnsi="Times New Roman" w:cs="Times New Roman"/>
          <w:b/>
          <w:i/>
          <w:sz w:val="24"/>
          <w:szCs w:val="24"/>
          <w:lang w:val="lt-LT"/>
        </w:rPr>
        <w:t>informacinį</w:t>
      </w:r>
      <w:r w:rsidR="000A42CC">
        <w:rPr>
          <w:rFonts w:ascii="Times New Roman" w:hAnsi="Times New Roman" w:cs="Times New Roman"/>
          <w:b/>
          <w:i/>
          <w:sz w:val="24"/>
          <w:szCs w:val="24"/>
          <w:lang w:val="lt-LT"/>
        </w:rPr>
        <w:t xml:space="preserve"> modeliavimą </w:t>
      </w:r>
      <w:r w:rsidR="000A42CC" w:rsidRPr="000A42CC">
        <w:rPr>
          <w:rFonts w:ascii="Times New Roman" w:hAnsi="Times New Roman" w:cs="Times New Roman"/>
          <w:b/>
          <w:i/>
          <w:sz w:val="24"/>
          <w:szCs w:val="24"/>
          <w:lang w:val="lt-LT"/>
        </w:rPr>
        <w:t>(BIM)</w:t>
      </w:r>
      <w:r w:rsidR="00AF7F8F" w:rsidRPr="0012253C">
        <w:rPr>
          <w:rFonts w:ascii="Times New Roman" w:hAnsi="Times New Roman" w:cs="Times New Roman"/>
          <w:b/>
          <w:sz w:val="24"/>
          <w:szCs w:val="24"/>
          <w:lang w:val="lt-LT"/>
        </w:rPr>
        <w:t>“</w:t>
      </w:r>
      <w:r w:rsidRPr="0012253C">
        <w:rPr>
          <w:rFonts w:ascii="Times New Roman" w:hAnsi="Times New Roman" w:cs="Times New Roman"/>
          <w:sz w:val="24"/>
          <w:szCs w:val="24"/>
          <w:lang w:val="lt-LT"/>
        </w:rPr>
        <w:t xml:space="preserve"> (toliau – </w:t>
      </w:r>
      <w:r w:rsidR="000A42CC">
        <w:rPr>
          <w:rFonts w:ascii="Times New Roman" w:hAnsi="Times New Roman" w:cs="Times New Roman"/>
          <w:sz w:val="24"/>
          <w:szCs w:val="24"/>
          <w:lang w:val="lt-LT"/>
        </w:rPr>
        <w:t>p</w:t>
      </w:r>
      <w:r w:rsidRPr="0012253C">
        <w:rPr>
          <w:rFonts w:ascii="Times New Roman" w:hAnsi="Times New Roman" w:cs="Times New Roman"/>
          <w:sz w:val="24"/>
          <w:szCs w:val="24"/>
          <w:lang w:val="lt-LT"/>
        </w:rPr>
        <w:t>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12253C" w:rsidRPr="0012253C" w14:paraId="62AD11B5" w14:textId="77777777" w:rsidTr="00F02603">
        <w:tc>
          <w:tcPr>
            <w:tcW w:w="1723" w:type="dxa"/>
          </w:tcPr>
          <w:p w14:paraId="35A46178" w14:textId="77777777" w:rsidR="00E4196E" w:rsidRPr="0012253C" w:rsidRDefault="00E4196E" w:rsidP="00F343EA">
            <w:pPr>
              <w:spacing w:after="0"/>
              <w:rPr>
                <w:rFonts w:ascii="Times New Roman" w:hAnsi="Times New Roman" w:cs="Times New Roman"/>
                <w:b/>
                <w:sz w:val="24"/>
                <w:szCs w:val="24"/>
                <w:lang w:val="lt-LT"/>
              </w:rPr>
            </w:pPr>
            <w:r w:rsidRPr="0012253C">
              <w:rPr>
                <w:rFonts w:ascii="Times New Roman" w:hAnsi="Times New Roman" w:cs="Times New Roman"/>
                <w:b/>
                <w:sz w:val="24"/>
                <w:szCs w:val="24"/>
                <w:lang w:val="lt-LT"/>
              </w:rPr>
              <w:t>Konsultacijos objektas:</w:t>
            </w:r>
          </w:p>
        </w:tc>
        <w:tc>
          <w:tcPr>
            <w:tcW w:w="8195" w:type="dxa"/>
          </w:tcPr>
          <w:p w14:paraId="7E3C198C" w14:textId="3F93CA22" w:rsidR="00E4196E" w:rsidRPr="0012253C" w:rsidRDefault="00E4196E" w:rsidP="00453986">
            <w:pPr>
              <w:spacing w:after="0"/>
              <w:jc w:val="both"/>
              <w:rPr>
                <w:rFonts w:ascii="Times New Roman" w:hAnsi="Times New Roman" w:cs="Times New Roman"/>
                <w:sz w:val="24"/>
                <w:szCs w:val="24"/>
                <w:lang w:val="lt-LT" w:eastAsia="lt-LT"/>
              </w:rPr>
            </w:pPr>
            <w:r w:rsidRPr="0012253C">
              <w:rPr>
                <w:rFonts w:ascii="Times New Roman" w:hAnsi="Times New Roman" w:cs="Times New Roman"/>
                <w:sz w:val="24"/>
                <w:szCs w:val="24"/>
                <w:lang w:val="lt-LT" w:eastAsia="lt-LT"/>
              </w:rPr>
              <w:t>Tinkamas pasirengimas pirkimui „</w:t>
            </w:r>
            <w:r w:rsidR="0086228C">
              <w:rPr>
                <w:rFonts w:ascii="Times New Roman" w:hAnsi="Times New Roman" w:cs="Times New Roman"/>
                <w:b/>
                <w:i/>
                <w:sz w:val="24"/>
                <w:szCs w:val="24"/>
                <w:lang w:val="lt-LT"/>
              </w:rPr>
              <w:t>B</w:t>
            </w:r>
            <w:r w:rsidR="0086228C" w:rsidRPr="000A42CC">
              <w:rPr>
                <w:rFonts w:ascii="Times New Roman" w:hAnsi="Times New Roman" w:cs="Times New Roman"/>
                <w:b/>
                <w:i/>
                <w:sz w:val="24"/>
                <w:szCs w:val="24"/>
                <w:lang w:val="lt-LT"/>
              </w:rPr>
              <w:t>ataliono st</w:t>
            </w:r>
            <w:r w:rsidR="0086228C">
              <w:rPr>
                <w:rFonts w:ascii="Times New Roman" w:hAnsi="Times New Roman" w:cs="Times New Roman"/>
                <w:b/>
                <w:i/>
                <w:sz w:val="24"/>
                <w:szCs w:val="24"/>
                <w:lang w:val="lt-LT"/>
              </w:rPr>
              <w:t xml:space="preserve">atinių rytų Lietuvoje projektavimo paslaugos (projektiniai pasiūlymai), taikant statinio </w:t>
            </w:r>
            <w:r w:rsidR="0086228C" w:rsidRPr="000A42CC">
              <w:rPr>
                <w:rFonts w:ascii="Times New Roman" w:hAnsi="Times New Roman" w:cs="Times New Roman"/>
                <w:b/>
                <w:i/>
                <w:sz w:val="24"/>
                <w:szCs w:val="24"/>
                <w:lang w:val="lt-LT"/>
              </w:rPr>
              <w:t>informacinį</w:t>
            </w:r>
            <w:r w:rsidR="0086228C">
              <w:rPr>
                <w:rFonts w:ascii="Times New Roman" w:hAnsi="Times New Roman" w:cs="Times New Roman"/>
                <w:b/>
                <w:i/>
                <w:sz w:val="24"/>
                <w:szCs w:val="24"/>
                <w:lang w:val="lt-LT"/>
              </w:rPr>
              <w:t xml:space="preserve"> modeliavimą </w:t>
            </w:r>
            <w:r w:rsidR="0086228C" w:rsidRPr="000A42CC">
              <w:rPr>
                <w:rFonts w:ascii="Times New Roman" w:hAnsi="Times New Roman" w:cs="Times New Roman"/>
                <w:b/>
                <w:i/>
                <w:sz w:val="24"/>
                <w:szCs w:val="24"/>
                <w:lang w:val="lt-LT"/>
              </w:rPr>
              <w:t>(BIM</w:t>
            </w:r>
            <w:r w:rsidR="0086228C">
              <w:rPr>
                <w:rFonts w:ascii="Times New Roman" w:hAnsi="Times New Roman" w:cs="Times New Roman"/>
                <w:b/>
                <w:i/>
                <w:sz w:val="24"/>
                <w:szCs w:val="24"/>
                <w:lang w:val="lt-LT"/>
              </w:rPr>
              <w:t>)</w:t>
            </w:r>
            <w:r w:rsidR="00E857A5" w:rsidRPr="0012253C">
              <w:rPr>
                <w:rFonts w:ascii="Times New Roman" w:hAnsi="Times New Roman" w:cs="Times New Roman"/>
                <w:sz w:val="24"/>
                <w:szCs w:val="24"/>
                <w:lang w:val="lt-LT"/>
              </w:rPr>
              <w:t>“.</w:t>
            </w:r>
          </w:p>
        </w:tc>
      </w:tr>
      <w:tr w:rsidR="0012253C" w:rsidRPr="0012253C" w14:paraId="2C205A44" w14:textId="77777777" w:rsidTr="00F02603">
        <w:tc>
          <w:tcPr>
            <w:tcW w:w="1723" w:type="dxa"/>
          </w:tcPr>
          <w:p w14:paraId="248D44B7" w14:textId="77777777" w:rsidR="00E4196E" w:rsidRPr="0012253C" w:rsidRDefault="00E4196E" w:rsidP="001F682A">
            <w:pPr>
              <w:spacing w:after="0"/>
              <w:jc w:val="both"/>
              <w:rPr>
                <w:rFonts w:ascii="Times New Roman" w:hAnsi="Times New Roman" w:cs="Times New Roman"/>
                <w:b/>
                <w:sz w:val="24"/>
                <w:szCs w:val="24"/>
                <w:lang w:val="lt-LT"/>
              </w:rPr>
            </w:pPr>
            <w:r w:rsidRPr="0012253C">
              <w:rPr>
                <w:rFonts w:ascii="Times New Roman" w:hAnsi="Times New Roman" w:cs="Times New Roman"/>
                <w:b/>
                <w:sz w:val="24"/>
                <w:szCs w:val="24"/>
                <w:lang w:val="lt-LT"/>
              </w:rPr>
              <w:t>Konsultacijos tikslas:</w:t>
            </w:r>
          </w:p>
        </w:tc>
        <w:tc>
          <w:tcPr>
            <w:tcW w:w="8195" w:type="dxa"/>
          </w:tcPr>
          <w:p w14:paraId="5A91F2E6" w14:textId="779E7AFB" w:rsidR="00E4196E" w:rsidRPr="0012253C" w:rsidRDefault="00E4196E" w:rsidP="001F682A">
            <w:pPr>
              <w:spacing w:after="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Perkančioji organizacija iki pirkimo pradžios informuoja rinkos dalyvius (toliau – rinkos dalyviai arba tiekėjai) apie numatomą pirkimą prašant tiekėjų, kurie yra suinteresuoti dalyvauti pirkime, pateikti nuomonę/siūlymus/rekomendacijas dėl numatomo pirkimo.</w:t>
            </w:r>
          </w:p>
        </w:tc>
      </w:tr>
      <w:tr w:rsidR="0012253C" w:rsidRPr="0012253C" w14:paraId="60456030" w14:textId="77777777" w:rsidTr="00F02603">
        <w:tc>
          <w:tcPr>
            <w:tcW w:w="1723" w:type="dxa"/>
          </w:tcPr>
          <w:p w14:paraId="7033AE14" w14:textId="77777777" w:rsidR="00E4196E" w:rsidRPr="0012253C" w:rsidRDefault="00E4196E" w:rsidP="001F682A">
            <w:pPr>
              <w:spacing w:after="0"/>
              <w:rPr>
                <w:rFonts w:ascii="Times New Roman" w:hAnsi="Times New Roman" w:cs="Times New Roman"/>
                <w:b/>
                <w:sz w:val="24"/>
                <w:szCs w:val="24"/>
                <w:lang w:val="lt-LT"/>
              </w:rPr>
            </w:pPr>
            <w:r w:rsidRPr="0012253C">
              <w:rPr>
                <w:rFonts w:ascii="Times New Roman" w:hAnsi="Times New Roman" w:cs="Times New Roman"/>
                <w:b/>
                <w:sz w:val="24"/>
                <w:szCs w:val="24"/>
                <w:lang w:val="lt-LT"/>
              </w:rPr>
              <w:t>Pasiūlymai:</w:t>
            </w:r>
          </w:p>
        </w:tc>
        <w:tc>
          <w:tcPr>
            <w:tcW w:w="8195" w:type="dxa"/>
          </w:tcPr>
          <w:p w14:paraId="09AA2B22" w14:textId="77777777" w:rsidR="00E4196E" w:rsidRPr="0012253C" w:rsidRDefault="00E4196E" w:rsidP="001F682A">
            <w:pPr>
              <w:tabs>
                <w:tab w:val="left" w:pos="720"/>
              </w:tabs>
              <w:spacing w:after="0"/>
              <w:jc w:val="both"/>
              <w:rPr>
                <w:rFonts w:ascii="Times New Roman" w:hAnsi="Times New Roman" w:cs="Times New Roman"/>
                <w:sz w:val="24"/>
                <w:szCs w:val="24"/>
                <w:highlight w:val="yellow"/>
                <w:lang w:val="lt-LT"/>
              </w:rPr>
            </w:pPr>
            <w:r w:rsidRPr="0012253C">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12253C" w:rsidRPr="0012253C" w14:paraId="24082105" w14:textId="77777777" w:rsidTr="00F02603">
        <w:tc>
          <w:tcPr>
            <w:tcW w:w="1723" w:type="dxa"/>
          </w:tcPr>
          <w:p w14:paraId="6087EB0D" w14:textId="77777777" w:rsidR="00E4196E" w:rsidRPr="0012253C" w:rsidRDefault="00E4196E" w:rsidP="006F301D">
            <w:pPr>
              <w:jc w:val="both"/>
              <w:rPr>
                <w:rFonts w:ascii="Times New Roman" w:hAnsi="Times New Roman" w:cs="Times New Roman"/>
                <w:b/>
                <w:sz w:val="24"/>
                <w:szCs w:val="24"/>
                <w:lang w:val="lt-LT"/>
              </w:rPr>
            </w:pPr>
            <w:r w:rsidRPr="0012253C">
              <w:rPr>
                <w:rFonts w:ascii="Times New Roman" w:hAnsi="Times New Roman" w:cs="Times New Roman"/>
                <w:b/>
                <w:sz w:val="24"/>
                <w:szCs w:val="24"/>
                <w:lang w:val="lt-LT"/>
              </w:rPr>
              <w:t>Konsultacijos su rinka laikas bei</w:t>
            </w:r>
            <w:r w:rsidR="006F301D" w:rsidRPr="0012253C">
              <w:rPr>
                <w:rFonts w:ascii="Times New Roman" w:hAnsi="Times New Roman" w:cs="Times New Roman"/>
                <w:b/>
                <w:sz w:val="24"/>
                <w:szCs w:val="24"/>
                <w:lang w:val="lt-LT"/>
              </w:rPr>
              <w:t xml:space="preserve"> </w:t>
            </w:r>
            <w:r w:rsidRPr="0012253C">
              <w:rPr>
                <w:rFonts w:ascii="Times New Roman" w:hAnsi="Times New Roman" w:cs="Times New Roman"/>
                <w:b/>
                <w:sz w:val="24"/>
                <w:szCs w:val="24"/>
                <w:lang w:val="lt-LT"/>
              </w:rPr>
              <w:t>pastabų ir pasiūlymų pateikimo terminas:</w:t>
            </w:r>
          </w:p>
        </w:tc>
        <w:tc>
          <w:tcPr>
            <w:tcW w:w="8195" w:type="dxa"/>
          </w:tcPr>
          <w:p w14:paraId="595134DA" w14:textId="6867B266" w:rsidR="00E4196E" w:rsidRPr="0012253C"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sz w:val="24"/>
                <w:szCs w:val="24"/>
                <w:lang w:val="lt-LT"/>
              </w:rPr>
              <w:t xml:space="preserve">Perkančioji organizacija prašo rinkos dalyvių ne vėliau kaip </w:t>
            </w:r>
            <w:r w:rsidR="002512A0" w:rsidRPr="0012253C">
              <w:rPr>
                <w:rFonts w:ascii="Times New Roman" w:hAnsi="Times New Roman" w:cs="Times New Roman"/>
                <w:b/>
                <w:bCs/>
                <w:sz w:val="24"/>
                <w:szCs w:val="24"/>
                <w:shd w:val="clear" w:color="auto" w:fill="FFFFFF"/>
                <w:lang w:val="lt-LT" w:eastAsia="en-GB"/>
              </w:rPr>
              <w:t>iki CVP IS nurodyto termino</w:t>
            </w:r>
            <w:r w:rsidR="002512A0" w:rsidRPr="0012253C" w:rsidDel="002512A0">
              <w:rPr>
                <w:rFonts w:ascii="Times New Roman" w:hAnsi="Times New Roman" w:cs="Times New Roman"/>
                <w:b/>
                <w:bCs/>
                <w:sz w:val="24"/>
                <w:szCs w:val="24"/>
                <w:lang w:val="lt-LT"/>
              </w:rPr>
              <w:t xml:space="preserve"> </w:t>
            </w:r>
            <w:r w:rsidRPr="0012253C">
              <w:rPr>
                <w:rFonts w:ascii="Times New Roman" w:hAnsi="Times New Roman" w:cs="Times New Roman"/>
                <w:sz w:val="24"/>
                <w:szCs w:val="24"/>
                <w:lang w:val="lt-LT"/>
              </w:rPr>
              <w:t xml:space="preserve">pateikti </w:t>
            </w:r>
            <w:r w:rsidRPr="0012253C">
              <w:rPr>
                <w:rFonts w:ascii="Times New Roman" w:hAnsi="Times New Roman" w:cs="Times New Roman"/>
                <w:bCs/>
                <w:kern w:val="24"/>
                <w:sz w:val="24"/>
                <w:szCs w:val="24"/>
                <w:lang w:val="lt-LT" w:eastAsia="lt-LT"/>
              </w:rPr>
              <w:t>komentarus, siūlymus, pastabas ir rekomendacijas Centrinės viešųjų pirkimų informacinės sistemos</w:t>
            </w:r>
            <w:r w:rsidRPr="0012253C">
              <w:rPr>
                <w:rFonts w:ascii="Times New Roman" w:hAnsi="Times New Roman" w:cs="Times New Roman"/>
                <w:sz w:val="24"/>
                <w:szCs w:val="24"/>
                <w:lang w:val="lt-LT"/>
              </w:rPr>
              <w:t xml:space="preserve"> </w:t>
            </w:r>
            <w:r w:rsidRPr="0012253C">
              <w:rPr>
                <w:rFonts w:ascii="Times New Roman" w:hAnsi="Times New Roman" w:cs="Times New Roman"/>
                <w:bCs/>
                <w:kern w:val="24"/>
                <w:sz w:val="24"/>
                <w:szCs w:val="24"/>
                <w:lang w:val="lt-LT" w:eastAsia="lt-LT"/>
              </w:rPr>
              <w:t xml:space="preserve">(toliau – </w:t>
            </w:r>
            <w:r w:rsidRPr="0012253C">
              <w:rPr>
                <w:rFonts w:ascii="Times New Roman" w:hAnsi="Times New Roman" w:cs="Times New Roman"/>
                <w:sz w:val="24"/>
                <w:szCs w:val="24"/>
                <w:lang w:val="lt-LT"/>
              </w:rPr>
              <w:t>CVP IS) priemonėmis</w:t>
            </w:r>
            <w:r w:rsidRPr="0012253C">
              <w:rPr>
                <w:rFonts w:ascii="Times New Roman" w:hAnsi="Times New Roman" w:cs="Times New Roman"/>
                <w:bCs/>
                <w:kern w:val="24"/>
                <w:sz w:val="24"/>
                <w:szCs w:val="24"/>
                <w:lang w:val="lt-LT" w:eastAsia="lt-LT"/>
              </w:rPr>
              <w:t>, kurios bus įvertintos ir dėl jų priimtas sprendimas.</w:t>
            </w:r>
          </w:p>
          <w:p w14:paraId="5CF05011" w14:textId="1D5A94DD" w:rsidR="00D65549" w:rsidRPr="0012253C"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Jeigu rinkos dalyviui atsakymams į klausimus pateikti būtina papildoma informacija, tai klausimus gali pateikti CVP IS priemonėmis.</w:t>
            </w:r>
          </w:p>
          <w:p w14:paraId="1B6574F3" w14:textId="77777777" w:rsidR="00E4196E" w:rsidRPr="0012253C"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 xml:space="preserve">Klausimai, pastabos, komentarai ir </w:t>
            </w:r>
            <w:r w:rsidR="006F301D" w:rsidRPr="0012253C">
              <w:rPr>
                <w:rFonts w:ascii="Times New Roman" w:hAnsi="Times New Roman" w:cs="Times New Roman"/>
                <w:bCs/>
                <w:kern w:val="24"/>
                <w:sz w:val="24"/>
                <w:szCs w:val="24"/>
                <w:lang w:val="lt-LT" w:eastAsia="lt-LT"/>
              </w:rPr>
              <w:t>kt</w:t>
            </w:r>
            <w:r w:rsidRPr="0012253C">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Pr="0012253C"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12253C"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sidRPr="0012253C">
              <w:rPr>
                <w:rFonts w:ascii="Times New Roman" w:hAnsi="Times New Roman" w:cs="Times New Roman"/>
                <w:bCs/>
                <w:kern w:val="24"/>
                <w:sz w:val="24"/>
                <w:szCs w:val="24"/>
                <w:lang w:val="lt-LT" w:eastAsia="lt-LT"/>
              </w:rPr>
              <w:t>Esant poreikiui, perkančioji organizacija gali organizuoti gyvą susitikimą su tiekėju (-</w:t>
            </w:r>
            <w:proofErr w:type="spellStart"/>
            <w:r w:rsidRPr="0012253C">
              <w:rPr>
                <w:rFonts w:ascii="Times New Roman" w:hAnsi="Times New Roman" w:cs="Times New Roman"/>
                <w:bCs/>
                <w:kern w:val="24"/>
                <w:sz w:val="24"/>
                <w:szCs w:val="24"/>
                <w:lang w:val="lt-LT" w:eastAsia="lt-LT"/>
              </w:rPr>
              <w:t>iais</w:t>
            </w:r>
            <w:proofErr w:type="spellEnd"/>
            <w:r w:rsidRPr="0012253C">
              <w:rPr>
                <w:rFonts w:ascii="Times New Roman" w:hAnsi="Times New Roman" w:cs="Times New Roman"/>
                <w:bCs/>
                <w:kern w:val="24"/>
                <w:sz w:val="24"/>
                <w:szCs w:val="24"/>
                <w:lang w:val="lt-LT" w:eastAsia="lt-LT"/>
              </w:rPr>
              <w:t xml:space="preserve">) pateiktų pastabų, įžvalgų ir atsakymų į pateiktus klausimus aptarimui. </w:t>
            </w:r>
          </w:p>
          <w:p w14:paraId="3F726E8E" w14:textId="6C94878D" w:rsidR="00E4196E" w:rsidRPr="0012253C"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12253C" w:rsidRPr="0012253C" w14:paraId="11EF088D" w14:textId="77777777" w:rsidTr="00F02603">
        <w:trPr>
          <w:trHeight w:val="519"/>
        </w:trPr>
        <w:tc>
          <w:tcPr>
            <w:tcW w:w="1723" w:type="dxa"/>
          </w:tcPr>
          <w:p w14:paraId="78E7F8EA" w14:textId="77777777" w:rsidR="00E4196E" w:rsidRPr="0012253C" w:rsidRDefault="00E4196E" w:rsidP="00BB2779">
            <w:pPr>
              <w:rPr>
                <w:rFonts w:ascii="Times New Roman" w:hAnsi="Times New Roman" w:cs="Times New Roman"/>
                <w:b/>
                <w:sz w:val="24"/>
                <w:szCs w:val="24"/>
                <w:lang w:val="lt-LT"/>
              </w:rPr>
            </w:pPr>
            <w:r w:rsidRPr="0012253C">
              <w:rPr>
                <w:rFonts w:ascii="Times New Roman" w:hAnsi="Times New Roman" w:cs="Times New Roman"/>
                <w:b/>
                <w:sz w:val="24"/>
                <w:szCs w:val="24"/>
                <w:lang w:val="lt-LT"/>
              </w:rPr>
              <w:lastRenderedPageBreak/>
              <w:t>Suinteresuotų asmenų informavimas:</w:t>
            </w:r>
          </w:p>
        </w:tc>
        <w:tc>
          <w:tcPr>
            <w:tcW w:w="8195" w:type="dxa"/>
          </w:tcPr>
          <w:p w14:paraId="76452503" w14:textId="77777777" w:rsidR="00E4196E" w:rsidRPr="0012253C"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R</w:t>
            </w:r>
            <w:r w:rsidR="00E4196E" w:rsidRPr="0012253C">
              <w:rPr>
                <w:rFonts w:ascii="Times New Roman" w:hAnsi="Times New Roman" w:cs="Times New Roman"/>
                <w:sz w:val="24"/>
                <w:szCs w:val="24"/>
                <w:lang w:val="lt-LT"/>
              </w:rPr>
              <w:t>inkos konsultacijos procedūros vykdomos lietuvių kalba.</w:t>
            </w:r>
          </w:p>
          <w:p w14:paraId="55A9D59B" w14:textId="36389C43"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12253C" w:rsidRPr="0012253C" w14:paraId="4E51E1F4" w14:textId="77777777" w:rsidTr="0086228C">
        <w:trPr>
          <w:trHeight w:val="551"/>
        </w:trPr>
        <w:tc>
          <w:tcPr>
            <w:tcW w:w="1723" w:type="dxa"/>
          </w:tcPr>
          <w:p w14:paraId="1A27D3EE" w14:textId="0B4F4CB7" w:rsidR="00E4196E" w:rsidRPr="0012253C" w:rsidRDefault="00E4196E" w:rsidP="00BB2779">
            <w:pPr>
              <w:rPr>
                <w:rFonts w:ascii="Times New Roman" w:hAnsi="Times New Roman" w:cs="Times New Roman"/>
                <w:b/>
                <w:sz w:val="24"/>
                <w:szCs w:val="24"/>
                <w:lang w:val="lt-LT"/>
              </w:rPr>
            </w:pPr>
            <w:r w:rsidRPr="0012253C">
              <w:rPr>
                <w:rFonts w:ascii="Times New Roman" w:hAnsi="Times New Roman" w:cs="Times New Roman"/>
                <w:b/>
                <w:sz w:val="24"/>
                <w:szCs w:val="24"/>
                <w:lang w:val="lt-LT"/>
              </w:rPr>
              <w:t>Kontaktiniai asmenys:</w:t>
            </w:r>
          </w:p>
        </w:tc>
        <w:tc>
          <w:tcPr>
            <w:tcW w:w="8195" w:type="dxa"/>
          </w:tcPr>
          <w:p w14:paraId="04FA089D" w14:textId="28E243C9" w:rsidR="00E4196E" w:rsidRPr="0012253C" w:rsidRDefault="00E4196E" w:rsidP="00F603B7">
            <w:pPr>
              <w:spacing w:after="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Asmuo, atsakingas už procedūrų CVP IS vykdymą</w:t>
            </w:r>
            <w:r w:rsidR="00C46B70" w:rsidRPr="0012253C">
              <w:rPr>
                <w:rFonts w:ascii="Times New Roman" w:hAnsi="Times New Roman" w:cs="Times New Roman"/>
                <w:sz w:val="24"/>
                <w:szCs w:val="24"/>
                <w:lang w:val="lt-LT"/>
              </w:rPr>
              <w:t>:</w:t>
            </w:r>
          </w:p>
          <w:p w14:paraId="07291687" w14:textId="3D130601" w:rsidR="00E4196E" w:rsidRPr="0012253C" w:rsidRDefault="00E4196E" w:rsidP="005E4474">
            <w:pPr>
              <w:spacing w:after="0"/>
              <w:jc w:val="both"/>
              <w:rPr>
                <w:rFonts w:ascii="Times New Roman" w:hAnsi="Times New Roman" w:cs="Times New Roman"/>
                <w:sz w:val="24"/>
                <w:szCs w:val="24"/>
                <w:lang w:val="lt-LT"/>
              </w:rPr>
            </w:pPr>
          </w:p>
        </w:tc>
      </w:tr>
      <w:tr w:rsidR="00E4196E" w:rsidRPr="0012253C" w14:paraId="74AA5B74" w14:textId="77777777" w:rsidTr="00F02603">
        <w:tc>
          <w:tcPr>
            <w:tcW w:w="1723" w:type="dxa"/>
          </w:tcPr>
          <w:p w14:paraId="36562E39" w14:textId="77777777" w:rsidR="00E4196E" w:rsidRPr="0012253C" w:rsidRDefault="00E4196E" w:rsidP="00BB2779">
            <w:pPr>
              <w:ind w:right="-198"/>
              <w:rPr>
                <w:rFonts w:ascii="Times New Roman" w:hAnsi="Times New Roman" w:cs="Times New Roman"/>
                <w:b/>
                <w:sz w:val="24"/>
                <w:szCs w:val="24"/>
                <w:lang w:val="lt-LT"/>
              </w:rPr>
            </w:pPr>
            <w:r w:rsidRPr="0012253C">
              <w:rPr>
                <w:rFonts w:ascii="Times New Roman" w:hAnsi="Times New Roman" w:cs="Times New Roman"/>
                <w:b/>
                <w:sz w:val="24"/>
                <w:szCs w:val="24"/>
                <w:lang w:val="lt-LT"/>
              </w:rPr>
              <w:t>PRIDEDAMA:</w:t>
            </w:r>
          </w:p>
        </w:tc>
        <w:tc>
          <w:tcPr>
            <w:tcW w:w="8195" w:type="dxa"/>
          </w:tcPr>
          <w:p w14:paraId="23381FB8" w14:textId="65043E99" w:rsidR="00E4196E" w:rsidRPr="000154C3" w:rsidRDefault="00E4196E"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0154C3">
              <w:rPr>
                <w:rFonts w:ascii="Times New Roman" w:eastAsia="Calibri" w:hAnsi="Times New Roman" w:cs="Times New Roman"/>
                <w:sz w:val="24"/>
                <w:szCs w:val="24"/>
                <w:lang w:val="lt-LT"/>
              </w:rPr>
              <w:t>Klausimynas</w:t>
            </w:r>
            <w:r w:rsidR="00B80090" w:rsidRPr="000154C3">
              <w:rPr>
                <w:rFonts w:ascii="Times New Roman" w:eastAsia="Calibri" w:hAnsi="Times New Roman" w:cs="Times New Roman"/>
                <w:sz w:val="24"/>
                <w:szCs w:val="24"/>
                <w:lang w:val="lt-LT"/>
              </w:rPr>
              <w:t xml:space="preserve">, </w:t>
            </w:r>
            <w:r w:rsidR="00D7478A" w:rsidRPr="000154C3">
              <w:rPr>
                <w:rFonts w:ascii="Times New Roman" w:eastAsia="Calibri" w:hAnsi="Times New Roman" w:cs="Times New Roman"/>
                <w:sz w:val="24"/>
                <w:szCs w:val="24"/>
                <w:lang w:val="lt-LT"/>
              </w:rPr>
              <w:t>2</w:t>
            </w:r>
            <w:r w:rsidR="00B80090" w:rsidRPr="000154C3">
              <w:rPr>
                <w:rFonts w:ascii="Times New Roman" w:eastAsia="Calibri" w:hAnsi="Times New Roman" w:cs="Times New Roman"/>
                <w:sz w:val="24"/>
                <w:szCs w:val="24"/>
                <w:lang w:val="lt-LT"/>
              </w:rPr>
              <w:t xml:space="preserve"> lapa</w:t>
            </w:r>
            <w:r w:rsidR="00D7478A" w:rsidRPr="000154C3">
              <w:rPr>
                <w:rFonts w:ascii="Times New Roman" w:eastAsia="Calibri" w:hAnsi="Times New Roman" w:cs="Times New Roman"/>
                <w:sz w:val="24"/>
                <w:szCs w:val="24"/>
                <w:lang w:val="lt-LT"/>
              </w:rPr>
              <w:t>i</w:t>
            </w:r>
            <w:r w:rsidRPr="000154C3">
              <w:rPr>
                <w:rFonts w:ascii="Times New Roman" w:eastAsia="Calibri" w:hAnsi="Times New Roman" w:cs="Times New Roman"/>
                <w:sz w:val="24"/>
                <w:szCs w:val="24"/>
                <w:lang w:val="lt-LT"/>
              </w:rPr>
              <w:t>;</w:t>
            </w:r>
          </w:p>
          <w:p w14:paraId="2FF8BE54" w14:textId="6D7F2998" w:rsidR="00385686" w:rsidRPr="000154C3" w:rsidRDefault="00FD410C" w:rsidP="00FD410C">
            <w:pPr>
              <w:numPr>
                <w:ilvl w:val="0"/>
                <w:numId w:val="2"/>
              </w:numPr>
              <w:spacing w:after="0" w:line="240" w:lineRule="auto"/>
              <w:contextualSpacing/>
              <w:jc w:val="both"/>
              <w:rPr>
                <w:rFonts w:ascii="Times New Roman" w:hAnsi="Times New Roman"/>
                <w:i/>
                <w:sz w:val="24"/>
                <w:szCs w:val="24"/>
                <w:lang w:val="lt-LT"/>
              </w:rPr>
            </w:pPr>
            <w:r w:rsidRPr="000154C3">
              <w:rPr>
                <w:rFonts w:ascii="Times New Roman" w:eastAsia="Calibri" w:hAnsi="Times New Roman" w:cs="Times New Roman"/>
                <w:sz w:val="24"/>
                <w:szCs w:val="24"/>
                <w:lang w:val="lt-LT"/>
              </w:rPr>
              <w:t>Techninės užduoties reikalavimų santrauka</w:t>
            </w:r>
            <w:r w:rsidR="00B7205D" w:rsidRPr="000154C3">
              <w:rPr>
                <w:rFonts w:ascii="Times New Roman" w:eastAsia="Calibri" w:hAnsi="Times New Roman" w:cs="Times New Roman"/>
                <w:sz w:val="24"/>
                <w:szCs w:val="24"/>
                <w:lang w:val="lt-LT"/>
              </w:rPr>
              <w:t xml:space="preserve">, </w:t>
            </w:r>
            <w:r w:rsidR="000154C3" w:rsidRPr="000154C3">
              <w:rPr>
                <w:rFonts w:ascii="Times New Roman" w:eastAsia="Calibri" w:hAnsi="Times New Roman" w:cs="Times New Roman"/>
                <w:sz w:val="24"/>
                <w:szCs w:val="24"/>
                <w:lang w:val="lt-LT"/>
              </w:rPr>
              <w:t>25</w:t>
            </w:r>
            <w:r w:rsidR="00B7205D" w:rsidRPr="000154C3">
              <w:rPr>
                <w:rFonts w:ascii="Times New Roman" w:eastAsia="Calibri" w:hAnsi="Times New Roman" w:cs="Times New Roman"/>
                <w:sz w:val="24"/>
                <w:szCs w:val="24"/>
                <w:lang w:val="lt-LT"/>
              </w:rPr>
              <w:t xml:space="preserve"> lapa</w:t>
            </w:r>
            <w:r w:rsidRPr="000154C3">
              <w:rPr>
                <w:rFonts w:ascii="Times New Roman" w:eastAsia="Calibri" w:hAnsi="Times New Roman" w:cs="Times New Roman"/>
                <w:sz w:val="24"/>
                <w:szCs w:val="24"/>
                <w:lang w:val="lt-LT"/>
              </w:rPr>
              <w:t>i</w:t>
            </w:r>
            <w:r w:rsidR="00B7205D" w:rsidRPr="000154C3">
              <w:rPr>
                <w:rFonts w:ascii="Times New Roman" w:eastAsia="Calibri" w:hAnsi="Times New Roman" w:cs="Times New Roman"/>
                <w:sz w:val="24"/>
                <w:szCs w:val="24"/>
                <w:lang w:val="lt-LT"/>
              </w:rPr>
              <w:t>.</w:t>
            </w:r>
          </w:p>
        </w:tc>
      </w:tr>
    </w:tbl>
    <w:p w14:paraId="46836129" w14:textId="77777777" w:rsidR="00E4196E" w:rsidRPr="0012253C" w:rsidRDefault="00E4196E" w:rsidP="00E4196E">
      <w:pPr>
        <w:rPr>
          <w:rFonts w:ascii="Times New Roman" w:hAnsi="Times New Roman" w:cs="Times New Roman"/>
          <w:lang w:val="lt-LT"/>
        </w:rPr>
      </w:pPr>
    </w:p>
    <w:p w14:paraId="39332AA7" w14:textId="77777777" w:rsidR="00E4196E" w:rsidRPr="0012253C" w:rsidRDefault="00E4196E" w:rsidP="00E4196E">
      <w:pPr>
        <w:rPr>
          <w:rFonts w:ascii="Times New Roman" w:hAnsi="Times New Roman" w:cs="Times New Roman"/>
          <w:lang w:val="lt-LT"/>
        </w:rPr>
      </w:pPr>
    </w:p>
    <w:p w14:paraId="7AF80A74" w14:textId="77777777" w:rsidR="000A69B0" w:rsidRPr="0012253C" w:rsidRDefault="00E4196E" w:rsidP="006B65A8">
      <w:pPr>
        <w:jc w:val="center"/>
        <w:rPr>
          <w:lang w:val="lt-LT"/>
        </w:rPr>
      </w:pPr>
      <w:r w:rsidRPr="0012253C">
        <w:rPr>
          <w:lang w:val="lt-LT"/>
        </w:rPr>
        <w:t>______________________</w:t>
      </w:r>
    </w:p>
    <w:sectPr w:rsidR="000A69B0" w:rsidRPr="0012253C"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38B87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570452">
    <w:abstractNumId w:val="2"/>
  </w:num>
  <w:num w:numId="2" w16cid:durableId="1164468343">
    <w:abstractNumId w:val="0"/>
  </w:num>
  <w:num w:numId="3" w16cid:durableId="28798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154C3"/>
    <w:rsid w:val="00023015"/>
    <w:rsid w:val="000A42CC"/>
    <w:rsid w:val="000A69B0"/>
    <w:rsid w:val="0012253C"/>
    <w:rsid w:val="00163A5D"/>
    <w:rsid w:val="00166780"/>
    <w:rsid w:val="001D3384"/>
    <w:rsid w:val="001F682A"/>
    <w:rsid w:val="002512A0"/>
    <w:rsid w:val="00334D1E"/>
    <w:rsid w:val="003563AE"/>
    <w:rsid w:val="00357E1E"/>
    <w:rsid w:val="00385686"/>
    <w:rsid w:val="003A46AD"/>
    <w:rsid w:val="00453986"/>
    <w:rsid w:val="00453EDC"/>
    <w:rsid w:val="00516A3C"/>
    <w:rsid w:val="00554233"/>
    <w:rsid w:val="00570D03"/>
    <w:rsid w:val="00593B08"/>
    <w:rsid w:val="005A66D5"/>
    <w:rsid w:val="005C08D6"/>
    <w:rsid w:val="005D395C"/>
    <w:rsid w:val="005D3B39"/>
    <w:rsid w:val="005E082E"/>
    <w:rsid w:val="005E4474"/>
    <w:rsid w:val="006168E6"/>
    <w:rsid w:val="00666F32"/>
    <w:rsid w:val="006753F4"/>
    <w:rsid w:val="00694535"/>
    <w:rsid w:val="0069624D"/>
    <w:rsid w:val="006A3EC1"/>
    <w:rsid w:val="006B65A8"/>
    <w:rsid w:val="006D51F9"/>
    <w:rsid w:val="006F301D"/>
    <w:rsid w:val="0086228C"/>
    <w:rsid w:val="008B2B29"/>
    <w:rsid w:val="00921B29"/>
    <w:rsid w:val="009535EF"/>
    <w:rsid w:val="00961BDD"/>
    <w:rsid w:val="00963B2E"/>
    <w:rsid w:val="009800FF"/>
    <w:rsid w:val="00982A4C"/>
    <w:rsid w:val="009D7172"/>
    <w:rsid w:val="00A11F81"/>
    <w:rsid w:val="00A25FB1"/>
    <w:rsid w:val="00A61508"/>
    <w:rsid w:val="00A925D8"/>
    <w:rsid w:val="00AB5B40"/>
    <w:rsid w:val="00AC5AD6"/>
    <w:rsid w:val="00AF7F8F"/>
    <w:rsid w:val="00B7205D"/>
    <w:rsid w:val="00B80090"/>
    <w:rsid w:val="00B9632C"/>
    <w:rsid w:val="00BB7C9B"/>
    <w:rsid w:val="00C46B70"/>
    <w:rsid w:val="00C63E80"/>
    <w:rsid w:val="00C80C43"/>
    <w:rsid w:val="00D65549"/>
    <w:rsid w:val="00D7478A"/>
    <w:rsid w:val="00D96C26"/>
    <w:rsid w:val="00DA26A7"/>
    <w:rsid w:val="00DB5ECA"/>
    <w:rsid w:val="00DB6553"/>
    <w:rsid w:val="00DC78B9"/>
    <w:rsid w:val="00E4196E"/>
    <w:rsid w:val="00E41A19"/>
    <w:rsid w:val="00E64DAA"/>
    <w:rsid w:val="00E837C3"/>
    <w:rsid w:val="00E857A5"/>
    <w:rsid w:val="00F02603"/>
    <w:rsid w:val="00F03CDF"/>
    <w:rsid w:val="00F343EA"/>
    <w:rsid w:val="00F47620"/>
    <w:rsid w:val="00F603B7"/>
    <w:rsid w:val="00FD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37594-604A-483C-A6BF-F56A6FC70A63}">
  <ds:schemaRefs>
    <ds:schemaRef ds:uri="http://schemas.openxmlformats.org/officeDocument/2006/bibliography"/>
  </ds:schemaRefs>
</ds:datastoreItem>
</file>

<file path=customXml/itemProps3.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EB6083-B1B0-4BA7-8CB7-1EE13B714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2468</Words>
  <Characters>1408</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2</cp:revision>
  <dcterms:created xsi:type="dcterms:W3CDTF">2026-07-15T07:29:00Z</dcterms:created>
  <dcterms:modified xsi:type="dcterms:W3CDTF">2026-07-15T07:29:00Z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