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104CBCFE"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Pr="00927BDC" w:rsidRDefault="00200BF5" w:rsidP="00200BF5">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Pr="00927BDC" w:rsidRDefault="00200BF5" w:rsidP="0090024D">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45C5176D" w:rsidR="00200BF5" w:rsidRPr="00927BDC" w:rsidRDefault="0090024D"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200BF5" w:rsidRPr="00927BDC">
        <w:rPr>
          <w:rFonts w:ascii="Times New Roman" w:eastAsia="Calibri" w:hAnsi="Times New Roman" w:cs="Times New Roman"/>
          <w:i/>
          <w:iCs/>
          <w:kern w:val="0"/>
          <w:sz w:val="20"/>
          <w:szCs w:val="2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282FFA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(tiekėjo</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4C6B56C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A36800">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386C7070" w:rsidR="00200BF5" w:rsidRPr="006D7DA3" w:rsidRDefault="00200BF5" w:rsidP="00200BF5">
      <w:pPr>
        <w:rPr>
          <w:rFonts w:ascii="Times New Roman" w:eastAsia="Times New Roman" w:hAnsi="Times New Roman" w:cs="Times New Roman"/>
          <w:color w:val="EE0000"/>
          <w:kern w:val="0"/>
          <w:sz w:val="24"/>
          <w:szCs w:val="24"/>
          <w:u w:val="single"/>
          <w14:ligatures w14:val="none"/>
        </w:rPr>
      </w:pPr>
      <w:r>
        <w:rPr>
          <w:rFonts w:ascii="Times New Roman" w:eastAsia="Calibri" w:hAnsi="Times New Roman" w:cs="Times New Roman"/>
          <w:kern w:val="0"/>
          <w:sz w:val="24"/>
          <w:szCs w:val="24"/>
          <w:lang w:eastAsia="lt-LT"/>
          <w14:ligatures w14:val="none"/>
        </w:rPr>
        <w:t>vykdom</w:t>
      </w:r>
      <w:r w:rsidR="004865B5">
        <w:rPr>
          <w:rFonts w:ascii="Times New Roman" w:eastAsia="Calibri" w:hAnsi="Times New Roman" w:cs="Times New Roman"/>
          <w:kern w:val="0"/>
          <w:sz w:val="24"/>
          <w:szCs w:val="24"/>
          <w:lang w:eastAsia="lt-LT"/>
          <w14:ligatures w14:val="none"/>
        </w:rPr>
        <w:t>a</w:t>
      </w:r>
      <w:r w:rsidR="00AE1D4E">
        <w:rPr>
          <w:rFonts w:ascii="Times New Roman" w:eastAsia="Calibri" w:hAnsi="Times New Roman" w:cs="Times New Roman"/>
          <w:kern w:val="0"/>
          <w:sz w:val="24"/>
          <w:szCs w:val="24"/>
          <w:lang w:eastAsia="lt-LT"/>
          <w14:ligatures w14:val="none"/>
        </w:rPr>
        <w:t>me</w:t>
      </w:r>
      <w:r>
        <w:rPr>
          <w:rFonts w:ascii="Times New Roman" w:eastAsia="Calibri" w:hAnsi="Times New Roman" w:cs="Times New Roman"/>
          <w:kern w:val="0"/>
          <w:sz w:val="24"/>
          <w:szCs w:val="24"/>
          <w:lang w:eastAsia="lt-LT"/>
          <w14:ligatures w14:val="none"/>
        </w:rPr>
        <w:t xml:space="preserve"> skelbiamos apklausos </w:t>
      </w:r>
      <w:r w:rsidR="002F2027" w:rsidRPr="002F2027">
        <w:rPr>
          <w:rFonts w:ascii="Times New Roman" w:eastAsia="Times New Roman" w:hAnsi="Times New Roman" w:cs="Times New Roman"/>
          <w:kern w:val="0"/>
          <w:sz w:val="24"/>
          <w:szCs w:val="24"/>
          <w:u w:val="single"/>
          <w14:ligatures w14:val="none"/>
        </w:rPr>
        <w:t>Laipiojimo (boulderingo) sienelės įsigijimo su įrengimu Ukmergės miesto „Mini Lietuva“ parke</w:t>
      </w:r>
      <w:r w:rsidR="00F12314" w:rsidRPr="00F12314">
        <w:rPr>
          <w:rFonts w:ascii="Times New Roman" w:eastAsia="Times New Roman" w:hAnsi="Times New Roman" w:cs="Times New Roman"/>
          <w:color w:val="000000"/>
          <w:kern w:val="0"/>
          <w:sz w:val="24"/>
          <w:szCs w:val="24"/>
          <w:u w:val="single"/>
          <w14:ligatures w14:val="none"/>
        </w:rPr>
        <w:t xml:space="preserve"> </w:t>
      </w:r>
      <w:r w:rsidR="008E3850" w:rsidRPr="00272F75">
        <w:rPr>
          <w:rFonts w:ascii="Times New Roman" w:eastAsia="Times New Roman" w:hAnsi="Times New Roman" w:cs="Times New Roman"/>
          <w:kern w:val="0"/>
          <w:sz w:val="24"/>
          <w:szCs w:val="24"/>
          <w:u w:val="single"/>
          <w14:ligatures w14:val="none"/>
        </w:rPr>
        <w:t xml:space="preserve">viešajame pirkime, </w:t>
      </w:r>
      <w:r w:rsidR="008E3850" w:rsidRPr="00100399">
        <w:rPr>
          <w:rFonts w:ascii="Times New Roman" w:eastAsia="Times New Roman" w:hAnsi="Times New Roman" w:cs="Times New Roman"/>
          <w:kern w:val="0"/>
          <w:sz w:val="24"/>
          <w:szCs w:val="24"/>
          <w:u w:val="single"/>
          <w14:ligatures w14:val="none"/>
        </w:rPr>
        <w:t xml:space="preserve">Nr. </w:t>
      </w:r>
      <w:r w:rsidR="00CB26D4" w:rsidRPr="00CB26D4">
        <w:rPr>
          <w:rFonts w:ascii="Times New Roman" w:eastAsia="Times New Roman" w:hAnsi="Times New Roman" w:cs="Times New Roman"/>
          <w:kern w:val="0"/>
          <w:sz w:val="24"/>
          <w:szCs w:val="24"/>
          <w:u w:val="single"/>
          <w14:ligatures w14:val="none"/>
        </w:rPr>
        <w:t>8811030</w:t>
      </w:r>
      <w:r w:rsidR="008E3850" w:rsidRPr="00CB26D4">
        <w:rPr>
          <w:rFonts w:ascii="Times New Roman" w:eastAsia="Times New Roman" w:hAnsi="Times New Roman" w:cs="Times New Roman"/>
          <w:kern w:val="0"/>
          <w:sz w:val="24"/>
          <w:szCs w:val="24"/>
          <w:u w:val="single"/>
          <w14:ligatures w14:val="none"/>
        </w:rPr>
        <w:t xml:space="preserve">, </w:t>
      </w:r>
      <w:r w:rsidR="00CB26D4" w:rsidRPr="00CB26D4">
        <w:rPr>
          <w:rFonts w:ascii="Times New Roman" w:eastAsia="Times New Roman" w:hAnsi="Times New Roman" w:cs="Times New Roman"/>
          <w:kern w:val="0"/>
          <w:sz w:val="24"/>
          <w:szCs w:val="24"/>
          <w:u w:val="single"/>
          <w14:ligatures w14:val="none"/>
        </w:rPr>
        <w:t>16/07/2026</w:t>
      </w:r>
      <w:r w:rsidR="008E3850" w:rsidRPr="00CB26D4">
        <w:rPr>
          <w:rFonts w:ascii="Times New Roman" w:eastAsia="Times New Roman" w:hAnsi="Times New Roman" w:cs="Times New Roman"/>
          <w:kern w:val="0"/>
          <w:sz w:val="24"/>
          <w:szCs w:val="24"/>
          <w14:ligatures w14:val="none"/>
        </w:rPr>
        <w:t xml:space="preserve">, </w:t>
      </w:r>
      <w:r w:rsidRPr="00CB26D4">
        <w:rPr>
          <w:rFonts w:ascii="Times New Roman" w:eastAsia="Calibri" w:hAnsi="Times New Roman" w:cs="Times New Roman"/>
          <w:kern w:val="0"/>
          <w:sz w:val="24"/>
          <w:szCs w:val="24"/>
          <w:lang w:eastAsia="lt-LT"/>
          <w14:ligatures w14:val="none"/>
        </w:rPr>
        <w:t>procedūroje</w:t>
      </w:r>
      <w:r w:rsidRPr="00130C4D">
        <w:rPr>
          <w:rFonts w:ascii="Times New Roman" w:eastAsia="Calibri" w:hAnsi="Times New Roman" w:cs="Times New Roman"/>
          <w:kern w:val="0"/>
          <w:sz w:val="24"/>
          <w:szCs w:val="24"/>
          <w:lang w:eastAsia="lt-LT"/>
          <w14:ligatures w14:val="none"/>
        </w:rPr>
        <w:t xml:space="preserve">, </w:t>
      </w:r>
    </w:p>
    <w:p w14:paraId="06FBBAB0" w14:textId="30AFC8DF" w:rsidR="00E061C7" w:rsidRPr="00D419C3" w:rsidRDefault="00E061C7" w:rsidP="00E061C7">
      <w:pPr>
        <w:rPr>
          <w:rFonts w:ascii="Times New Roman" w:eastAsia="Times New Roman" w:hAnsi="Times New Roman"/>
          <w:color w:val="000000"/>
          <w:sz w:val="20"/>
          <w:szCs w:val="20"/>
        </w:rPr>
      </w:pPr>
      <w:r w:rsidRPr="00D419C3">
        <w:rPr>
          <w:rFonts w:ascii="Times New Roman" w:eastAsia="Times New Roman" w:hAnsi="Times New Roman"/>
          <w:i/>
          <w:iCs/>
          <w:color w:val="000000"/>
          <w:sz w:val="20"/>
          <w:szCs w:val="20"/>
        </w:rPr>
        <w:t xml:space="preserve">    </w:t>
      </w:r>
      <w:r w:rsidR="00D419C3">
        <w:rPr>
          <w:rFonts w:ascii="Times New Roman" w:eastAsia="Times New Roman" w:hAnsi="Times New Roman"/>
          <w:i/>
          <w:iCs/>
          <w:color w:val="000000"/>
          <w:sz w:val="20"/>
          <w:szCs w:val="20"/>
        </w:rPr>
        <w:t xml:space="preserve">   </w:t>
      </w:r>
      <w:r w:rsidRPr="00D419C3">
        <w:rPr>
          <w:rFonts w:ascii="Times New Roman" w:eastAsia="Times New Roman" w:hAnsi="Times New Roman"/>
          <w:i/>
          <w:iCs/>
          <w:color w:val="000000"/>
          <w:sz w:val="20"/>
          <w:szCs w:val="20"/>
        </w:rPr>
        <w:t xml:space="preserve">    (pirkimo objekto pavadinimas, pirkimo numeris, pirkimo paskelbimo CVP IS data</w:t>
      </w:r>
      <w:r w:rsidRPr="00D419C3">
        <w:rPr>
          <w:rFonts w:ascii="Times New Roman" w:eastAsia="Times New Roman" w:hAnsi="Times New Roman"/>
          <w:color w:val="000000"/>
          <w:sz w:val="20"/>
          <w:szCs w:val="2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575459D6"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p</w:t>
            </w:r>
            <w:r w:rsidR="008543B8">
              <w:rPr>
                <w:rFonts w:ascii="Times New Roman" w:eastAsia="Arial" w:hAnsi="Times New Roman" w:cs="Times New Roman"/>
                <w:iCs/>
                <w:sz w:val="24"/>
                <w:szCs w:val="24"/>
              </w:rPr>
              <w:t xml:space="preserve">unktuose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47FA1032" w14:textId="77777777" w:rsidR="00204801" w:rsidRDefault="00204801" w:rsidP="00200BF5">
      <w:pPr>
        <w:rPr>
          <w:rFonts w:ascii="Times New Roman" w:eastAsia="Calibri" w:hAnsi="Times New Roman" w:cs="Times New Roman"/>
          <w:i/>
          <w:iCs/>
          <w:kern w:val="0"/>
          <w:sz w:val="24"/>
          <w:szCs w:val="24"/>
          <w:lang w:eastAsia="lt-LT"/>
          <w14:ligatures w14:val="none"/>
        </w:rPr>
      </w:pPr>
    </w:p>
    <w:p w14:paraId="453020D1" w14:textId="77777777" w:rsidR="00013ADD" w:rsidRDefault="00013ADD" w:rsidP="00200BF5">
      <w:pPr>
        <w:rPr>
          <w:rFonts w:ascii="Times New Roman" w:eastAsia="Calibri" w:hAnsi="Times New Roman" w:cs="Times New Roman"/>
          <w:i/>
          <w:iCs/>
          <w:kern w:val="0"/>
          <w:sz w:val="24"/>
          <w:szCs w:val="24"/>
          <w:lang w:eastAsia="lt-LT"/>
          <w14:ligatures w14:val="none"/>
        </w:rPr>
      </w:pPr>
    </w:p>
    <w:tbl>
      <w:tblPr>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166"/>
      </w:tblGrid>
      <w:tr w:rsidR="00200BF5" w14:paraId="55CE67A9" w14:textId="77777777" w:rsidTr="008543B8">
        <w:tc>
          <w:tcPr>
            <w:tcW w:w="474" w:type="dxa"/>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166" w:type="dxa"/>
            <w:vMerge w:val="restart"/>
            <w:tcBorders>
              <w:top w:val="nil"/>
              <w:left w:val="nil"/>
              <w:bottom w:val="nil"/>
              <w:right w:val="nil"/>
            </w:tcBorders>
            <w:hideMark/>
          </w:tcPr>
          <w:p w14:paraId="1A69C78A" w14:textId="77777777" w:rsidR="00200BF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Pr="009D012A">
              <w:rPr>
                <w:rFonts w:ascii="Times New Roman" w:eastAsia="Times New Roman" w:hAnsi="Times New Roman" w:cs="Times New Roman"/>
                <w:sz w:val="24"/>
                <w:szCs w:val="24"/>
              </w:rPr>
              <w:t>);</w:t>
            </w:r>
          </w:p>
          <w:p w14:paraId="62363CFC" w14:textId="68DE53C6" w:rsidR="00A55463" w:rsidRPr="007811F0" w:rsidRDefault="00A55463" w:rsidP="00A55463">
            <w:pPr>
              <w:shd w:val="clear" w:color="auto" w:fill="FFFFFF"/>
              <w:ind w:firstLine="424"/>
              <w:rPr>
                <w:rFonts w:ascii="Times New Roman" w:eastAsia="Times New Roman" w:hAnsi="Times New Roman"/>
                <w:i/>
                <w:sz w:val="20"/>
                <w:szCs w:val="20"/>
              </w:rPr>
            </w:pPr>
            <w:r>
              <w:rPr>
                <w:rFonts w:ascii="Times New Roman" w:eastAsia="Times New Roman" w:hAnsi="Times New Roman"/>
                <w:i/>
              </w:rPr>
              <w:t xml:space="preserve">                                                                                                            </w:t>
            </w:r>
            <w:r w:rsidR="007811F0">
              <w:rPr>
                <w:rFonts w:ascii="Times New Roman" w:eastAsia="Times New Roman" w:hAnsi="Times New Roman"/>
                <w:i/>
              </w:rPr>
              <w:t xml:space="preserve">    </w:t>
            </w:r>
            <w:r>
              <w:rPr>
                <w:rFonts w:ascii="Times New Roman" w:eastAsia="Times New Roman" w:hAnsi="Times New Roman"/>
                <w:i/>
              </w:rPr>
              <w:t xml:space="preserve">  </w:t>
            </w:r>
            <w:r w:rsidRPr="007811F0">
              <w:rPr>
                <w:rFonts w:ascii="Times New Roman" w:eastAsia="Times New Roman" w:hAnsi="Times New Roman"/>
                <w:i/>
                <w:sz w:val="20"/>
                <w:szCs w:val="20"/>
              </w:rPr>
              <w:t>(pirkimo sąlygų p</w:t>
            </w:r>
            <w:r w:rsidR="008543B8">
              <w:rPr>
                <w:rFonts w:ascii="Times New Roman" w:eastAsia="Times New Roman" w:hAnsi="Times New Roman"/>
                <w:i/>
                <w:sz w:val="20"/>
                <w:szCs w:val="20"/>
              </w:rPr>
              <w:t>unktas</w:t>
            </w:r>
            <w:r w:rsidRPr="007811F0">
              <w:rPr>
                <w:rFonts w:ascii="Times New Roman" w:eastAsia="Times New Roman" w:hAnsi="Times New Roman"/>
                <w:i/>
                <w:sz w:val="20"/>
                <w:szCs w:val="20"/>
              </w:rPr>
              <w:t>)</w:t>
            </w:r>
          </w:p>
        </w:tc>
      </w:tr>
      <w:tr w:rsidR="00200BF5" w14:paraId="7A486DDE" w14:textId="77777777" w:rsidTr="008543B8">
        <w:tc>
          <w:tcPr>
            <w:tcW w:w="474"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rsidTr="008543B8">
        <w:tc>
          <w:tcPr>
            <w:tcW w:w="474"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1FB65717" w14:textId="77777777" w:rsidR="0070681A" w:rsidRDefault="0070681A"/>
          <w:p w14:paraId="475A0A19" w14:textId="77777777" w:rsidR="0070681A" w:rsidRDefault="0070681A"/>
          <w:p w14:paraId="59ECD7A6" w14:textId="77777777" w:rsidR="0070681A" w:rsidRDefault="0070681A"/>
          <w:p w14:paraId="72BEDF55" w14:textId="77777777" w:rsidR="0070681A" w:rsidRDefault="0070681A"/>
          <w:p w14:paraId="25A4DDA8" w14:textId="77777777" w:rsidR="0070681A" w:rsidRDefault="0070681A"/>
          <w:p w14:paraId="454C11E2" w14:textId="77777777" w:rsidR="0070681A" w:rsidRDefault="0070681A"/>
          <w:p w14:paraId="327D093C" w14:textId="77777777" w:rsidR="0070681A" w:rsidRDefault="0070681A"/>
        </w:tc>
      </w:tr>
    </w:tbl>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lastRenderedPageBreak/>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0888C54" w14:textId="77777777" w:rsidR="00013ADD" w:rsidRDefault="00013ADD"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2988AF8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w:t>
            </w:r>
            <w:r w:rsidR="0070681A">
              <w:rPr>
                <w:rFonts w:ascii="Times New Roman" w:eastAsia="Calibri" w:hAnsi="Times New Roman" w:cs="Times New Roman"/>
                <w:i/>
                <w:iCs/>
                <w:position w:val="6"/>
                <w:sz w:val="24"/>
                <w:szCs w:val="24"/>
              </w:rPr>
              <w:t>t</w:t>
            </w:r>
            <w:r>
              <w:rPr>
                <w:rFonts w:ascii="Times New Roman" w:eastAsia="Calibri" w:hAnsi="Times New Roman" w:cs="Times New Roman"/>
                <w:i/>
                <w:iCs/>
                <w:position w:val="6"/>
                <w:sz w:val="24"/>
                <w:szCs w:val="24"/>
              </w:rPr>
              <w: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5A0D390B"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p</w:t>
            </w:r>
            <w:r>
              <w:rPr>
                <w:rFonts w:ascii="Times New Roman" w:eastAsia="Times New Roman" w:hAnsi="Times New Roman" w:cs="Times New Roman"/>
                <w:i/>
                <w:iCs/>
                <w:position w:val="6"/>
                <w:sz w:val="24"/>
                <w:szCs w:val="24"/>
                <w:lang w:eastAsia="lt-LT"/>
              </w:rPr>
              <w:t>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16CCEFE1"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v</w:t>
            </w:r>
            <w:r>
              <w:rPr>
                <w:rFonts w:ascii="Times New Roman" w:eastAsia="Times New Roman" w:hAnsi="Times New Roman" w:cs="Times New Roman"/>
                <w:i/>
                <w:iCs/>
                <w:position w:val="6"/>
                <w:sz w:val="24"/>
                <w:szCs w:val="24"/>
                <w:lang w:eastAsia="lt-LT"/>
              </w:rPr>
              <w:t>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1E0B028D" w14:textId="77777777" w:rsidR="00200BF5" w:rsidRDefault="00200BF5" w:rsidP="00200BF5">
      <w:pPr>
        <w:jc w:val="left"/>
        <w:rPr>
          <w:rFonts w:ascii="Times New Roman" w:eastAsia="Calibri" w:hAnsi="Times New Roman" w:cs="Times New Roman"/>
          <w:kern w:val="0"/>
          <w:sz w:val="24"/>
          <w:szCs w:val="24"/>
          <w14:ligatures w14:val="none"/>
        </w:rPr>
      </w:pPr>
    </w:p>
    <w:p w14:paraId="35CC02F0" w14:textId="77777777" w:rsidR="00806BC4" w:rsidRDefault="00806BC4"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5438" w14:textId="77777777" w:rsidR="0074172B" w:rsidRDefault="0074172B" w:rsidP="00200BF5">
      <w:r>
        <w:separator/>
      </w:r>
    </w:p>
  </w:endnote>
  <w:endnote w:type="continuationSeparator" w:id="0">
    <w:p w14:paraId="6217C7F3" w14:textId="77777777" w:rsidR="0074172B" w:rsidRDefault="0074172B"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03D0" w14:textId="77777777" w:rsidR="0074172B" w:rsidRDefault="0074172B" w:rsidP="00200BF5">
      <w:r>
        <w:separator/>
      </w:r>
    </w:p>
  </w:footnote>
  <w:footnote w:type="continuationSeparator" w:id="0">
    <w:p w14:paraId="753BA4E6" w14:textId="77777777" w:rsidR="0074172B" w:rsidRDefault="0074172B"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3ADD"/>
    <w:rsid w:val="000151A7"/>
    <w:rsid w:val="00024279"/>
    <w:rsid w:val="00054A92"/>
    <w:rsid w:val="000746C9"/>
    <w:rsid w:val="000E0489"/>
    <w:rsid w:val="00100399"/>
    <w:rsid w:val="00124692"/>
    <w:rsid w:val="00130C4D"/>
    <w:rsid w:val="00131EA1"/>
    <w:rsid w:val="00157662"/>
    <w:rsid w:val="001B7C9D"/>
    <w:rsid w:val="001F1E5F"/>
    <w:rsid w:val="00200BF5"/>
    <w:rsid w:val="00204801"/>
    <w:rsid w:val="002502EF"/>
    <w:rsid w:val="00272F75"/>
    <w:rsid w:val="002731E7"/>
    <w:rsid w:val="002750B0"/>
    <w:rsid w:val="002A3C4D"/>
    <w:rsid w:val="002B0156"/>
    <w:rsid w:val="002F2027"/>
    <w:rsid w:val="00322D21"/>
    <w:rsid w:val="00337364"/>
    <w:rsid w:val="0034497D"/>
    <w:rsid w:val="0035727B"/>
    <w:rsid w:val="00364238"/>
    <w:rsid w:val="00381D9C"/>
    <w:rsid w:val="003834D7"/>
    <w:rsid w:val="00390379"/>
    <w:rsid w:val="003B03CB"/>
    <w:rsid w:val="003B772E"/>
    <w:rsid w:val="003D4641"/>
    <w:rsid w:val="0041088A"/>
    <w:rsid w:val="00434C4C"/>
    <w:rsid w:val="004460BF"/>
    <w:rsid w:val="004754D9"/>
    <w:rsid w:val="0048135A"/>
    <w:rsid w:val="004865B5"/>
    <w:rsid w:val="004A44A1"/>
    <w:rsid w:val="004B7D73"/>
    <w:rsid w:val="004E3D55"/>
    <w:rsid w:val="00527F7E"/>
    <w:rsid w:val="00545877"/>
    <w:rsid w:val="00545ACC"/>
    <w:rsid w:val="005800E9"/>
    <w:rsid w:val="005A1D00"/>
    <w:rsid w:val="005D13B9"/>
    <w:rsid w:val="005F5571"/>
    <w:rsid w:val="00615D68"/>
    <w:rsid w:val="00683391"/>
    <w:rsid w:val="006902BF"/>
    <w:rsid w:val="006B3783"/>
    <w:rsid w:val="006D3757"/>
    <w:rsid w:val="006D7DA3"/>
    <w:rsid w:val="006E4040"/>
    <w:rsid w:val="0070681A"/>
    <w:rsid w:val="0072247B"/>
    <w:rsid w:val="0074172B"/>
    <w:rsid w:val="00741FAD"/>
    <w:rsid w:val="00762347"/>
    <w:rsid w:val="00773DB0"/>
    <w:rsid w:val="0077710C"/>
    <w:rsid w:val="007811F0"/>
    <w:rsid w:val="007A73BC"/>
    <w:rsid w:val="007D1BCF"/>
    <w:rsid w:val="007D2E6B"/>
    <w:rsid w:val="007D7077"/>
    <w:rsid w:val="007E7B49"/>
    <w:rsid w:val="008023D0"/>
    <w:rsid w:val="00806BC4"/>
    <w:rsid w:val="008543B8"/>
    <w:rsid w:val="00864948"/>
    <w:rsid w:val="008B2FC7"/>
    <w:rsid w:val="008C6482"/>
    <w:rsid w:val="008E3850"/>
    <w:rsid w:val="0090024D"/>
    <w:rsid w:val="0090480B"/>
    <w:rsid w:val="00905225"/>
    <w:rsid w:val="00910048"/>
    <w:rsid w:val="00926DC8"/>
    <w:rsid w:val="00927BDC"/>
    <w:rsid w:val="0093750C"/>
    <w:rsid w:val="00951544"/>
    <w:rsid w:val="009734A5"/>
    <w:rsid w:val="009A4128"/>
    <w:rsid w:val="009A7CC6"/>
    <w:rsid w:val="009B128D"/>
    <w:rsid w:val="009D012A"/>
    <w:rsid w:val="00A14039"/>
    <w:rsid w:val="00A36800"/>
    <w:rsid w:val="00A36BD3"/>
    <w:rsid w:val="00A40BBA"/>
    <w:rsid w:val="00A55463"/>
    <w:rsid w:val="00A77157"/>
    <w:rsid w:val="00A9592C"/>
    <w:rsid w:val="00A9758F"/>
    <w:rsid w:val="00AA4989"/>
    <w:rsid w:val="00AB194F"/>
    <w:rsid w:val="00AB4545"/>
    <w:rsid w:val="00AC7E3B"/>
    <w:rsid w:val="00AE1D4E"/>
    <w:rsid w:val="00AF6452"/>
    <w:rsid w:val="00B26236"/>
    <w:rsid w:val="00B55CDD"/>
    <w:rsid w:val="00B619D0"/>
    <w:rsid w:val="00BC45A8"/>
    <w:rsid w:val="00BF1C5D"/>
    <w:rsid w:val="00BF24D7"/>
    <w:rsid w:val="00C0195E"/>
    <w:rsid w:val="00C04B9D"/>
    <w:rsid w:val="00C172D9"/>
    <w:rsid w:val="00C269D1"/>
    <w:rsid w:val="00C3237A"/>
    <w:rsid w:val="00C45956"/>
    <w:rsid w:val="00C528C5"/>
    <w:rsid w:val="00C62E8F"/>
    <w:rsid w:val="00C6724C"/>
    <w:rsid w:val="00CA6DE1"/>
    <w:rsid w:val="00CB26D4"/>
    <w:rsid w:val="00CC1E8A"/>
    <w:rsid w:val="00CF4B9C"/>
    <w:rsid w:val="00D07B1E"/>
    <w:rsid w:val="00D14B79"/>
    <w:rsid w:val="00D41985"/>
    <w:rsid w:val="00D419C3"/>
    <w:rsid w:val="00D86961"/>
    <w:rsid w:val="00DA167F"/>
    <w:rsid w:val="00DB76D9"/>
    <w:rsid w:val="00DC22EC"/>
    <w:rsid w:val="00DC53ED"/>
    <w:rsid w:val="00DE3302"/>
    <w:rsid w:val="00DE62FC"/>
    <w:rsid w:val="00E061C7"/>
    <w:rsid w:val="00EA3448"/>
    <w:rsid w:val="00EA360C"/>
    <w:rsid w:val="00EF2B6B"/>
    <w:rsid w:val="00F037C5"/>
    <w:rsid w:val="00F0539E"/>
    <w:rsid w:val="00F12314"/>
    <w:rsid w:val="00F56C72"/>
    <w:rsid w:val="00F7625E"/>
    <w:rsid w:val="00F81404"/>
    <w:rsid w:val="00F82393"/>
    <w:rsid w:val="00F84B62"/>
    <w:rsid w:val="00F90995"/>
    <w:rsid w:val="00FC5FA0"/>
    <w:rsid w:val="00FD5936"/>
    <w:rsid w:val="00FD68C5"/>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1914</Words>
  <Characters>1091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13</cp:revision>
  <dcterms:created xsi:type="dcterms:W3CDTF">2026-05-12T07:48:00Z</dcterms:created>
  <dcterms:modified xsi:type="dcterms:W3CDTF">2026-07-16T06:28:00Z</dcterms:modified>
</cp:coreProperties>
</file>