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0B34" w14:textId="77777777" w:rsidR="0057445C" w:rsidRPr="0057445C" w:rsidRDefault="0057445C" w:rsidP="005817F1">
      <w:pPr>
        <w:rPr>
          <w:rFonts w:eastAsia="Arial Unicode MS" w:cs="Arial Unicode MS"/>
          <w:bCs/>
          <w:sz w:val="22"/>
          <w:szCs w:val="22"/>
          <w:bdr w:val="nil"/>
          <w:lang w:eastAsia="lt-LT"/>
        </w:rPr>
      </w:pPr>
    </w:p>
    <w:p w14:paraId="7251FB09" w14:textId="3617A392" w:rsidR="0057445C" w:rsidRPr="00600710" w:rsidRDefault="0057445C" w:rsidP="005817F1">
      <w:pPr>
        <w:jc w:val="center"/>
        <w:rPr>
          <w:b/>
          <w:bCs/>
          <w:caps/>
          <w:sz w:val="22"/>
          <w:szCs w:val="22"/>
          <w:lang w:eastAsia="lt-LT"/>
        </w:rPr>
      </w:pPr>
      <w:r w:rsidRPr="00600710">
        <w:rPr>
          <w:rFonts w:eastAsia="Arial Unicode MS" w:cs="Arial Unicode MS"/>
          <w:b/>
          <w:sz w:val="22"/>
          <w:szCs w:val="22"/>
          <w:bdr w:val="nil"/>
          <w:lang w:eastAsia="lt-LT"/>
        </w:rPr>
        <w:t>TECHNINĖ SPECIFIKACIJA</w:t>
      </w:r>
    </w:p>
    <w:p w14:paraId="4E18701F" w14:textId="28EFBEA2" w:rsidR="0057445C" w:rsidRDefault="0057445C" w:rsidP="0057445C">
      <w:pPr>
        <w:ind w:left="142" w:hanging="142"/>
        <w:jc w:val="center"/>
        <w:rPr>
          <w:caps/>
          <w:sz w:val="22"/>
          <w:szCs w:val="22"/>
          <w:lang w:eastAsia="lt-LT"/>
        </w:rPr>
      </w:pPr>
    </w:p>
    <w:p w14:paraId="10711742" w14:textId="77777777" w:rsidR="0057445C" w:rsidRPr="00600710" w:rsidRDefault="0057445C" w:rsidP="0057445C">
      <w:pPr>
        <w:ind w:left="142" w:hanging="142"/>
        <w:jc w:val="center"/>
        <w:rPr>
          <w:caps/>
          <w:sz w:val="22"/>
          <w:szCs w:val="22"/>
          <w:lang w:eastAsia="lt-LT"/>
        </w:rPr>
      </w:pPr>
    </w:p>
    <w:p w14:paraId="1A9225D0" w14:textId="77777777" w:rsidR="0057445C" w:rsidRPr="00600710" w:rsidRDefault="0057445C" w:rsidP="0057445C">
      <w:pPr>
        <w:keepNext/>
        <w:numPr>
          <w:ilvl w:val="0"/>
          <w:numId w:val="1"/>
        </w:numPr>
        <w:tabs>
          <w:tab w:val="left" w:pos="567"/>
        </w:tabs>
        <w:ind w:left="0" w:firstLine="0"/>
        <w:outlineLvl w:val="0"/>
        <w:rPr>
          <w:b/>
          <w:bCs/>
          <w:kern w:val="32"/>
          <w:sz w:val="22"/>
          <w:szCs w:val="22"/>
        </w:rPr>
      </w:pPr>
      <w:r w:rsidRPr="00600710">
        <w:rPr>
          <w:b/>
          <w:bCs/>
          <w:kern w:val="32"/>
          <w:sz w:val="22"/>
          <w:szCs w:val="22"/>
        </w:rPr>
        <w:t>BENDRA INFORMACIJA</w:t>
      </w:r>
    </w:p>
    <w:p w14:paraId="73C15A27" w14:textId="77777777" w:rsidR="0057445C" w:rsidRPr="00600710" w:rsidRDefault="0057445C" w:rsidP="0057445C">
      <w:pPr>
        <w:rPr>
          <w:sz w:val="22"/>
          <w:szCs w:val="22"/>
        </w:rPr>
      </w:pPr>
    </w:p>
    <w:p w14:paraId="5BAC6FD8" w14:textId="30417609" w:rsidR="0057445C" w:rsidRPr="00600710" w:rsidRDefault="0057445C" w:rsidP="0057445C">
      <w:pPr>
        <w:numPr>
          <w:ilvl w:val="1"/>
          <w:numId w:val="1"/>
        </w:numPr>
        <w:shd w:val="clear" w:color="auto" w:fill="FFFFFF"/>
        <w:tabs>
          <w:tab w:val="left" w:pos="567"/>
        </w:tabs>
        <w:ind w:left="0" w:firstLine="0"/>
        <w:outlineLvl w:val="0"/>
        <w:rPr>
          <w:b/>
          <w:bCs/>
          <w:spacing w:val="-2"/>
          <w:sz w:val="22"/>
          <w:szCs w:val="22"/>
          <w:lang w:eastAsia="lt-LT"/>
        </w:rPr>
      </w:pPr>
      <w:r w:rsidRPr="00600710">
        <w:rPr>
          <w:b/>
          <w:bCs/>
          <w:spacing w:val="-2"/>
          <w:sz w:val="22"/>
          <w:szCs w:val="22"/>
        </w:rPr>
        <w:t>Perkan</w:t>
      </w:r>
      <w:r>
        <w:rPr>
          <w:b/>
          <w:bCs/>
          <w:spacing w:val="-2"/>
          <w:sz w:val="22"/>
          <w:szCs w:val="22"/>
        </w:rPr>
        <w:t>tysis subjektas</w:t>
      </w:r>
      <w:r w:rsidRPr="00600710">
        <w:rPr>
          <w:b/>
          <w:bCs/>
          <w:spacing w:val="-2"/>
          <w:sz w:val="22"/>
          <w:szCs w:val="22"/>
        </w:rPr>
        <w:t>/ Užsakovas</w:t>
      </w:r>
    </w:p>
    <w:p w14:paraId="014B9E0B" w14:textId="730AE943" w:rsidR="0057445C" w:rsidRPr="00600710" w:rsidRDefault="0057445C" w:rsidP="0057445C">
      <w:pPr>
        <w:tabs>
          <w:tab w:val="left" w:pos="567"/>
        </w:tabs>
        <w:jc w:val="both"/>
        <w:rPr>
          <w:sz w:val="22"/>
          <w:szCs w:val="22"/>
          <w:lang w:eastAsia="lt-LT"/>
        </w:rPr>
      </w:pPr>
      <w:r w:rsidRPr="00600710">
        <w:rPr>
          <w:sz w:val="22"/>
          <w:szCs w:val="22"/>
          <w:lang w:eastAsia="lt-LT"/>
        </w:rPr>
        <w:t>UAB „</w:t>
      </w:r>
      <w:r>
        <w:rPr>
          <w:sz w:val="22"/>
          <w:szCs w:val="22"/>
          <w:lang w:eastAsia="lt-LT"/>
        </w:rPr>
        <w:t>Giraitės vandenys“</w:t>
      </w:r>
      <w:r w:rsidRPr="00600710">
        <w:rPr>
          <w:sz w:val="22"/>
          <w:szCs w:val="22"/>
          <w:lang w:eastAsia="lt-LT"/>
        </w:rPr>
        <w:t xml:space="preserve">  </w:t>
      </w:r>
    </w:p>
    <w:p w14:paraId="4CFAC70A" w14:textId="07706304" w:rsidR="0057445C" w:rsidRPr="00600710" w:rsidRDefault="0057445C" w:rsidP="0057445C">
      <w:pPr>
        <w:tabs>
          <w:tab w:val="left" w:pos="567"/>
        </w:tabs>
        <w:jc w:val="both"/>
        <w:rPr>
          <w:sz w:val="22"/>
          <w:szCs w:val="22"/>
          <w:lang w:eastAsia="lt-LT"/>
        </w:rPr>
      </w:pPr>
      <w:r>
        <w:rPr>
          <w:sz w:val="22"/>
          <w:szCs w:val="22"/>
          <w:lang w:eastAsia="lt-LT"/>
        </w:rPr>
        <w:t>Topolių g. 5, Giraitės k., Kauno r. sav.</w:t>
      </w:r>
      <w:r w:rsidRPr="00600710">
        <w:rPr>
          <w:sz w:val="22"/>
          <w:szCs w:val="22"/>
          <w:lang w:eastAsia="lt-LT"/>
        </w:rPr>
        <w:t xml:space="preserve"> </w:t>
      </w:r>
    </w:p>
    <w:p w14:paraId="4BB2A991" w14:textId="670EFCCF" w:rsidR="0057445C" w:rsidRPr="00600710" w:rsidRDefault="0057445C" w:rsidP="0057445C">
      <w:pPr>
        <w:tabs>
          <w:tab w:val="left" w:pos="567"/>
        </w:tabs>
        <w:jc w:val="both"/>
        <w:rPr>
          <w:sz w:val="22"/>
          <w:szCs w:val="22"/>
          <w:lang w:eastAsia="lt-LT"/>
        </w:rPr>
      </w:pPr>
      <w:r w:rsidRPr="00600710">
        <w:rPr>
          <w:sz w:val="22"/>
          <w:szCs w:val="22"/>
          <w:lang w:eastAsia="lt-LT"/>
        </w:rPr>
        <w:t xml:space="preserve">Tel.:. </w:t>
      </w:r>
      <w:r w:rsidR="00E441A8">
        <w:rPr>
          <w:sz w:val="22"/>
          <w:szCs w:val="22"/>
          <w:lang w:eastAsia="lt-LT"/>
        </w:rPr>
        <w:t>+370</w:t>
      </w:r>
      <w:r>
        <w:rPr>
          <w:sz w:val="22"/>
          <w:szCs w:val="22"/>
          <w:lang w:eastAsia="lt-LT"/>
        </w:rPr>
        <w:t xml:space="preserve"> 37 338347</w:t>
      </w:r>
    </w:p>
    <w:p w14:paraId="0837F1A9" w14:textId="6AEEF289" w:rsidR="0057445C" w:rsidRPr="00600710" w:rsidRDefault="0057445C" w:rsidP="0057445C">
      <w:pPr>
        <w:tabs>
          <w:tab w:val="left" w:pos="567"/>
        </w:tabs>
        <w:jc w:val="both"/>
        <w:rPr>
          <w:sz w:val="22"/>
          <w:szCs w:val="22"/>
        </w:rPr>
      </w:pPr>
      <w:r w:rsidRPr="00600710">
        <w:rPr>
          <w:sz w:val="22"/>
          <w:szCs w:val="22"/>
          <w:lang w:eastAsia="lt-LT"/>
        </w:rPr>
        <w:t xml:space="preserve">El. paštas: </w:t>
      </w:r>
      <w:hyperlink r:id="rId5" w:history="1">
        <w:r w:rsidRPr="00673A24">
          <w:rPr>
            <w:rStyle w:val="Hyperlink"/>
            <w:sz w:val="22"/>
            <w:szCs w:val="22"/>
            <w:lang w:eastAsia="lt-LT"/>
          </w:rPr>
          <w:t>giraitesvandenys@giraitesvandenys.lt</w:t>
        </w:r>
      </w:hyperlink>
      <w:r>
        <w:rPr>
          <w:sz w:val="22"/>
          <w:szCs w:val="22"/>
          <w:lang w:eastAsia="lt-LT"/>
        </w:rPr>
        <w:t xml:space="preserve"> </w:t>
      </w:r>
    </w:p>
    <w:p w14:paraId="653E9105" w14:textId="77777777" w:rsidR="0057445C" w:rsidRPr="00600710" w:rsidRDefault="0057445C" w:rsidP="0057445C">
      <w:pPr>
        <w:tabs>
          <w:tab w:val="left" w:pos="567"/>
        </w:tabs>
        <w:jc w:val="both"/>
        <w:rPr>
          <w:sz w:val="22"/>
          <w:szCs w:val="22"/>
          <w:lang w:eastAsia="lt-LT"/>
        </w:rPr>
      </w:pPr>
    </w:p>
    <w:p w14:paraId="2C4E6899" w14:textId="77777777" w:rsidR="0057445C" w:rsidRPr="00600710" w:rsidRDefault="0057445C" w:rsidP="0057445C">
      <w:pPr>
        <w:numPr>
          <w:ilvl w:val="1"/>
          <w:numId w:val="1"/>
        </w:numPr>
        <w:shd w:val="clear" w:color="auto" w:fill="FFFFFF"/>
        <w:tabs>
          <w:tab w:val="left" w:pos="567"/>
        </w:tabs>
        <w:ind w:left="0" w:firstLine="0"/>
        <w:outlineLvl w:val="0"/>
        <w:rPr>
          <w:b/>
          <w:bCs/>
          <w:spacing w:val="-2"/>
          <w:sz w:val="22"/>
          <w:szCs w:val="22"/>
        </w:rPr>
      </w:pPr>
      <w:r w:rsidRPr="00600710">
        <w:rPr>
          <w:b/>
          <w:bCs/>
          <w:spacing w:val="-2"/>
          <w:sz w:val="22"/>
          <w:szCs w:val="22"/>
        </w:rPr>
        <w:t>Pagrindiniai teisės aktai</w:t>
      </w:r>
    </w:p>
    <w:p w14:paraId="570F921E" w14:textId="77777777" w:rsidR="0057445C" w:rsidRPr="00600710" w:rsidRDefault="0057445C" w:rsidP="0057445C">
      <w:pPr>
        <w:shd w:val="clear" w:color="auto" w:fill="FFFFFF"/>
        <w:tabs>
          <w:tab w:val="left" w:pos="567"/>
        </w:tabs>
        <w:outlineLvl w:val="0"/>
        <w:rPr>
          <w:b/>
          <w:bCs/>
          <w:spacing w:val="-2"/>
          <w:sz w:val="22"/>
          <w:szCs w:val="22"/>
        </w:rPr>
      </w:pPr>
    </w:p>
    <w:p w14:paraId="0B656F41" w14:textId="77777777" w:rsidR="0057445C" w:rsidRPr="00600710" w:rsidRDefault="0057445C" w:rsidP="0057445C">
      <w:pPr>
        <w:numPr>
          <w:ilvl w:val="0"/>
          <w:numId w:val="2"/>
        </w:numPr>
        <w:ind w:left="709" w:hanging="425"/>
        <w:jc w:val="both"/>
        <w:rPr>
          <w:bCs/>
          <w:sz w:val="22"/>
          <w:szCs w:val="22"/>
        </w:rPr>
      </w:pPr>
      <w:r w:rsidRPr="00600710">
        <w:rPr>
          <w:bCs/>
          <w:sz w:val="22"/>
          <w:szCs w:val="22"/>
          <w:lang w:eastAsia="lt-LT"/>
        </w:rPr>
        <w:t>LR Statybos įstatymas;</w:t>
      </w:r>
    </w:p>
    <w:p w14:paraId="4D69C8BC" w14:textId="77777777" w:rsidR="0057445C" w:rsidRPr="00600710" w:rsidRDefault="0057445C" w:rsidP="0057445C">
      <w:pPr>
        <w:numPr>
          <w:ilvl w:val="0"/>
          <w:numId w:val="2"/>
        </w:numPr>
        <w:ind w:left="709" w:hanging="425"/>
        <w:jc w:val="both"/>
        <w:rPr>
          <w:bCs/>
          <w:sz w:val="22"/>
          <w:szCs w:val="22"/>
        </w:rPr>
      </w:pPr>
      <w:r w:rsidRPr="00600710">
        <w:rPr>
          <w:bCs/>
          <w:sz w:val="22"/>
          <w:szCs w:val="22"/>
          <w:lang w:eastAsia="lt-LT"/>
        </w:rPr>
        <w:t>LR Viešųjų pirkimų įstatymas;</w:t>
      </w:r>
    </w:p>
    <w:p w14:paraId="6E46B002" w14:textId="77777777" w:rsidR="0057445C" w:rsidRPr="00600710" w:rsidRDefault="0057445C" w:rsidP="0057445C">
      <w:pPr>
        <w:numPr>
          <w:ilvl w:val="0"/>
          <w:numId w:val="2"/>
        </w:numPr>
        <w:ind w:left="709" w:hanging="425"/>
        <w:jc w:val="both"/>
        <w:rPr>
          <w:bCs/>
          <w:sz w:val="22"/>
          <w:szCs w:val="22"/>
        </w:rPr>
      </w:pPr>
      <w:r w:rsidRPr="00600710">
        <w:rPr>
          <w:bCs/>
          <w:sz w:val="22"/>
          <w:szCs w:val="22"/>
        </w:rPr>
        <w:t>LR pirkimų, atliekamų vandentvarkos, energetikos, transporto ar pašto paslaugų srities perkančiųjų subjektų, įstatymas;</w:t>
      </w:r>
    </w:p>
    <w:p w14:paraId="28DB2328" w14:textId="77777777" w:rsidR="0057445C" w:rsidRPr="00600710" w:rsidRDefault="0057445C" w:rsidP="0057445C">
      <w:pPr>
        <w:numPr>
          <w:ilvl w:val="0"/>
          <w:numId w:val="2"/>
        </w:numPr>
        <w:ind w:left="709" w:hanging="425"/>
        <w:jc w:val="both"/>
        <w:rPr>
          <w:bCs/>
          <w:sz w:val="22"/>
          <w:szCs w:val="22"/>
        </w:rPr>
      </w:pPr>
      <w:r w:rsidRPr="00600710">
        <w:rPr>
          <w:sz w:val="22"/>
          <w:szCs w:val="22"/>
          <w:lang w:eastAsia="lt-LT"/>
        </w:rPr>
        <w:t>LR Teritorijų planavimo įstatymas;</w:t>
      </w:r>
    </w:p>
    <w:p w14:paraId="79E074B1" w14:textId="77777777" w:rsidR="0057445C" w:rsidRPr="00600710" w:rsidRDefault="0057445C" w:rsidP="0057445C">
      <w:pPr>
        <w:numPr>
          <w:ilvl w:val="0"/>
          <w:numId w:val="2"/>
        </w:numPr>
        <w:ind w:left="709" w:hanging="425"/>
        <w:jc w:val="both"/>
        <w:rPr>
          <w:bCs/>
          <w:sz w:val="22"/>
          <w:szCs w:val="22"/>
        </w:rPr>
      </w:pPr>
      <w:r w:rsidRPr="00600710">
        <w:rPr>
          <w:sz w:val="22"/>
          <w:szCs w:val="22"/>
          <w:lang w:eastAsia="lt-LT"/>
        </w:rPr>
        <w:t>Sutarties vykdymui aktualūs Statybos techniniai reglamentai (STR);</w:t>
      </w:r>
    </w:p>
    <w:p w14:paraId="32E9AF3A" w14:textId="2707234F" w:rsidR="0057445C" w:rsidRPr="00600710" w:rsidRDefault="0057445C" w:rsidP="0057445C">
      <w:pPr>
        <w:numPr>
          <w:ilvl w:val="0"/>
          <w:numId w:val="2"/>
        </w:numPr>
        <w:ind w:left="709" w:hanging="425"/>
        <w:jc w:val="both"/>
        <w:rPr>
          <w:bCs/>
          <w:sz w:val="22"/>
          <w:szCs w:val="22"/>
        </w:rPr>
      </w:pPr>
      <w:r w:rsidRPr="00600710">
        <w:rPr>
          <w:bCs/>
          <w:sz w:val="22"/>
          <w:szCs w:val="22"/>
        </w:rPr>
        <w:t xml:space="preserve">FIDIC </w:t>
      </w:r>
      <w:r w:rsidR="005817F1">
        <w:rPr>
          <w:bCs/>
          <w:sz w:val="22"/>
          <w:szCs w:val="22"/>
        </w:rPr>
        <w:t xml:space="preserve">,,Geltonoji“ ir </w:t>
      </w:r>
      <w:r w:rsidRPr="00600710">
        <w:rPr>
          <w:bCs/>
          <w:sz w:val="22"/>
          <w:szCs w:val="22"/>
        </w:rPr>
        <w:t>„</w:t>
      </w:r>
      <w:r>
        <w:rPr>
          <w:bCs/>
          <w:sz w:val="22"/>
          <w:szCs w:val="22"/>
        </w:rPr>
        <w:t>Raudonoji</w:t>
      </w:r>
      <w:r w:rsidRPr="00600710">
        <w:rPr>
          <w:bCs/>
          <w:sz w:val="22"/>
          <w:szCs w:val="22"/>
        </w:rPr>
        <w:t>“ knyg</w:t>
      </w:r>
      <w:r w:rsidR="005817F1">
        <w:rPr>
          <w:bCs/>
          <w:sz w:val="22"/>
          <w:szCs w:val="22"/>
        </w:rPr>
        <w:t>a</w:t>
      </w:r>
      <w:r>
        <w:rPr>
          <w:bCs/>
          <w:sz w:val="22"/>
          <w:szCs w:val="22"/>
        </w:rPr>
        <w:t>.</w:t>
      </w:r>
    </w:p>
    <w:p w14:paraId="15B0BEAA" w14:textId="34FD2FC9" w:rsidR="0057445C" w:rsidRPr="000C3D6C" w:rsidRDefault="0057445C" w:rsidP="000C3D6C">
      <w:pPr>
        <w:spacing w:before="120" w:after="120"/>
        <w:jc w:val="both"/>
        <w:rPr>
          <w:color w:val="000000"/>
          <w:sz w:val="22"/>
          <w:szCs w:val="22"/>
        </w:rPr>
      </w:pPr>
      <w:r w:rsidRPr="00600710">
        <w:rPr>
          <w:color w:val="000000"/>
          <w:sz w:val="22"/>
          <w:szCs w:val="22"/>
        </w:rPr>
        <w:t>T</w:t>
      </w:r>
      <w:r>
        <w:rPr>
          <w:color w:val="000000"/>
          <w:sz w:val="22"/>
          <w:szCs w:val="22"/>
        </w:rPr>
        <w:t>ei</w:t>
      </w:r>
      <w:r w:rsidRPr="00600710">
        <w:rPr>
          <w:color w:val="000000"/>
          <w:sz w:val="22"/>
          <w:szCs w:val="22"/>
        </w:rPr>
        <w:t>kėjas privalo vadovautis ne tik aukščiau išvardintais, bet ir visais kitais su šios sutarties įgyvendinimu susijusiais teisės aktais, taip pat jų naujausiais pakeitimais. Paslaugos Teikėjas teikdamas paslaugų sutartyje numatytas paslaugas privalo vadovautis tik galiojančių teisės aktų aktualiomis redakcijomis. Paslaugos Teikėjui privalomi ir visi sutarties vykdymo metu naujai priimti teisės aktai, jeigu jie susiję su vykdomos sutarties įgyvendinimu.</w:t>
      </w:r>
      <w:bookmarkStart w:id="0" w:name="_Toc122237352"/>
    </w:p>
    <w:bookmarkEnd w:id="0"/>
    <w:p w14:paraId="42B7E417" w14:textId="77777777" w:rsidR="0057445C" w:rsidRPr="00600710" w:rsidRDefault="0057445C" w:rsidP="0057445C">
      <w:pPr>
        <w:jc w:val="both"/>
        <w:rPr>
          <w:sz w:val="22"/>
          <w:szCs w:val="22"/>
          <w:lang w:eastAsia="lt-LT"/>
        </w:rPr>
      </w:pPr>
    </w:p>
    <w:p w14:paraId="23B61F5F" w14:textId="77777777" w:rsidR="0057445C" w:rsidRPr="00600710" w:rsidRDefault="0057445C" w:rsidP="0057445C">
      <w:pPr>
        <w:keepNext/>
        <w:numPr>
          <w:ilvl w:val="0"/>
          <w:numId w:val="1"/>
        </w:numPr>
        <w:tabs>
          <w:tab w:val="num" w:pos="0"/>
          <w:tab w:val="left" w:pos="567"/>
        </w:tabs>
        <w:ind w:left="0" w:firstLine="0"/>
        <w:outlineLvl w:val="0"/>
        <w:rPr>
          <w:b/>
          <w:bCs/>
          <w:kern w:val="32"/>
          <w:sz w:val="22"/>
          <w:szCs w:val="22"/>
        </w:rPr>
      </w:pPr>
      <w:r w:rsidRPr="00600710">
        <w:rPr>
          <w:b/>
          <w:bCs/>
          <w:kern w:val="32"/>
          <w:sz w:val="22"/>
          <w:szCs w:val="22"/>
        </w:rPr>
        <w:t>PASLAUGŲ APIMTYS</w:t>
      </w:r>
    </w:p>
    <w:p w14:paraId="24339B53" w14:textId="77777777" w:rsidR="0057445C" w:rsidRPr="00600710" w:rsidRDefault="0057445C" w:rsidP="0057445C">
      <w:pPr>
        <w:shd w:val="clear" w:color="auto" w:fill="FFFFFF"/>
        <w:tabs>
          <w:tab w:val="left" w:pos="567"/>
        </w:tabs>
        <w:jc w:val="both"/>
        <w:outlineLvl w:val="0"/>
        <w:rPr>
          <w:bCs/>
          <w:spacing w:val="-2"/>
          <w:sz w:val="22"/>
          <w:szCs w:val="22"/>
        </w:rPr>
      </w:pPr>
    </w:p>
    <w:p w14:paraId="5D23D15A" w14:textId="391BA4E7" w:rsidR="0057445C" w:rsidRPr="000A187E" w:rsidRDefault="0057445C" w:rsidP="0057445C">
      <w:pPr>
        <w:numPr>
          <w:ilvl w:val="1"/>
          <w:numId w:val="1"/>
        </w:numPr>
        <w:shd w:val="clear" w:color="auto" w:fill="FFFFFF"/>
        <w:tabs>
          <w:tab w:val="num" w:pos="0"/>
          <w:tab w:val="left" w:pos="567"/>
        </w:tabs>
        <w:ind w:left="0" w:firstLine="0"/>
        <w:jc w:val="both"/>
        <w:outlineLvl w:val="0"/>
        <w:rPr>
          <w:b/>
          <w:bCs/>
          <w:spacing w:val="-2"/>
          <w:sz w:val="22"/>
          <w:szCs w:val="22"/>
        </w:rPr>
      </w:pPr>
      <w:r w:rsidRPr="00600710">
        <w:rPr>
          <w:b/>
          <w:bCs/>
          <w:spacing w:val="-2"/>
          <w:sz w:val="22"/>
          <w:szCs w:val="22"/>
        </w:rPr>
        <w:t>Statybos darbų  aprašymas, kiekiai/apimtys</w:t>
      </w:r>
    </w:p>
    <w:p w14:paraId="109B699D" w14:textId="77777777" w:rsidR="000A187E" w:rsidRPr="000A187E" w:rsidRDefault="000A187E" w:rsidP="000A187E">
      <w:pPr>
        <w:shd w:val="clear" w:color="auto" w:fill="FFFFFF"/>
        <w:tabs>
          <w:tab w:val="num" w:pos="0"/>
          <w:tab w:val="left" w:pos="567"/>
        </w:tabs>
        <w:jc w:val="both"/>
        <w:rPr>
          <w:bCs/>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5"/>
        <w:gridCol w:w="2779"/>
        <w:gridCol w:w="1837"/>
      </w:tblGrid>
      <w:tr w:rsidR="00A01F19" w:rsidRPr="000A187E" w14:paraId="705EB3B4" w14:textId="53F30CDB" w:rsidTr="00A01F19">
        <w:trPr>
          <w:trHeight w:val="210"/>
        </w:trPr>
        <w:tc>
          <w:tcPr>
            <w:tcW w:w="2638" w:type="pct"/>
          </w:tcPr>
          <w:p w14:paraId="352F6C40" w14:textId="77777777" w:rsidR="00A01F19" w:rsidRPr="000A187E" w:rsidRDefault="00A01F19" w:rsidP="00F06C9A">
            <w:pPr>
              <w:jc w:val="center"/>
              <w:rPr>
                <w:bCs/>
                <w:sz w:val="22"/>
                <w:szCs w:val="22"/>
              </w:rPr>
            </w:pPr>
            <w:r w:rsidRPr="000A187E">
              <w:rPr>
                <w:bCs/>
                <w:sz w:val="22"/>
                <w:szCs w:val="22"/>
              </w:rPr>
              <w:t>Planuojamos projekto veiklos pavadinimas</w:t>
            </w:r>
          </w:p>
        </w:tc>
        <w:tc>
          <w:tcPr>
            <w:tcW w:w="1422" w:type="pct"/>
          </w:tcPr>
          <w:p w14:paraId="7758A046" w14:textId="7AD319D7" w:rsidR="00A01F19" w:rsidRPr="000A187E" w:rsidRDefault="00A01F19" w:rsidP="00F06C9A">
            <w:pPr>
              <w:jc w:val="center"/>
              <w:rPr>
                <w:bCs/>
                <w:sz w:val="22"/>
                <w:szCs w:val="22"/>
              </w:rPr>
            </w:pPr>
            <w:r w:rsidRPr="000A187E">
              <w:rPr>
                <w:bCs/>
                <w:sz w:val="22"/>
                <w:szCs w:val="22"/>
              </w:rPr>
              <w:t xml:space="preserve">Numatomos darbų kainos </w:t>
            </w:r>
          </w:p>
          <w:p w14:paraId="1E099325" w14:textId="77777777" w:rsidR="00A01F19" w:rsidRPr="000A187E" w:rsidRDefault="00A01F19" w:rsidP="00F06C9A">
            <w:pPr>
              <w:jc w:val="center"/>
              <w:rPr>
                <w:bCs/>
                <w:sz w:val="22"/>
                <w:szCs w:val="22"/>
              </w:rPr>
            </w:pPr>
            <w:r w:rsidRPr="000A187E">
              <w:rPr>
                <w:bCs/>
                <w:sz w:val="22"/>
                <w:szCs w:val="22"/>
              </w:rPr>
              <w:t xml:space="preserve">(Eur be PVM) </w:t>
            </w:r>
          </w:p>
        </w:tc>
        <w:tc>
          <w:tcPr>
            <w:tcW w:w="940" w:type="pct"/>
          </w:tcPr>
          <w:p w14:paraId="2E410A2C" w14:textId="4D87DFE9" w:rsidR="00A01F19" w:rsidRPr="000A187E" w:rsidRDefault="00A01F19" w:rsidP="00F06C9A">
            <w:pPr>
              <w:jc w:val="center"/>
              <w:rPr>
                <w:bCs/>
                <w:sz w:val="22"/>
                <w:szCs w:val="22"/>
              </w:rPr>
            </w:pPr>
            <w:r>
              <w:rPr>
                <w:bCs/>
                <w:sz w:val="22"/>
                <w:szCs w:val="22"/>
              </w:rPr>
              <w:t>FIDIC knyga</w:t>
            </w:r>
          </w:p>
        </w:tc>
      </w:tr>
      <w:tr w:rsidR="00A01F19" w:rsidRPr="00170B00" w14:paraId="1D367651" w14:textId="72056BFD" w:rsidTr="00A01F19">
        <w:tc>
          <w:tcPr>
            <w:tcW w:w="2638" w:type="pct"/>
            <w:shd w:val="clear" w:color="auto" w:fill="FFFFFF"/>
          </w:tcPr>
          <w:p w14:paraId="7C20E23E" w14:textId="24EDC07F" w:rsidR="00A01F19" w:rsidRPr="00103927" w:rsidRDefault="00A01F19" w:rsidP="00323336">
            <w:pPr>
              <w:jc w:val="both"/>
              <w:rPr>
                <w:sz w:val="22"/>
                <w:szCs w:val="22"/>
              </w:rPr>
            </w:pPr>
            <w:r w:rsidRPr="00103927">
              <w:rPr>
                <w:sz w:val="22"/>
                <w:szCs w:val="22"/>
              </w:rPr>
              <w:t>Vandens gerinimo įrenginių rekonstrukcija Užliedžių k.</w:t>
            </w:r>
          </w:p>
        </w:tc>
        <w:tc>
          <w:tcPr>
            <w:tcW w:w="1422" w:type="pct"/>
            <w:tcBorders>
              <w:top w:val="single" w:sz="4" w:space="0" w:color="auto"/>
              <w:left w:val="single" w:sz="4" w:space="0" w:color="auto"/>
              <w:bottom w:val="single" w:sz="4" w:space="0" w:color="auto"/>
              <w:right w:val="single" w:sz="4" w:space="0" w:color="auto"/>
            </w:tcBorders>
            <w:shd w:val="clear" w:color="000000" w:fill="FFFFFF"/>
            <w:vAlign w:val="center"/>
          </w:tcPr>
          <w:p w14:paraId="14946D6C" w14:textId="70A8C9A1" w:rsidR="00A01F19" w:rsidRPr="00323336" w:rsidRDefault="00A01F19" w:rsidP="00323336">
            <w:pPr>
              <w:jc w:val="center"/>
              <w:rPr>
                <w:sz w:val="22"/>
                <w:szCs w:val="22"/>
              </w:rPr>
            </w:pPr>
            <w:r w:rsidRPr="00323336">
              <w:rPr>
                <w:color w:val="000000"/>
                <w:sz w:val="22"/>
                <w:szCs w:val="22"/>
              </w:rPr>
              <w:t>1 885 240,00</w:t>
            </w:r>
          </w:p>
        </w:tc>
        <w:tc>
          <w:tcPr>
            <w:tcW w:w="940" w:type="pct"/>
            <w:tcBorders>
              <w:top w:val="single" w:sz="4" w:space="0" w:color="auto"/>
              <w:left w:val="single" w:sz="4" w:space="0" w:color="auto"/>
              <w:bottom w:val="single" w:sz="4" w:space="0" w:color="auto"/>
              <w:right w:val="single" w:sz="4" w:space="0" w:color="auto"/>
            </w:tcBorders>
            <w:shd w:val="clear" w:color="000000" w:fill="FFFFFF"/>
          </w:tcPr>
          <w:p w14:paraId="550CAD03" w14:textId="22475142" w:rsidR="00A01F19" w:rsidRPr="00323336" w:rsidRDefault="00A01F19" w:rsidP="00323336">
            <w:pPr>
              <w:jc w:val="center"/>
              <w:rPr>
                <w:color w:val="000000"/>
                <w:sz w:val="22"/>
                <w:szCs w:val="22"/>
              </w:rPr>
            </w:pPr>
            <w:r>
              <w:rPr>
                <w:color w:val="000000"/>
                <w:sz w:val="22"/>
                <w:szCs w:val="22"/>
              </w:rPr>
              <w:t>Geltonoji</w:t>
            </w:r>
          </w:p>
        </w:tc>
      </w:tr>
      <w:tr w:rsidR="00A01F19" w:rsidRPr="00170B00" w14:paraId="1DE1F46B" w14:textId="46A95521" w:rsidTr="00A01F19">
        <w:tc>
          <w:tcPr>
            <w:tcW w:w="2638" w:type="pct"/>
            <w:shd w:val="clear" w:color="auto" w:fill="FFFFFF"/>
          </w:tcPr>
          <w:p w14:paraId="1DAAD04C" w14:textId="3F23005A" w:rsidR="00A01F19" w:rsidRPr="00103927" w:rsidRDefault="00A01F19" w:rsidP="00323336">
            <w:pPr>
              <w:jc w:val="both"/>
              <w:rPr>
                <w:sz w:val="22"/>
                <w:szCs w:val="22"/>
              </w:rPr>
            </w:pPr>
            <w:r w:rsidRPr="00103927">
              <w:rPr>
                <w:sz w:val="22"/>
                <w:szCs w:val="22"/>
              </w:rPr>
              <w:t>Vandens gerinimo įrenginių rekonstrukcija Giraitės k.</w:t>
            </w:r>
          </w:p>
        </w:tc>
        <w:tc>
          <w:tcPr>
            <w:tcW w:w="1422" w:type="pct"/>
            <w:tcBorders>
              <w:top w:val="nil"/>
              <w:left w:val="single" w:sz="4" w:space="0" w:color="auto"/>
              <w:bottom w:val="single" w:sz="4" w:space="0" w:color="auto"/>
              <w:right w:val="single" w:sz="4" w:space="0" w:color="auto"/>
            </w:tcBorders>
            <w:shd w:val="clear" w:color="000000" w:fill="FFFFFF"/>
            <w:vAlign w:val="center"/>
          </w:tcPr>
          <w:p w14:paraId="3D05AD9B" w14:textId="164C197B" w:rsidR="00A01F19" w:rsidRPr="00323336" w:rsidRDefault="00A01F19" w:rsidP="00323336">
            <w:pPr>
              <w:jc w:val="center"/>
              <w:rPr>
                <w:sz w:val="22"/>
                <w:szCs w:val="22"/>
              </w:rPr>
            </w:pPr>
            <w:r w:rsidRPr="00323336">
              <w:rPr>
                <w:color w:val="000000"/>
                <w:sz w:val="22"/>
                <w:szCs w:val="22"/>
              </w:rPr>
              <w:t>1 611 230,00</w:t>
            </w:r>
          </w:p>
        </w:tc>
        <w:tc>
          <w:tcPr>
            <w:tcW w:w="940" w:type="pct"/>
            <w:tcBorders>
              <w:top w:val="nil"/>
              <w:left w:val="single" w:sz="4" w:space="0" w:color="auto"/>
              <w:bottom w:val="single" w:sz="4" w:space="0" w:color="auto"/>
              <w:right w:val="single" w:sz="4" w:space="0" w:color="auto"/>
            </w:tcBorders>
            <w:shd w:val="clear" w:color="000000" w:fill="FFFFFF"/>
          </w:tcPr>
          <w:p w14:paraId="6933AEFF" w14:textId="1EAB0156" w:rsidR="00A01F19" w:rsidRPr="00323336" w:rsidRDefault="00A01F19" w:rsidP="00323336">
            <w:pPr>
              <w:jc w:val="center"/>
              <w:rPr>
                <w:color w:val="000000"/>
                <w:sz w:val="22"/>
                <w:szCs w:val="22"/>
              </w:rPr>
            </w:pPr>
            <w:r>
              <w:rPr>
                <w:color w:val="000000"/>
                <w:sz w:val="22"/>
                <w:szCs w:val="22"/>
              </w:rPr>
              <w:t>Geltonoji</w:t>
            </w:r>
          </w:p>
        </w:tc>
      </w:tr>
      <w:tr w:rsidR="00A01F19" w:rsidRPr="00170B00" w14:paraId="37F8FF4C" w14:textId="059651C6" w:rsidTr="00A01F19">
        <w:tc>
          <w:tcPr>
            <w:tcW w:w="2638" w:type="pct"/>
            <w:shd w:val="clear" w:color="auto" w:fill="FFFFFF"/>
          </w:tcPr>
          <w:p w14:paraId="6B18F102" w14:textId="4A5D3577" w:rsidR="00A01F19" w:rsidRPr="00103927" w:rsidRDefault="00A01F19" w:rsidP="00323336">
            <w:pPr>
              <w:jc w:val="both"/>
              <w:rPr>
                <w:sz w:val="22"/>
                <w:szCs w:val="22"/>
              </w:rPr>
            </w:pPr>
            <w:r w:rsidRPr="00103927">
              <w:rPr>
                <w:sz w:val="22"/>
                <w:szCs w:val="22"/>
              </w:rPr>
              <w:t>Nuotekų surinkimo tinklų statyba Voškonių k.</w:t>
            </w:r>
          </w:p>
        </w:tc>
        <w:tc>
          <w:tcPr>
            <w:tcW w:w="1422" w:type="pct"/>
            <w:tcBorders>
              <w:top w:val="single" w:sz="4" w:space="0" w:color="auto"/>
              <w:left w:val="single" w:sz="4" w:space="0" w:color="auto"/>
              <w:bottom w:val="single" w:sz="4" w:space="0" w:color="auto"/>
              <w:right w:val="single" w:sz="4" w:space="0" w:color="auto"/>
            </w:tcBorders>
            <w:shd w:val="clear" w:color="000000" w:fill="FFFFFF"/>
            <w:vAlign w:val="center"/>
          </w:tcPr>
          <w:p w14:paraId="36E2DB04" w14:textId="2BB19762" w:rsidR="00A01F19" w:rsidRPr="00323336" w:rsidRDefault="00A01F19" w:rsidP="00323336">
            <w:pPr>
              <w:jc w:val="center"/>
              <w:rPr>
                <w:sz w:val="22"/>
                <w:szCs w:val="22"/>
              </w:rPr>
            </w:pPr>
            <w:r w:rsidRPr="00323336">
              <w:rPr>
                <w:color w:val="000000"/>
                <w:sz w:val="22"/>
                <w:szCs w:val="22"/>
              </w:rPr>
              <w:t>398 700,00</w:t>
            </w:r>
          </w:p>
        </w:tc>
        <w:tc>
          <w:tcPr>
            <w:tcW w:w="940" w:type="pct"/>
            <w:tcBorders>
              <w:top w:val="single" w:sz="4" w:space="0" w:color="auto"/>
              <w:left w:val="single" w:sz="4" w:space="0" w:color="auto"/>
              <w:bottom w:val="single" w:sz="4" w:space="0" w:color="auto"/>
              <w:right w:val="single" w:sz="4" w:space="0" w:color="auto"/>
            </w:tcBorders>
            <w:shd w:val="clear" w:color="000000" w:fill="FFFFFF"/>
          </w:tcPr>
          <w:p w14:paraId="72CBD937" w14:textId="052F9C8E" w:rsidR="00A01F19" w:rsidRPr="00323336" w:rsidRDefault="00A01F19" w:rsidP="00323336">
            <w:pPr>
              <w:jc w:val="center"/>
              <w:rPr>
                <w:color w:val="000000"/>
                <w:sz w:val="22"/>
                <w:szCs w:val="22"/>
              </w:rPr>
            </w:pPr>
            <w:r>
              <w:rPr>
                <w:color w:val="000000"/>
                <w:sz w:val="22"/>
                <w:szCs w:val="22"/>
              </w:rPr>
              <w:t>Raudonoji</w:t>
            </w:r>
          </w:p>
        </w:tc>
      </w:tr>
      <w:tr w:rsidR="00A01F19" w:rsidRPr="00170B00" w14:paraId="5BB956F4" w14:textId="598DEC2D" w:rsidTr="00A01F19">
        <w:tc>
          <w:tcPr>
            <w:tcW w:w="2638" w:type="pct"/>
            <w:shd w:val="clear" w:color="auto" w:fill="FFFFFF"/>
          </w:tcPr>
          <w:p w14:paraId="6666CE17" w14:textId="37A1A93C" w:rsidR="00A01F19" w:rsidRPr="00103927" w:rsidRDefault="00A01F19" w:rsidP="00323336">
            <w:pPr>
              <w:jc w:val="both"/>
              <w:rPr>
                <w:sz w:val="22"/>
                <w:szCs w:val="22"/>
              </w:rPr>
            </w:pPr>
            <w:r w:rsidRPr="00103927">
              <w:rPr>
                <w:sz w:val="22"/>
                <w:szCs w:val="22"/>
              </w:rPr>
              <w:t>Nuotekų valymo įrenginių statyba Juragių k.</w:t>
            </w:r>
          </w:p>
        </w:tc>
        <w:tc>
          <w:tcPr>
            <w:tcW w:w="1422" w:type="pct"/>
            <w:tcBorders>
              <w:top w:val="nil"/>
              <w:left w:val="single" w:sz="4" w:space="0" w:color="auto"/>
              <w:bottom w:val="single" w:sz="4" w:space="0" w:color="auto"/>
              <w:right w:val="single" w:sz="4" w:space="0" w:color="auto"/>
            </w:tcBorders>
            <w:shd w:val="clear" w:color="000000" w:fill="FFFFFF"/>
            <w:vAlign w:val="center"/>
          </w:tcPr>
          <w:p w14:paraId="10FD2D23" w14:textId="57095049" w:rsidR="00A01F19" w:rsidRPr="00323336" w:rsidRDefault="00A01F19" w:rsidP="00323336">
            <w:pPr>
              <w:jc w:val="center"/>
              <w:rPr>
                <w:sz w:val="22"/>
                <w:szCs w:val="22"/>
              </w:rPr>
            </w:pPr>
            <w:r w:rsidRPr="00323336">
              <w:rPr>
                <w:color w:val="000000"/>
                <w:sz w:val="22"/>
                <w:szCs w:val="22"/>
              </w:rPr>
              <w:t>829 007,27</w:t>
            </w:r>
          </w:p>
        </w:tc>
        <w:tc>
          <w:tcPr>
            <w:tcW w:w="940" w:type="pct"/>
            <w:tcBorders>
              <w:top w:val="nil"/>
              <w:left w:val="single" w:sz="4" w:space="0" w:color="auto"/>
              <w:bottom w:val="single" w:sz="4" w:space="0" w:color="auto"/>
              <w:right w:val="single" w:sz="4" w:space="0" w:color="auto"/>
            </w:tcBorders>
            <w:shd w:val="clear" w:color="000000" w:fill="FFFFFF"/>
          </w:tcPr>
          <w:p w14:paraId="34AA4D98" w14:textId="5086D6F5" w:rsidR="00A01F19" w:rsidRPr="00323336" w:rsidRDefault="000652C7" w:rsidP="00323336">
            <w:pPr>
              <w:jc w:val="center"/>
              <w:rPr>
                <w:color w:val="000000"/>
                <w:sz w:val="22"/>
                <w:szCs w:val="22"/>
              </w:rPr>
            </w:pPr>
            <w:r>
              <w:rPr>
                <w:color w:val="000000"/>
                <w:sz w:val="22"/>
                <w:szCs w:val="22"/>
              </w:rPr>
              <w:t>Raudonoji</w:t>
            </w:r>
          </w:p>
        </w:tc>
      </w:tr>
      <w:tr w:rsidR="00A01F19" w:rsidRPr="00170B00" w14:paraId="64910667" w14:textId="709ACEB1" w:rsidTr="00A01F19">
        <w:tc>
          <w:tcPr>
            <w:tcW w:w="2638" w:type="pct"/>
            <w:shd w:val="clear" w:color="auto" w:fill="FFFFFF"/>
          </w:tcPr>
          <w:p w14:paraId="5FD22ED7" w14:textId="3A69E42B" w:rsidR="00A01F19" w:rsidRPr="00103927" w:rsidRDefault="00A01F19" w:rsidP="00323336">
            <w:pPr>
              <w:jc w:val="both"/>
              <w:rPr>
                <w:sz w:val="22"/>
                <w:szCs w:val="22"/>
              </w:rPr>
            </w:pPr>
            <w:r w:rsidRPr="00103927">
              <w:rPr>
                <w:sz w:val="22"/>
                <w:szCs w:val="22"/>
              </w:rPr>
              <w:t>Nuotekų valymo įrenginių rekonstrukcija Ežerėlio m.</w:t>
            </w:r>
          </w:p>
        </w:tc>
        <w:tc>
          <w:tcPr>
            <w:tcW w:w="1422" w:type="pct"/>
            <w:tcBorders>
              <w:top w:val="nil"/>
              <w:left w:val="single" w:sz="4" w:space="0" w:color="auto"/>
              <w:bottom w:val="single" w:sz="4" w:space="0" w:color="auto"/>
              <w:right w:val="single" w:sz="4" w:space="0" w:color="auto"/>
            </w:tcBorders>
            <w:shd w:val="clear" w:color="000000" w:fill="FFFFFF"/>
            <w:vAlign w:val="center"/>
          </w:tcPr>
          <w:p w14:paraId="1D5BC493" w14:textId="1B59D784" w:rsidR="00A01F19" w:rsidRPr="00323336" w:rsidRDefault="00A01F19" w:rsidP="00323336">
            <w:pPr>
              <w:jc w:val="center"/>
              <w:rPr>
                <w:sz w:val="22"/>
                <w:szCs w:val="22"/>
              </w:rPr>
            </w:pPr>
            <w:r w:rsidRPr="00323336">
              <w:rPr>
                <w:color w:val="000000"/>
                <w:sz w:val="22"/>
                <w:szCs w:val="22"/>
              </w:rPr>
              <w:t>2 351 800,52</w:t>
            </w:r>
          </w:p>
        </w:tc>
        <w:tc>
          <w:tcPr>
            <w:tcW w:w="940" w:type="pct"/>
            <w:tcBorders>
              <w:top w:val="nil"/>
              <w:left w:val="single" w:sz="4" w:space="0" w:color="auto"/>
              <w:bottom w:val="single" w:sz="4" w:space="0" w:color="auto"/>
              <w:right w:val="single" w:sz="4" w:space="0" w:color="auto"/>
            </w:tcBorders>
            <w:shd w:val="clear" w:color="000000" w:fill="FFFFFF"/>
          </w:tcPr>
          <w:p w14:paraId="7DF85169" w14:textId="5FF165D8" w:rsidR="00A01F19" w:rsidRPr="00323336" w:rsidRDefault="000652C7" w:rsidP="00323336">
            <w:pPr>
              <w:jc w:val="center"/>
              <w:rPr>
                <w:color w:val="000000"/>
                <w:sz w:val="22"/>
                <w:szCs w:val="22"/>
              </w:rPr>
            </w:pPr>
            <w:r>
              <w:rPr>
                <w:color w:val="000000"/>
                <w:sz w:val="22"/>
                <w:szCs w:val="22"/>
              </w:rPr>
              <w:t>Raudonoji</w:t>
            </w:r>
          </w:p>
        </w:tc>
      </w:tr>
      <w:tr w:rsidR="00A01F19" w:rsidRPr="00170B00" w14:paraId="02AF0DAB" w14:textId="24C9BDE0" w:rsidTr="00A01F19">
        <w:tc>
          <w:tcPr>
            <w:tcW w:w="2638" w:type="pct"/>
            <w:shd w:val="clear" w:color="auto" w:fill="FFFFFF"/>
          </w:tcPr>
          <w:p w14:paraId="2AAF96CE" w14:textId="0922F4B0" w:rsidR="00A01F19" w:rsidRPr="00103927" w:rsidRDefault="00A01F19" w:rsidP="00A01F19">
            <w:pPr>
              <w:jc w:val="both"/>
              <w:rPr>
                <w:sz w:val="22"/>
                <w:szCs w:val="22"/>
              </w:rPr>
            </w:pPr>
            <w:r w:rsidRPr="00103927">
              <w:rPr>
                <w:sz w:val="22"/>
                <w:szCs w:val="22"/>
              </w:rPr>
              <w:t>Nuotekų valymo įrenginių rekonstrukcija Eigirgalos k. (Voškoniai, Varluva)</w:t>
            </w:r>
          </w:p>
        </w:tc>
        <w:tc>
          <w:tcPr>
            <w:tcW w:w="1422" w:type="pct"/>
            <w:shd w:val="clear" w:color="auto" w:fill="FFFFFF"/>
          </w:tcPr>
          <w:p w14:paraId="2D391A34" w14:textId="00DCFBFA" w:rsidR="00A01F19" w:rsidRPr="00323336" w:rsidRDefault="00A01F19" w:rsidP="00A01F19">
            <w:pPr>
              <w:jc w:val="center"/>
              <w:rPr>
                <w:sz w:val="22"/>
                <w:szCs w:val="22"/>
              </w:rPr>
            </w:pPr>
            <w:r>
              <w:rPr>
                <w:sz w:val="22"/>
                <w:szCs w:val="22"/>
              </w:rPr>
              <w:t>4 195 570,00</w:t>
            </w:r>
          </w:p>
        </w:tc>
        <w:tc>
          <w:tcPr>
            <w:tcW w:w="940" w:type="pct"/>
            <w:shd w:val="clear" w:color="auto" w:fill="FFFFFF"/>
          </w:tcPr>
          <w:p w14:paraId="6A85F27E" w14:textId="2544FD3E" w:rsidR="00A01F19" w:rsidRDefault="00A01F19" w:rsidP="00A01F19">
            <w:pPr>
              <w:jc w:val="center"/>
              <w:rPr>
                <w:sz w:val="22"/>
                <w:szCs w:val="22"/>
              </w:rPr>
            </w:pPr>
            <w:r w:rsidRPr="009343CF">
              <w:rPr>
                <w:color w:val="000000"/>
                <w:sz w:val="22"/>
                <w:szCs w:val="22"/>
              </w:rPr>
              <w:t>Geltonoji</w:t>
            </w:r>
          </w:p>
        </w:tc>
      </w:tr>
      <w:tr w:rsidR="00A01F19" w:rsidRPr="00170B00" w14:paraId="2AB06976" w14:textId="1BC69D6F" w:rsidTr="00A01F19">
        <w:tc>
          <w:tcPr>
            <w:tcW w:w="2638" w:type="pct"/>
            <w:shd w:val="clear" w:color="auto" w:fill="FFFFFF"/>
          </w:tcPr>
          <w:p w14:paraId="2EBA2B8B" w14:textId="6804938C" w:rsidR="00A01F19" w:rsidRPr="00103927" w:rsidRDefault="00A01F19" w:rsidP="00A01F19">
            <w:pPr>
              <w:jc w:val="both"/>
              <w:rPr>
                <w:sz w:val="22"/>
                <w:szCs w:val="22"/>
              </w:rPr>
            </w:pPr>
            <w:r w:rsidRPr="00103927">
              <w:rPr>
                <w:sz w:val="22"/>
                <w:szCs w:val="22"/>
              </w:rPr>
              <w:t>Nuotekų valymo įrenginių rekonstrukcija Vandžiogalos mstl.</w:t>
            </w:r>
          </w:p>
        </w:tc>
        <w:tc>
          <w:tcPr>
            <w:tcW w:w="1422" w:type="pct"/>
            <w:shd w:val="clear" w:color="auto" w:fill="FFFFFF"/>
          </w:tcPr>
          <w:p w14:paraId="37253D60" w14:textId="7A239967" w:rsidR="00A01F19" w:rsidRPr="00323336" w:rsidRDefault="00A01F19" w:rsidP="00A01F19">
            <w:pPr>
              <w:jc w:val="center"/>
              <w:rPr>
                <w:sz w:val="22"/>
                <w:szCs w:val="22"/>
              </w:rPr>
            </w:pPr>
            <w:r>
              <w:rPr>
                <w:sz w:val="22"/>
                <w:szCs w:val="22"/>
              </w:rPr>
              <w:t>839 114,00</w:t>
            </w:r>
          </w:p>
        </w:tc>
        <w:tc>
          <w:tcPr>
            <w:tcW w:w="940" w:type="pct"/>
            <w:shd w:val="clear" w:color="auto" w:fill="FFFFFF"/>
          </w:tcPr>
          <w:p w14:paraId="2D925C8E" w14:textId="62B3EA85" w:rsidR="00A01F19" w:rsidRDefault="00A01F19" w:rsidP="00A01F19">
            <w:pPr>
              <w:jc w:val="center"/>
              <w:rPr>
                <w:sz w:val="22"/>
                <w:szCs w:val="22"/>
              </w:rPr>
            </w:pPr>
            <w:r w:rsidRPr="009343CF">
              <w:rPr>
                <w:color w:val="000000"/>
                <w:sz w:val="22"/>
                <w:szCs w:val="22"/>
              </w:rPr>
              <w:t>Geltonoji</w:t>
            </w:r>
          </w:p>
        </w:tc>
      </w:tr>
    </w:tbl>
    <w:p w14:paraId="15F35A27" w14:textId="77777777" w:rsidR="0057445C" w:rsidRPr="00600710" w:rsidRDefault="0057445C" w:rsidP="0057445C">
      <w:pPr>
        <w:shd w:val="clear" w:color="auto" w:fill="FFFFFF"/>
        <w:jc w:val="both"/>
        <w:outlineLvl w:val="0"/>
        <w:rPr>
          <w:bCs/>
          <w:spacing w:val="-2"/>
          <w:sz w:val="22"/>
          <w:szCs w:val="22"/>
        </w:rPr>
      </w:pPr>
    </w:p>
    <w:p w14:paraId="33D64690" w14:textId="3A650D16" w:rsidR="0057445C" w:rsidRPr="00600710" w:rsidRDefault="004A000E" w:rsidP="0057445C">
      <w:pPr>
        <w:shd w:val="clear" w:color="auto" w:fill="FFFFFF"/>
        <w:tabs>
          <w:tab w:val="left" w:pos="567"/>
        </w:tabs>
        <w:ind w:left="1080" w:hanging="1080"/>
        <w:outlineLvl w:val="0"/>
        <w:rPr>
          <w:b/>
          <w:bCs/>
          <w:spacing w:val="-2"/>
          <w:sz w:val="22"/>
          <w:szCs w:val="22"/>
        </w:rPr>
      </w:pPr>
      <w:r>
        <w:rPr>
          <w:b/>
          <w:bCs/>
          <w:spacing w:val="-2"/>
          <w:sz w:val="22"/>
          <w:szCs w:val="22"/>
        </w:rPr>
        <w:t>2</w:t>
      </w:r>
      <w:r w:rsidR="0057445C" w:rsidRPr="00600710">
        <w:rPr>
          <w:b/>
          <w:bCs/>
          <w:spacing w:val="-2"/>
          <w:sz w:val="22"/>
          <w:szCs w:val="22"/>
        </w:rPr>
        <w:t>.</w:t>
      </w:r>
      <w:r>
        <w:rPr>
          <w:b/>
          <w:bCs/>
          <w:spacing w:val="-2"/>
          <w:sz w:val="22"/>
          <w:szCs w:val="22"/>
        </w:rPr>
        <w:t>2</w:t>
      </w:r>
      <w:r w:rsidR="0057445C" w:rsidRPr="00600710">
        <w:rPr>
          <w:b/>
          <w:bCs/>
          <w:spacing w:val="-2"/>
          <w:sz w:val="22"/>
          <w:szCs w:val="22"/>
        </w:rPr>
        <w:t>. Konkreti veikla</w:t>
      </w:r>
    </w:p>
    <w:p w14:paraId="3E5DC539" w14:textId="77777777" w:rsidR="0057445C" w:rsidRPr="00600710" w:rsidRDefault="0057445C" w:rsidP="0057445C">
      <w:pPr>
        <w:shd w:val="clear" w:color="auto" w:fill="FFFFFF"/>
        <w:tabs>
          <w:tab w:val="left" w:pos="567"/>
          <w:tab w:val="num" w:pos="1482"/>
        </w:tabs>
        <w:outlineLvl w:val="0"/>
        <w:rPr>
          <w:b/>
          <w:bCs/>
          <w:spacing w:val="-2"/>
          <w:sz w:val="22"/>
          <w:szCs w:val="22"/>
        </w:rPr>
      </w:pPr>
    </w:p>
    <w:p w14:paraId="2E63FD6A" w14:textId="74591C8B" w:rsidR="0057445C" w:rsidRPr="00600710" w:rsidRDefault="004A000E" w:rsidP="0057445C">
      <w:pPr>
        <w:shd w:val="clear" w:color="auto" w:fill="FFFFFF"/>
        <w:tabs>
          <w:tab w:val="left" w:pos="567"/>
          <w:tab w:val="num" w:pos="1482"/>
        </w:tabs>
        <w:outlineLvl w:val="0"/>
        <w:rPr>
          <w:b/>
          <w:bCs/>
          <w:spacing w:val="-2"/>
          <w:sz w:val="22"/>
          <w:szCs w:val="22"/>
        </w:rPr>
      </w:pPr>
      <w:r>
        <w:rPr>
          <w:b/>
          <w:bCs/>
          <w:spacing w:val="-2"/>
          <w:sz w:val="22"/>
          <w:szCs w:val="22"/>
        </w:rPr>
        <w:t>2</w:t>
      </w:r>
      <w:r w:rsidR="0057445C" w:rsidRPr="00600710">
        <w:rPr>
          <w:b/>
          <w:bCs/>
          <w:spacing w:val="-2"/>
          <w:sz w:val="22"/>
          <w:szCs w:val="22"/>
        </w:rPr>
        <w:t>.</w:t>
      </w:r>
      <w:r>
        <w:rPr>
          <w:b/>
          <w:bCs/>
          <w:spacing w:val="-2"/>
          <w:sz w:val="22"/>
          <w:szCs w:val="22"/>
        </w:rPr>
        <w:t>2</w:t>
      </w:r>
      <w:r w:rsidR="0057445C" w:rsidRPr="00600710">
        <w:rPr>
          <w:b/>
          <w:bCs/>
          <w:spacing w:val="-2"/>
          <w:sz w:val="22"/>
          <w:szCs w:val="22"/>
        </w:rPr>
        <w:t>.1.  FIDIC Inžinieriaus ir statybos darbų techninės priežiūros paslaugos</w:t>
      </w:r>
    </w:p>
    <w:p w14:paraId="4CFD9FF4" w14:textId="77777777" w:rsidR="0057445C" w:rsidRPr="00600710" w:rsidRDefault="0057445C" w:rsidP="0057445C">
      <w:pPr>
        <w:shd w:val="clear" w:color="auto" w:fill="FFFFFF"/>
        <w:tabs>
          <w:tab w:val="left" w:pos="567"/>
          <w:tab w:val="num" w:pos="1482"/>
        </w:tabs>
        <w:outlineLvl w:val="0"/>
        <w:rPr>
          <w:b/>
          <w:bCs/>
          <w:spacing w:val="-2"/>
          <w:sz w:val="22"/>
          <w:szCs w:val="22"/>
        </w:rPr>
      </w:pPr>
    </w:p>
    <w:p w14:paraId="38EE2251" w14:textId="68EFD60D" w:rsidR="0057445C" w:rsidRPr="00600710" w:rsidRDefault="0057445C" w:rsidP="0057445C">
      <w:pPr>
        <w:tabs>
          <w:tab w:val="num" w:pos="0"/>
          <w:tab w:val="left" w:pos="567"/>
        </w:tabs>
        <w:jc w:val="both"/>
        <w:rPr>
          <w:sz w:val="22"/>
          <w:szCs w:val="22"/>
          <w:lang w:eastAsia="lt-LT"/>
        </w:rPr>
      </w:pPr>
      <w:r w:rsidRPr="00600710">
        <w:rPr>
          <w:sz w:val="22"/>
          <w:szCs w:val="22"/>
          <w:lang w:eastAsia="lt-LT"/>
        </w:rPr>
        <w:t>Pagal Sutartį Tiekėjas turės atlikti toliau detaliai išvardintas užduotis, ieškodamas optimalių sprendimų kad būtų sėkmingai įgyvendintos objekt</w:t>
      </w:r>
      <w:r w:rsidR="008677E7">
        <w:rPr>
          <w:sz w:val="22"/>
          <w:szCs w:val="22"/>
          <w:lang w:eastAsia="lt-LT"/>
        </w:rPr>
        <w:t>o</w:t>
      </w:r>
      <w:r w:rsidRPr="00600710">
        <w:rPr>
          <w:i/>
          <w:sz w:val="22"/>
          <w:szCs w:val="22"/>
          <w:lang w:eastAsia="lt-LT"/>
        </w:rPr>
        <w:t xml:space="preserve"> </w:t>
      </w:r>
      <w:r w:rsidRPr="00600710">
        <w:rPr>
          <w:sz w:val="22"/>
          <w:szCs w:val="22"/>
          <w:lang w:eastAsia="lt-LT"/>
        </w:rPr>
        <w:t>rangos sutart</w:t>
      </w:r>
      <w:r w:rsidR="008677E7">
        <w:rPr>
          <w:sz w:val="22"/>
          <w:szCs w:val="22"/>
          <w:lang w:eastAsia="lt-LT"/>
        </w:rPr>
        <w:t>is</w:t>
      </w:r>
      <w:r w:rsidRPr="00600710">
        <w:rPr>
          <w:sz w:val="22"/>
          <w:szCs w:val="22"/>
          <w:lang w:eastAsia="lt-LT"/>
        </w:rPr>
        <w:t xml:space="preserve"> pagal numatytas apimtis ir terminus bei užtikrinti, kad vykdomi ir atlikti darbai atitiktų Užsakovo poreikius, patvirtintą projektą, rangos sutarties reikalavimus, atitinkamų įstatymų, normatyvinių statybos techninių dokumentų bei kitų teisės aktų reikalavimus. </w:t>
      </w:r>
    </w:p>
    <w:p w14:paraId="22A74CA1" w14:textId="65E259D9" w:rsidR="0057445C" w:rsidRDefault="0057445C" w:rsidP="0057445C">
      <w:pPr>
        <w:jc w:val="both"/>
        <w:rPr>
          <w:sz w:val="22"/>
          <w:szCs w:val="22"/>
          <w:lang w:eastAsia="lt-LT"/>
        </w:rPr>
      </w:pPr>
      <w:r w:rsidRPr="00600710">
        <w:rPr>
          <w:sz w:val="22"/>
          <w:szCs w:val="22"/>
          <w:lang w:eastAsia="lt-LT"/>
        </w:rPr>
        <w:t>Tiekėjas, patvirtindamas Rangovų atsiskaitymo už atliktus darbus dokumentus ir prisiimdamas pilną profesinę atsakomybę, suteiks garantiją Užsakovui, kad nupirktos medžiagos ir įrenginiai, įvykdyti statybos ir montavimo darbai atitinka pirkimo dokumentuose, bei vėliau jų pagrindu sudarytose rangos darbų sutarty</w:t>
      </w:r>
      <w:r w:rsidR="008677E7">
        <w:rPr>
          <w:sz w:val="22"/>
          <w:szCs w:val="22"/>
          <w:lang w:eastAsia="lt-LT"/>
        </w:rPr>
        <w:t>j</w:t>
      </w:r>
      <w:r w:rsidRPr="00600710">
        <w:rPr>
          <w:sz w:val="22"/>
          <w:szCs w:val="22"/>
          <w:lang w:eastAsia="lt-LT"/>
        </w:rPr>
        <w:t>e, pasirašytoje tarp Užsakovo ir Rangov</w:t>
      </w:r>
      <w:r w:rsidR="008677E7">
        <w:rPr>
          <w:sz w:val="22"/>
          <w:szCs w:val="22"/>
          <w:lang w:eastAsia="lt-LT"/>
        </w:rPr>
        <w:t>o</w:t>
      </w:r>
      <w:r w:rsidRPr="00600710">
        <w:rPr>
          <w:sz w:val="22"/>
          <w:szCs w:val="22"/>
          <w:lang w:eastAsia="lt-LT"/>
        </w:rPr>
        <w:t xml:space="preserve">, numatytus reikalavimus. </w:t>
      </w:r>
    </w:p>
    <w:p w14:paraId="5B5288CA" w14:textId="77777777" w:rsidR="0057445C" w:rsidRPr="00600710" w:rsidRDefault="0057445C" w:rsidP="0057445C">
      <w:pPr>
        <w:shd w:val="clear" w:color="auto" w:fill="FFFFFF"/>
        <w:tabs>
          <w:tab w:val="left" w:pos="567"/>
          <w:tab w:val="num" w:pos="1482"/>
        </w:tabs>
        <w:outlineLvl w:val="0"/>
        <w:rPr>
          <w:b/>
          <w:bCs/>
          <w:spacing w:val="-2"/>
          <w:sz w:val="22"/>
          <w:szCs w:val="22"/>
        </w:rPr>
      </w:pPr>
    </w:p>
    <w:p w14:paraId="08569324" w14:textId="77777777" w:rsidR="0057445C" w:rsidRPr="00600710" w:rsidRDefault="0057445C" w:rsidP="0057445C">
      <w:pPr>
        <w:shd w:val="clear" w:color="auto" w:fill="FFFFFF"/>
        <w:tabs>
          <w:tab w:val="left" w:pos="567"/>
          <w:tab w:val="num" w:pos="1482"/>
        </w:tabs>
        <w:outlineLvl w:val="0"/>
        <w:rPr>
          <w:b/>
          <w:bCs/>
          <w:spacing w:val="-2"/>
          <w:sz w:val="22"/>
          <w:szCs w:val="22"/>
        </w:rPr>
      </w:pPr>
      <w:r w:rsidRPr="00600710">
        <w:rPr>
          <w:b/>
          <w:bCs/>
          <w:spacing w:val="-2"/>
          <w:sz w:val="22"/>
          <w:szCs w:val="22"/>
        </w:rPr>
        <w:t>Teikiant FIDIC inžinieriaus paslaugas, tiekėjas privalės:</w:t>
      </w:r>
    </w:p>
    <w:p w14:paraId="7C5772D0"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Padėti Užsakovui spręsti administracinius klausimus ir valdyti Rangos sutarties</w:t>
      </w:r>
      <w:r w:rsidRPr="00600710">
        <w:rPr>
          <w:i/>
          <w:sz w:val="22"/>
          <w:szCs w:val="22"/>
          <w:lang w:eastAsia="lt-LT"/>
        </w:rPr>
        <w:t xml:space="preserve"> </w:t>
      </w:r>
      <w:r w:rsidRPr="00600710">
        <w:rPr>
          <w:sz w:val="22"/>
          <w:szCs w:val="22"/>
          <w:lang w:eastAsia="lt-LT"/>
        </w:rPr>
        <w:t>įgyvendinimą;</w:t>
      </w:r>
    </w:p>
    <w:p w14:paraId="41DC923E" w14:textId="0CF5D435"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Vykdyti objekt</w:t>
      </w:r>
      <w:r w:rsidR="008677E7">
        <w:rPr>
          <w:sz w:val="22"/>
          <w:szCs w:val="22"/>
          <w:lang w:eastAsia="lt-LT"/>
        </w:rPr>
        <w:t>o</w:t>
      </w:r>
      <w:r w:rsidRPr="00600710">
        <w:rPr>
          <w:i/>
          <w:sz w:val="22"/>
          <w:szCs w:val="22"/>
          <w:lang w:eastAsia="lt-LT"/>
        </w:rPr>
        <w:t xml:space="preserve"> </w:t>
      </w:r>
      <w:r w:rsidRPr="00600710">
        <w:rPr>
          <w:sz w:val="22"/>
          <w:szCs w:val="22"/>
          <w:lang w:eastAsia="lt-LT"/>
        </w:rPr>
        <w:t>Rangos sutarty</w:t>
      </w:r>
      <w:r w:rsidR="008677E7">
        <w:rPr>
          <w:sz w:val="22"/>
          <w:szCs w:val="22"/>
          <w:lang w:eastAsia="lt-LT"/>
        </w:rPr>
        <w:t>j</w:t>
      </w:r>
      <w:r w:rsidRPr="00600710">
        <w:rPr>
          <w:sz w:val="22"/>
          <w:szCs w:val="22"/>
          <w:lang w:eastAsia="lt-LT"/>
        </w:rPr>
        <w:t xml:space="preserve">e Inžinieriui priskirtas užduotis; </w:t>
      </w:r>
    </w:p>
    <w:p w14:paraId="45E337F4"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lastRenderedPageBreak/>
        <w:t>FIDIC sutarčių sąlygų knygose aprašytais atvejais priimti Inžinieriaus sprendimus;</w:t>
      </w:r>
    </w:p>
    <w:p w14:paraId="38E666E7"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rFonts w:eastAsia="Arial Unicode MS"/>
          <w:sz w:val="22"/>
          <w:szCs w:val="22"/>
          <w:lang w:eastAsia="lt-LT"/>
        </w:rPr>
        <w:t>Teikti Užsakovui informaciją, susijusią su Rangos sutarčių įgyvendinimu, kuri būtina Projekto</w:t>
      </w:r>
      <w:r w:rsidRPr="00600710">
        <w:rPr>
          <w:sz w:val="22"/>
          <w:szCs w:val="22"/>
          <w:lang w:eastAsia="lt-LT"/>
        </w:rPr>
        <w:t xml:space="preserve"> finansinių srautų planavimui; </w:t>
      </w:r>
    </w:p>
    <w:p w14:paraId="7A068EE5"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Teikti nepriklausomą konsultaciją Užsakovui dėl ginčų, kylančių tarp Užsakovo, iš vienos pusės, ir Rangovų ir/arba tiekėjų, iš kitos pusės;</w:t>
      </w:r>
    </w:p>
    <w:p w14:paraId="68A4E55E"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 xml:space="preserve">Kontroliuoti Rangos sutartyse numatyto atlikimo užtikrinimo, išankstinio mokėjimo garantijos bei sutartyse numatytų draudimų galiojimo laiko terminus ir savalaikiai įpareigoti Rangovus juos pratęsti; </w:t>
      </w:r>
    </w:p>
    <w:p w14:paraId="190042DC"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Dalyvauti Užsakovui perduodant statybvietę Statinio statybos vadovui bei pasirašyti Statybvietės perdavimo-priėmimo aktą;</w:t>
      </w:r>
    </w:p>
    <w:p w14:paraId="3A11A121" w14:textId="2D249A5A"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Kontroliuoti statybos leidimo galiojimo terminus, informuoti Užsakovą apie jų pratęsimo (pakeitimo) būtinumą;</w:t>
      </w:r>
    </w:p>
    <w:p w14:paraId="515F3319"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Užtikrinti, kad tinkamu laiku būtų susisiekiama su reikalingomis valdžios institucijomis, išduodančiomis būtinus patvirtinimą ir leidimus, kad nebūtų uždelsiami darbai;</w:t>
      </w:r>
    </w:p>
    <w:p w14:paraId="4C382431"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 xml:space="preserve">Užtikrinti, kad Rangovas iki pirmojo mokėjimo už atliktus rangos darbus pateiktų suderintą su Užsakovu ir Inžinieriumi kiekvienos </w:t>
      </w:r>
      <w:r w:rsidRPr="00600710">
        <w:rPr>
          <w:spacing w:val="-1"/>
          <w:sz w:val="22"/>
          <w:szCs w:val="22"/>
          <w:lang w:eastAsia="lt-LT"/>
        </w:rPr>
        <w:t xml:space="preserve">Detaliame atliktų darbų aktą </w:t>
      </w:r>
      <w:r w:rsidRPr="00600710">
        <w:rPr>
          <w:sz w:val="22"/>
          <w:szCs w:val="22"/>
          <w:lang w:eastAsia="lt-LT"/>
        </w:rPr>
        <w:t xml:space="preserve">esančios bendrosios sumos ar komplekto detalizuotą procentinį darbų išskaidymą ir tvirtinti šias detalizacijas; </w:t>
      </w:r>
    </w:p>
    <w:p w14:paraId="20D14B09"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Nuolatos kontroliuoti, kaip Rangovai laikosi savo darbų programų, laiku informuoti Rangovus ir Užsakovą dėl nukrypimo nuo programos, teikti konsultacijas Užsakovui ir imtis Rangos sutartyse numatytų veiksmų;</w:t>
      </w:r>
    </w:p>
    <w:p w14:paraId="18386CF1"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Savalaikiai atlikti Rangos sutartyse numatytas Inžinieriaus prievoles, susijusias su kompensacijų už uždelsimą ir baudų taikymu Rangovui;</w:t>
      </w:r>
    </w:p>
    <w:p w14:paraId="47B816C4"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Kiekvieną mėnesį organizuoti, vadovauti ir protokoluoti vadybinius susitikimus su Rangovais ir Užsakovu;</w:t>
      </w:r>
    </w:p>
    <w:p w14:paraId="7C4E4666" w14:textId="1E9017B6"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Kontroliuoti, kad visa pagal Rangos sutar</w:t>
      </w:r>
      <w:r w:rsidR="008677E7">
        <w:rPr>
          <w:sz w:val="22"/>
          <w:szCs w:val="22"/>
          <w:lang w:eastAsia="lt-LT"/>
        </w:rPr>
        <w:t>ties</w:t>
      </w:r>
      <w:r w:rsidRPr="00600710">
        <w:rPr>
          <w:sz w:val="22"/>
          <w:szCs w:val="22"/>
          <w:lang w:eastAsia="lt-LT"/>
        </w:rPr>
        <w:t xml:space="preserve"> nuostatas Rangovui privaloma dokumentacija būtų parengta ir pateikta Užsakovui pagal nustatytus reikalavimus. Šią dokumentaciją tvirtinti. </w:t>
      </w:r>
    </w:p>
    <w:p w14:paraId="61EFB828"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 xml:space="preserve">Prižiūrėti (kokybės ir reguliarumo prasme) Rangovų ataskaitų rengimą, atsižvelgiant į Rangovų sutartinius įsipareigojimus, teikti atitinkamas pastabas, pagal rangos sutarties sąlygas ir tvirtinti jas. </w:t>
      </w:r>
    </w:p>
    <w:p w14:paraId="4478AF2C" w14:textId="6F41E448"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Vadovaujantis savo parengta ir Užsakovo patvirtinta atliktų rangos darbų kiekių įvertinimo metodika</w:t>
      </w:r>
      <w:r w:rsidRPr="00600710">
        <w:rPr>
          <w:spacing w:val="-1"/>
          <w:sz w:val="22"/>
          <w:szCs w:val="22"/>
          <w:lang w:eastAsia="lt-LT"/>
        </w:rPr>
        <w:t xml:space="preserve">, tikrinti Rangovų atsiskaitymo už atliktus darbus dokumentus, </w:t>
      </w:r>
      <w:r w:rsidR="008677E7">
        <w:rPr>
          <w:spacing w:val="-1"/>
          <w:sz w:val="22"/>
          <w:szCs w:val="22"/>
          <w:lang w:eastAsia="lt-LT"/>
        </w:rPr>
        <w:t xml:space="preserve">jų </w:t>
      </w:r>
      <w:r w:rsidRPr="00600710">
        <w:rPr>
          <w:spacing w:val="-1"/>
          <w:sz w:val="22"/>
          <w:szCs w:val="22"/>
          <w:lang w:eastAsia="lt-LT"/>
        </w:rPr>
        <w:t>pagrįstumą ir rekomenduoti Užsakovui jas tvirtinti ar netvirtinti. Statinio statybos techninės priežiūros vadovas (Inžinierius), patikrinęs Rangovų parengtus atsiskaitymo už atliktus darbus dokumentus, savo parašu patvirtina, kad apmokėjimui pateiktuose dokumentuose yra įtraukti tik faktiškai Rangovų atlikti darbų kiekiai, finansiniai skaičiavimai yra aritmetiškai teisingai įforminti;</w:t>
      </w:r>
    </w:p>
    <w:p w14:paraId="64E50040"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 xml:space="preserve">Paruošti mokėjimo, užbaigtų darbų bandymų, darbų perdavimo-priėmimo aktų ir pan. pažymas </w:t>
      </w:r>
      <w:r w:rsidRPr="00600710">
        <w:rPr>
          <w:rFonts w:eastAsia="Arial Unicode MS"/>
          <w:sz w:val="22"/>
          <w:szCs w:val="22"/>
          <w:lang w:eastAsia="lt-LT"/>
        </w:rPr>
        <w:t>(</w:t>
      </w:r>
      <w:r w:rsidRPr="00600710">
        <w:rPr>
          <w:i/>
          <w:sz w:val="22"/>
          <w:szCs w:val="22"/>
          <w:lang w:eastAsia="lt-LT"/>
        </w:rPr>
        <w:t>Inžinierius, išduodamas pažymą, privalo būti įsitikinęs, kad egzistuoja patikimas ir pakankamas pagrindas, jog:  i) užduotys buvo tinkamai atliktos, ir ii) išlaidos, kurių sumų reikalauja Rangovai, buvo iš tikrųjų ir neišvengiamai patirtos pagal jo (jos) prižiūrimos sutarties reikalavimus.</w:t>
      </w:r>
      <w:r w:rsidRPr="00600710">
        <w:rPr>
          <w:sz w:val="22"/>
          <w:szCs w:val="22"/>
          <w:lang w:eastAsia="lt-LT"/>
        </w:rPr>
        <w:t>);</w:t>
      </w:r>
    </w:p>
    <w:p w14:paraId="40478C37" w14:textId="4DDF907F"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Nedelsiant fiksuoti bet kokį rangos darbų pasikeitimą ar sąlygą, kuri prieš tai nebuvo žinoma, dėl kurios gali prireikti koreguoti darbų specifikacijas, informuoti Užsakovą apie tokį pasikeitimą ir rekomenduoti atitinkamus veiksmus bei rengti pakeitimų dokumentus;</w:t>
      </w:r>
    </w:p>
    <w:p w14:paraId="13DAE237" w14:textId="60FC2F7D"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Užtikrinti, kad Rangos sutar</w:t>
      </w:r>
      <w:r w:rsidR="008677E7">
        <w:rPr>
          <w:sz w:val="22"/>
          <w:szCs w:val="22"/>
          <w:lang w:eastAsia="lt-LT"/>
        </w:rPr>
        <w:t>ties</w:t>
      </w:r>
      <w:r w:rsidRPr="00600710">
        <w:rPr>
          <w:sz w:val="22"/>
          <w:szCs w:val="22"/>
          <w:lang w:eastAsia="lt-LT"/>
        </w:rPr>
        <w:t xml:space="preserve"> pakeitimų pasiūlymai būtų rengiami ir įforminami vadovaujantis Rangos sutarties sąlygomis bei atitiktų </w:t>
      </w:r>
      <w:r w:rsidRPr="00600710">
        <w:rPr>
          <w:bCs/>
          <w:sz w:val="22"/>
          <w:szCs w:val="22"/>
          <w:lang w:eastAsia="lt-LT"/>
        </w:rPr>
        <w:t xml:space="preserve">Viešųjų pirkimų įstatymo ir kitų teisės aktų reikalavimus; </w:t>
      </w:r>
    </w:p>
    <w:p w14:paraId="4F250F5A"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Išanalizuoti Rangovų teikiamas pretenzijas vadovaujantis statybos darbų rangos sutarties sąlygomis. Atlikus analizę pateikti Užsakovui visus galimus pretenzijos sprendimo scenarijus, tai išdėstant atskirame pranešime;</w:t>
      </w:r>
    </w:p>
    <w:p w14:paraId="5BCAD273" w14:textId="77777777"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Įvertinti Rangovų pateiktus reikalavimus dėl papildomų mokėjimų ir terminų pratęsimo, Rangovų siūlymus pakeitimams ir gavus Užsakovo pritarimą priimti sprendimus dėl jų tvirtinimo ar netvirtinimo (tokiu atveju nurodant trūkumus) bei dalyvauti kartu su Rangovais analizuojant tokius darbus ir apskaičiuojant jų vertę;</w:t>
      </w:r>
    </w:p>
    <w:p w14:paraId="0EF86F0E" w14:textId="45B6BDD4"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Kontroliuoti, kad visi pakeitimai būtų atlikti ir įforminti LR teisės aktuose nustatyta tvarka, o, jei keičiami projektiniai sprendiniai, kurie buvo ekspertuoti, informuoti Užsakovą, kad būtina atlikti statinio projekto papildomą ekspertizę;</w:t>
      </w:r>
    </w:p>
    <w:p w14:paraId="6BC9276D" w14:textId="59EE955E" w:rsidR="0057445C" w:rsidRPr="00600710" w:rsidRDefault="0057445C" w:rsidP="0057445C">
      <w:pPr>
        <w:numPr>
          <w:ilvl w:val="0"/>
          <w:numId w:val="4"/>
        </w:numPr>
        <w:tabs>
          <w:tab w:val="left" w:pos="709"/>
        </w:tabs>
        <w:ind w:left="567" w:hanging="207"/>
        <w:jc w:val="both"/>
        <w:rPr>
          <w:sz w:val="22"/>
          <w:szCs w:val="22"/>
          <w:lang w:eastAsia="lt-LT"/>
        </w:rPr>
      </w:pPr>
      <w:r w:rsidRPr="00600710">
        <w:rPr>
          <w:sz w:val="22"/>
          <w:szCs w:val="22"/>
          <w:lang w:eastAsia="lt-LT"/>
        </w:rPr>
        <w:t>Rengti ir tvirtinti rangos sutar</w:t>
      </w:r>
      <w:r w:rsidR="008677E7">
        <w:rPr>
          <w:sz w:val="22"/>
          <w:szCs w:val="22"/>
          <w:lang w:eastAsia="lt-LT"/>
        </w:rPr>
        <w:t>ties</w:t>
      </w:r>
      <w:r w:rsidRPr="00600710">
        <w:rPr>
          <w:sz w:val="22"/>
          <w:szCs w:val="22"/>
          <w:lang w:eastAsia="lt-LT"/>
        </w:rPr>
        <w:t xml:space="preserve"> pakeitimus tik gavus Užsakovo sutikimą visais atvejai, kai pakeitimas gali įtakoti Sutarties kainą, Baigimo laiką, Darbų kokybę arba Darbų kiekio pasikeitimą. Įvertinti ir teikti rekomendacijas Užsakovui dėl išlaidų ir Rangov</w:t>
      </w:r>
      <w:r w:rsidR="008677E7">
        <w:rPr>
          <w:sz w:val="22"/>
          <w:szCs w:val="22"/>
          <w:lang w:eastAsia="lt-LT"/>
        </w:rPr>
        <w:t>o</w:t>
      </w:r>
      <w:r w:rsidRPr="00600710">
        <w:rPr>
          <w:sz w:val="22"/>
          <w:szCs w:val="22"/>
          <w:lang w:eastAsia="lt-LT"/>
        </w:rPr>
        <w:t xml:space="preserve"> siūlomų kainų, susijusių su Pakeitimu. </w:t>
      </w:r>
    </w:p>
    <w:p w14:paraId="1EFA7B68" w14:textId="77777777" w:rsidR="0057445C" w:rsidRDefault="0057445C" w:rsidP="0057445C">
      <w:pPr>
        <w:tabs>
          <w:tab w:val="left" w:pos="567"/>
        </w:tabs>
        <w:jc w:val="both"/>
        <w:rPr>
          <w:sz w:val="22"/>
          <w:szCs w:val="22"/>
          <w:lang w:eastAsia="lt-LT"/>
        </w:rPr>
      </w:pPr>
    </w:p>
    <w:p w14:paraId="161C6DDA" w14:textId="77777777" w:rsidR="002E0FFD" w:rsidRDefault="002E0FFD" w:rsidP="0057445C">
      <w:pPr>
        <w:tabs>
          <w:tab w:val="left" w:pos="567"/>
        </w:tabs>
        <w:jc w:val="both"/>
        <w:rPr>
          <w:sz w:val="22"/>
          <w:szCs w:val="22"/>
          <w:lang w:eastAsia="lt-LT"/>
        </w:rPr>
      </w:pPr>
    </w:p>
    <w:p w14:paraId="63EFE12E" w14:textId="77777777" w:rsidR="002E0FFD" w:rsidRDefault="002E0FFD" w:rsidP="0057445C">
      <w:pPr>
        <w:tabs>
          <w:tab w:val="left" w:pos="567"/>
        </w:tabs>
        <w:jc w:val="both"/>
        <w:rPr>
          <w:sz w:val="22"/>
          <w:szCs w:val="22"/>
          <w:lang w:eastAsia="lt-LT"/>
        </w:rPr>
      </w:pPr>
    </w:p>
    <w:p w14:paraId="4F49FE25" w14:textId="77777777" w:rsidR="002E0FFD" w:rsidRPr="00600710" w:rsidRDefault="002E0FFD" w:rsidP="0057445C">
      <w:pPr>
        <w:tabs>
          <w:tab w:val="left" w:pos="567"/>
        </w:tabs>
        <w:jc w:val="both"/>
        <w:rPr>
          <w:sz w:val="22"/>
          <w:szCs w:val="22"/>
          <w:lang w:eastAsia="lt-LT"/>
        </w:rPr>
      </w:pPr>
    </w:p>
    <w:p w14:paraId="0A5D1389" w14:textId="77777777" w:rsidR="0057445C" w:rsidRPr="00600710" w:rsidRDefault="0057445C" w:rsidP="0057445C">
      <w:pPr>
        <w:tabs>
          <w:tab w:val="left" w:pos="567"/>
        </w:tabs>
        <w:jc w:val="both"/>
        <w:rPr>
          <w:i/>
          <w:sz w:val="22"/>
          <w:szCs w:val="22"/>
          <w:lang w:eastAsia="lt-LT"/>
        </w:rPr>
      </w:pPr>
    </w:p>
    <w:p w14:paraId="2FC31E93" w14:textId="77777777" w:rsidR="0057445C" w:rsidRPr="00600710" w:rsidRDefault="0057445C" w:rsidP="0057445C">
      <w:pPr>
        <w:shd w:val="clear" w:color="auto" w:fill="FFFFFF"/>
        <w:tabs>
          <w:tab w:val="left" w:pos="567"/>
          <w:tab w:val="num" w:pos="1482"/>
        </w:tabs>
        <w:outlineLvl w:val="0"/>
        <w:rPr>
          <w:b/>
          <w:bCs/>
          <w:spacing w:val="-2"/>
          <w:sz w:val="22"/>
          <w:szCs w:val="22"/>
        </w:rPr>
      </w:pPr>
      <w:r w:rsidRPr="00600710">
        <w:rPr>
          <w:b/>
          <w:bCs/>
          <w:spacing w:val="-2"/>
          <w:sz w:val="22"/>
          <w:szCs w:val="22"/>
        </w:rPr>
        <w:t>Teikiant statybos darbų techninės priežiūros paslaugas, tiekėjas privalės:</w:t>
      </w:r>
    </w:p>
    <w:p w14:paraId="6B78C2E5" w14:textId="4660C869"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Statybos laikotarpiu nuolatos v</w:t>
      </w:r>
      <w:r w:rsidRPr="00600710">
        <w:rPr>
          <w:spacing w:val="-2"/>
          <w:sz w:val="22"/>
          <w:szCs w:val="22"/>
          <w:lang w:eastAsia="lt-LT"/>
        </w:rPr>
        <w:t>ykdyti statybos darbų techninę priežiūrą, fiziškai tikrinti ir kontroliuoti statinių statybos darbų ir įrenginių montavimo darbų kokybę bei, glaudžiai bendradarbiaujant su Užsakovu užtikrinti, kad darbai atitiktų specifikacija</w:t>
      </w:r>
      <w:r w:rsidR="008677E7">
        <w:rPr>
          <w:spacing w:val="-2"/>
          <w:sz w:val="22"/>
          <w:szCs w:val="22"/>
          <w:lang w:eastAsia="lt-LT"/>
        </w:rPr>
        <w:t>s</w:t>
      </w:r>
      <w:r w:rsidRPr="00600710">
        <w:rPr>
          <w:spacing w:val="-2"/>
          <w:sz w:val="22"/>
          <w:szCs w:val="22"/>
          <w:lang w:eastAsia="lt-LT"/>
        </w:rPr>
        <w:t>;</w:t>
      </w:r>
    </w:p>
    <w:p w14:paraId="440FC4E5" w14:textId="77777777" w:rsidR="0057445C" w:rsidRPr="008677E7" w:rsidRDefault="0057445C" w:rsidP="0057445C">
      <w:pPr>
        <w:numPr>
          <w:ilvl w:val="0"/>
          <w:numId w:val="5"/>
        </w:numPr>
        <w:tabs>
          <w:tab w:val="left" w:pos="567"/>
        </w:tabs>
        <w:ind w:left="567" w:hanging="207"/>
        <w:jc w:val="both"/>
        <w:rPr>
          <w:spacing w:val="-2"/>
          <w:sz w:val="22"/>
          <w:szCs w:val="22"/>
          <w:lang w:eastAsia="lt-LT"/>
        </w:rPr>
      </w:pPr>
      <w:r w:rsidRPr="008677E7">
        <w:rPr>
          <w:sz w:val="22"/>
          <w:szCs w:val="22"/>
          <w:lang w:eastAsia="lt-LT"/>
        </w:rPr>
        <w:t>Statybos laikotarpiu nuolatos užtikrinti statinio statybos techninės priežiūros vadovo funkcijas: t</w:t>
      </w:r>
      <w:r w:rsidRPr="008677E7">
        <w:rPr>
          <w:spacing w:val="-2"/>
          <w:sz w:val="22"/>
          <w:szCs w:val="22"/>
          <w:lang w:eastAsia="lt-LT"/>
        </w:rPr>
        <w:t>ikrinti ir priimti paslėptus statybos darbus ir paslėptas statinio konstrukcijas;</w:t>
      </w:r>
    </w:p>
    <w:p w14:paraId="2C01640D" w14:textId="77777777" w:rsidR="0057445C" w:rsidRPr="008677E7" w:rsidRDefault="0057445C" w:rsidP="0057445C">
      <w:pPr>
        <w:numPr>
          <w:ilvl w:val="0"/>
          <w:numId w:val="5"/>
        </w:numPr>
        <w:tabs>
          <w:tab w:val="left" w:pos="567"/>
        </w:tabs>
        <w:ind w:left="567" w:hanging="207"/>
        <w:jc w:val="both"/>
        <w:rPr>
          <w:spacing w:val="-2"/>
          <w:sz w:val="22"/>
          <w:szCs w:val="22"/>
          <w:lang w:eastAsia="lt-LT"/>
        </w:rPr>
      </w:pPr>
      <w:r w:rsidRPr="008677E7">
        <w:rPr>
          <w:spacing w:val="-2"/>
          <w:sz w:val="22"/>
          <w:szCs w:val="22"/>
          <w:lang w:eastAsia="lt-LT"/>
        </w:rPr>
        <w:t>Paslaugų teikėjas statybos darbų vykdymo laikotarpiu turi užtikrinti bent vieno statinio statybos techninės priežiūros specialisto buvimą (pagal vykdomų statybos darbų sritį) visą rangos darbų vykdymo laiką.</w:t>
      </w:r>
    </w:p>
    <w:p w14:paraId="4C681EEA" w14:textId="7113C47A" w:rsidR="0057445C" w:rsidRPr="00600710" w:rsidRDefault="0057445C" w:rsidP="0057445C">
      <w:pPr>
        <w:numPr>
          <w:ilvl w:val="0"/>
          <w:numId w:val="5"/>
        </w:numPr>
        <w:tabs>
          <w:tab w:val="left" w:pos="567"/>
        </w:tabs>
        <w:ind w:left="567" w:hanging="207"/>
        <w:jc w:val="both"/>
        <w:rPr>
          <w:spacing w:val="-2"/>
          <w:sz w:val="22"/>
          <w:szCs w:val="22"/>
          <w:lang w:eastAsia="lt-LT"/>
        </w:rPr>
      </w:pPr>
      <w:r w:rsidRPr="008677E7">
        <w:rPr>
          <w:sz w:val="22"/>
          <w:szCs w:val="22"/>
          <w:lang w:eastAsia="lt-LT"/>
        </w:rPr>
        <w:t>Statybos techninis prižiūrėtojas privalo dalyvauti visuose objekte atliekamuose bandymuose, kurių rezultatai atspindi paslėptų darbų kokybę ir juos fiksuoti fotonuotraukose</w:t>
      </w:r>
      <w:r w:rsidRPr="00600710">
        <w:rPr>
          <w:sz w:val="22"/>
          <w:szCs w:val="22"/>
          <w:lang w:eastAsia="lt-LT"/>
        </w:rPr>
        <w:t>;</w:t>
      </w:r>
    </w:p>
    <w:p w14:paraId="5176C8D4"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pacing w:val="-2"/>
          <w:sz w:val="22"/>
          <w:szCs w:val="22"/>
          <w:lang w:eastAsia="lt-LT"/>
        </w:rPr>
        <w:t>Atlikti bendrosios (bendrųjų statybos darbų) statinio statybos techninės priežiūros vadovo funkcijas, koordinuoti specialiąją (specialiųjų statybos darbų) statinio statybos techninę priežiūrą ir jos vadovų veiklą;</w:t>
      </w:r>
    </w:p>
    <w:p w14:paraId="55035457"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pacing w:val="-2"/>
          <w:sz w:val="22"/>
          <w:szCs w:val="22"/>
          <w:lang w:eastAsia="lt-LT"/>
        </w:rPr>
        <w:t>Kontroliuoti ir tvirtinti Rangovų įrašus statybos darbų žurnaluose;</w:t>
      </w:r>
    </w:p>
    <w:p w14:paraId="7BC779F3"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Registruoti darbų pažangą ir tikrinimų bei medžiagų ir įrenginių bandymų rezultatus, o taip pat visą su statyba susijusią veiklą, ir teikti pastabas / konsultacijas Užsakovui;</w:t>
      </w:r>
    </w:p>
    <w:p w14:paraId="0AC21A74"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Užsakovui teikti kvalifikuotas technines pastabas bei išvadas dėl Rangovų siūlomų techninių sprendimų pagrįstumo;</w:t>
      </w:r>
    </w:p>
    <w:p w14:paraId="537D92C8"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Kontroliuoti medžiagų ir įrenginių pristatymą ir saugų sandėliavimą, tikrinti į aikštelę pristatytas medžiagas bei įrenginius ir, jei būtina, stebėti darbams naudojamų medžiagų ir įrenginių bandymus, atliekamus gamintojo teritorijoje;</w:t>
      </w:r>
    </w:p>
    <w:p w14:paraId="1374D6CE"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Patvirtinti pagal sutartį statybos aikštelėje vykdomus matavimus ir medžiagų bei darbų kiekius, pasirašyti visas Rangovų pristatomus atliktų darbų aktus prieš pateikiant jas Užsakovui, ir užtikrinti, kad jos atspindėtų faktiškai atliktus ir tinkamos kokybės darbus;</w:t>
      </w:r>
    </w:p>
    <w:p w14:paraId="04614FA4"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rFonts w:eastAsia="Arial Unicode MS"/>
          <w:sz w:val="22"/>
          <w:szCs w:val="22"/>
          <w:lang w:eastAsia="lt-LT"/>
        </w:rPr>
        <w:t>Atlikti galutinį patikrinimą ir suderinti darbų perdavimo-priėmimo aktą, trūkumų sąrašą ir kitus dokumentus, kurie yra reikalingi pagal sutarties sąlygas;</w:t>
      </w:r>
    </w:p>
    <w:p w14:paraId="2438FFE6"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 xml:space="preserve">Kartu su rangovais rengti statinio užbaigimo procedūrai privalomus dokumentus ir dalyvauti statinio statybos užbaigimo procedūroje; </w:t>
      </w:r>
    </w:p>
    <w:p w14:paraId="39BDF2AC"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 xml:space="preserve">Vykdyti kitas numatytas statybos techninės priežiūros vadovo funkcijas, numatytas LR Statybos įstatyme, statybos techniniuose reglamentuose STR </w:t>
      </w:r>
      <w:r w:rsidRPr="00600710">
        <w:rPr>
          <w:bCs/>
          <w:sz w:val="22"/>
          <w:szCs w:val="22"/>
          <w:lang w:eastAsia="lt-LT"/>
        </w:rPr>
        <w:t>1.06.01:2016</w:t>
      </w:r>
      <w:r w:rsidRPr="00600710">
        <w:rPr>
          <w:sz w:val="22"/>
          <w:szCs w:val="22"/>
          <w:lang w:eastAsia="lt-LT"/>
        </w:rPr>
        <w:t xml:space="preserve"> „S</w:t>
      </w:r>
      <w:r w:rsidRPr="00600710">
        <w:rPr>
          <w:bCs/>
          <w:sz w:val="22"/>
          <w:szCs w:val="22"/>
          <w:lang w:eastAsia="lt-LT"/>
        </w:rPr>
        <w:t>tatybos darbai. Statinio statybos priežiūra</w:t>
      </w:r>
      <w:r w:rsidRPr="00600710">
        <w:rPr>
          <w:sz w:val="22"/>
          <w:szCs w:val="22"/>
          <w:lang w:eastAsia="lt-LT"/>
        </w:rPr>
        <w:t>“ bei kituose Lietuvos Respublikoje galiojančiuose statybos techninę priežiūra reglamentuojančiuose teisės aktuose;</w:t>
      </w:r>
    </w:p>
    <w:p w14:paraId="47137B56" w14:textId="77777777" w:rsidR="0057445C" w:rsidRPr="00600710" w:rsidRDefault="0057445C" w:rsidP="0057445C">
      <w:pPr>
        <w:numPr>
          <w:ilvl w:val="0"/>
          <w:numId w:val="5"/>
        </w:numPr>
        <w:tabs>
          <w:tab w:val="left" w:pos="567"/>
        </w:tabs>
        <w:ind w:left="567" w:hanging="207"/>
        <w:jc w:val="both"/>
        <w:rPr>
          <w:spacing w:val="-2"/>
          <w:sz w:val="22"/>
          <w:szCs w:val="22"/>
          <w:lang w:eastAsia="lt-LT"/>
        </w:rPr>
      </w:pPr>
      <w:r w:rsidRPr="00600710">
        <w:rPr>
          <w:sz w:val="22"/>
          <w:szCs w:val="22"/>
          <w:lang w:eastAsia="lt-LT"/>
        </w:rPr>
        <w:t>Pagal LR teisės aktus, statinio statybos techninis prižiūrėtojas už pareigų nevykdymą ar nepatenkinamą vykdymą atsako pagal Civilinį kodeksą ir Administracinių teisės pažeidimų kodeksą.</w:t>
      </w:r>
    </w:p>
    <w:p w14:paraId="516F7DB0" w14:textId="77777777" w:rsidR="0057445C" w:rsidRPr="00600710" w:rsidRDefault="0057445C" w:rsidP="0057445C">
      <w:pPr>
        <w:tabs>
          <w:tab w:val="left" w:pos="567"/>
        </w:tabs>
        <w:ind w:left="567"/>
        <w:jc w:val="both"/>
        <w:rPr>
          <w:i/>
          <w:sz w:val="22"/>
          <w:szCs w:val="22"/>
          <w:lang w:eastAsia="lt-LT"/>
        </w:rPr>
      </w:pPr>
      <w:r w:rsidRPr="00600710">
        <w:rPr>
          <w:sz w:val="22"/>
          <w:szCs w:val="22"/>
          <w:lang w:eastAsia="lt-LT"/>
        </w:rPr>
        <w:t xml:space="preserve"> </w:t>
      </w:r>
    </w:p>
    <w:p w14:paraId="3D35B4E9" w14:textId="77777777" w:rsidR="0057445C" w:rsidRPr="00600710" w:rsidRDefault="0057445C" w:rsidP="0057445C">
      <w:pPr>
        <w:tabs>
          <w:tab w:val="left" w:pos="567"/>
        </w:tabs>
        <w:jc w:val="both"/>
        <w:rPr>
          <w:sz w:val="22"/>
          <w:szCs w:val="22"/>
          <w:lang w:eastAsia="lt-LT"/>
        </w:rPr>
      </w:pPr>
    </w:p>
    <w:p w14:paraId="506A1EAB" w14:textId="45BCB970" w:rsidR="0057445C" w:rsidRPr="00600710" w:rsidRDefault="00530F55" w:rsidP="0057445C">
      <w:pPr>
        <w:keepNext/>
        <w:tabs>
          <w:tab w:val="left" w:pos="284"/>
        </w:tabs>
        <w:ind w:left="360" w:hanging="360"/>
        <w:outlineLvl w:val="0"/>
        <w:rPr>
          <w:b/>
          <w:bCs/>
          <w:kern w:val="32"/>
          <w:sz w:val="22"/>
          <w:szCs w:val="22"/>
        </w:rPr>
      </w:pPr>
      <w:r>
        <w:rPr>
          <w:b/>
          <w:bCs/>
          <w:kern w:val="32"/>
          <w:sz w:val="22"/>
          <w:szCs w:val="22"/>
        </w:rPr>
        <w:t>3</w:t>
      </w:r>
      <w:r w:rsidR="0057445C" w:rsidRPr="00600710">
        <w:rPr>
          <w:b/>
          <w:bCs/>
          <w:kern w:val="32"/>
          <w:sz w:val="22"/>
          <w:szCs w:val="22"/>
        </w:rPr>
        <w:t>. PASLAUGŲ TEIKIMO PRADŽIOS DATA IR SUTARTIES TRUKMĖ</w:t>
      </w:r>
    </w:p>
    <w:p w14:paraId="12275FAA" w14:textId="77777777" w:rsidR="0057445C" w:rsidRPr="00600710" w:rsidRDefault="0057445C" w:rsidP="0057445C">
      <w:pPr>
        <w:keepNext/>
        <w:tabs>
          <w:tab w:val="left" w:pos="284"/>
        </w:tabs>
        <w:outlineLvl w:val="0"/>
        <w:rPr>
          <w:b/>
          <w:bCs/>
          <w:kern w:val="32"/>
          <w:sz w:val="22"/>
          <w:szCs w:val="22"/>
        </w:rPr>
      </w:pPr>
    </w:p>
    <w:p w14:paraId="0B8DB28F" w14:textId="0C852867" w:rsidR="0057445C" w:rsidRPr="00D00158" w:rsidRDefault="0057445C" w:rsidP="0057445C">
      <w:pPr>
        <w:pBdr>
          <w:top w:val="nil"/>
          <w:left w:val="nil"/>
          <w:bottom w:val="nil"/>
          <w:right w:val="nil"/>
          <w:between w:val="nil"/>
          <w:bar w:val="nil"/>
        </w:pBdr>
        <w:shd w:val="clear" w:color="auto" w:fill="FFFFFF"/>
        <w:suppressAutoHyphens/>
        <w:ind w:firstLine="567"/>
        <w:contextualSpacing/>
        <w:jc w:val="both"/>
        <w:rPr>
          <w:spacing w:val="-1"/>
          <w:sz w:val="22"/>
          <w:szCs w:val="22"/>
        </w:rPr>
      </w:pPr>
      <w:r w:rsidRPr="00600710">
        <w:rPr>
          <w:b/>
          <w:bCs/>
          <w:sz w:val="22"/>
          <w:szCs w:val="22"/>
        </w:rPr>
        <w:t>FIDIC inžinieriaus ir statybų techninės priežiūros paslaugų</w:t>
      </w:r>
      <w:r w:rsidRPr="00600710">
        <w:rPr>
          <w:sz w:val="22"/>
          <w:szCs w:val="22"/>
        </w:rPr>
        <w:t xml:space="preserve"> teikimo pradžia –</w:t>
      </w:r>
      <w:r w:rsidR="00C25CDA">
        <w:rPr>
          <w:sz w:val="22"/>
          <w:szCs w:val="22"/>
        </w:rPr>
        <w:t xml:space="preserve"> </w:t>
      </w:r>
      <w:r w:rsidRPr="00600710">
        <w:rPr>
          <w:sz w:val="22"/>
          <w:szCs w:val="22"/>
        </w:rPr>
        <w:t xml:space="preserve">sutarties pasirašymo </w:t>
      </w:r>
      <w:r w:rsidR="00C25CDA">
        <w:rPr>
          <w:sz w:val="22"/>
          <w:szCs w:val="22"/>
        </w:rPr>
        <w:t xml:space="preserve">diena. </w:t>
      </w:r>
      <w:r w:rsidRPr="00600710">
        <w:rPr>
          <w:sz w:val="22"/>
          <w:szCs w:val="22"/>
        </w:rPr>
        <w:t xml:space="preserve">Techninės specifikacijos </w:t>
      </w:r>
      <w:r w:rsidR="00B2212D">
        <w:rPr>
          <w:sz w:val="22"/>
          <w:szCs w:val="22"/>
        </w:rPr>
        <w:t>2</w:t>
      </w:r>
      <w:r w:rsidRPr="00600710">
        <w:rPr>
          <w:sz w:val="22"/>
          <w:szCs w:val="22"/>
        </w:rPr>
        <w:t>.</w:t>
      </w:r>
      <w:r w:rsidR="00B2212D">
        <w:rPr>
          <w:sz w:val="22"/>
          <w:szCs w:val="22"/>
        </w:rPr>
        <w:t>2</w:t>
      </w:r>
      <w:r w:rsidRPr="00600710">
        <w:rPr>
          <w:sz w:val="22"/>
          <w:szCs w:val="22"/>
        </w:rPr>
        <w:t xml:space="preserve">.1. punkte nurodytos užduotys turės būti atliktos iki Statybos užbaigimo dokumento išdavimo. </w:t>
      </w:r>
      <w:r w:rsidRPr="00600710">
        <w:rPr>
          <w:rFonts w:eastAsia="Arial Unicode MS" w:cs="Arial Unicode MS"/>
          <w:noProof/>
          <w:color w:val="000000" w:themeColor="text1"/>
          <w:sz w:val="22"/>
          <w:szCs w:val="22"/>
          <w:bdr w:val="nil"/>
          <w:lang w:eastAsia="lt-LT"/>
        </w:rPr>
        <w:t>Darbų atlikimo terminas bus kaip ir pasirašyt</w:t>
      </w:r>
      <w:r w:rsidR="00B2212D">
        <w:rPr>
          <w:rFonts w:eastAsia="Arial Unicode MS" w:cs="Arial Unicode MS"/>
          <w:noProof/>
          <w:color w:val="000000" w:themeColor="text1"/>
          <w:sz w:val="22"/>
          <w:szCs w:val="22"/>
          <w:bdr w:val="nil"/>
          <w:lang w:eastAsia="lt-LT"/>
        </w:rPr>
        <w:t>ų</w:t>
      </w:r>
      <w:r w:rsidRPr="00600710">
        <w:rPr>
          <w:rFonts w:eastAsia="Arial Unicode MS" w:cs="Arial Unicode MS"/>
          <w:noProof/>
          <w:color w:val="000000" w:themeColor="text1"/>
          <w:sz w:val="22"/>
          <w:szCs w:val="22"/>
          <w:bdr w:val="nil"/>
          <w:lang w:eastAsia="lt-LT"/>
        </w:rPr>
        <w:t xml:space="preserve"> Rango</w:t>
      </w:r>
      <w:r w:rsidR="00C25CDA">
        <w:rPr>
          <w:rFonts w:eastAsia="Arial Unicode MS" w:cs="Arial Unicode MS"/>
          <w:noProof/>
          <w:color w:val="000000" w:themeColor="text1"/>
          <w:sz w:val="22"/>
          <w:szCs w:val="22"/>
          <w:bdr w:val="nil"/>
          <w:lang w:eastAsia="lt-LT"/>
        </w:rPr>
        <w:t>s</w:t>
      </w:r>
      <w:r w:rsidRPr="00600710">
        <w:rPr>
          <w:rFonts w:eastAsia="Arial Unicode MS" w:cs="Arial Unicode MS"/>
          <w:noProof/>
          <w:color w:val="000000" w:themeColor="text1"/>
          <w:sz w:val="22"/>
          <w:szCs w:val="22"/>
          <w:bdr w:val="nil"/>
          <w:lang w:eastAsia="lt-LT"/>
        </w:rPr>
        <w:t xml:space="preserve"> sutar</w:t>
      </w:r>
      <w:r w:rsidR="00B2212D">
        <w:rPr>
          <w:rFonts w:eastAsia="Arial Unicode MS" w:cs="Arial Unicode MS"/>
          <w:noProof/>
          <w:color w:val="000000" w:themeColor="text1"/>
          <w:sz w:val="22"/>
          <w:szCs w:val="22"/>
          <w:bdr w:val="nil"/>
          <w:lang w:eastAsia="lt-LT"/>
        </w:rPr>
        <w:t>čių</w:t>
      </w:r>
      <w:r w:rsidRPr="00600710">
        <w:rPr>
          <w:rFonts w:eastAsia="Arial Unicode MS" w:cs="Arial Unicode MS"/>
          <w:noProof/>
          <w:color w:val="000000" w:themeColor="text1"/>
          <w:sz w:val="22"/>
          <w:szCs w:val="22"/>
          <w:bdr w:val="nil"/>
          <w:lang w:eastAsia="lt-LT"/>
        </w:rPr>
        <w:t xml:space="preserve"> </w:t>
      </w:r>
      <w:r w:rsidRPr="00600710">
        <w:rPr>
          <w:kern w:val="3"/>
          <w:sz w:val="22"/>
          <w:szCs w:val="22"/>
        </w:rPr>
        <w:t>vykdymo laikotarpis.</w:t>
      </w:r>
    </w:p>
    <w:p w14:paraId="5607DB75" w14:textId="77777777" w:rsidR="0057445C" w:rsidRPr="00010B2E" w:rsidRDefault="0057445C" w:rsidP="0057445C">
      <w:pPr>
        <w:rPr>
          <w:sz w:val="22"/>
          <w:szCs w:val="22"/>
        </w:rPr>
      </w:pPr>
    </w:p>
    <w:p w14:paraId="092C27E0" w14:textId="44D61008" w:rsidR="00C25CDA" w:rsidRPr="00C25CDA" w:rsidRDefault="00B2212D" w:rsidP="00B2212D">
      <w:pPr>
        <w:pStyle w:val="Heading1"/>
        <w:numPr>
          <w:ilvl w:val="0"/>
          <w:numId w:val="0"/>
        </w:numPr>
        <w:tabs>
          <w:tab w:val="left" w:pos="284"/>
        </w:tabs>
        <w:spacing w:before="0" w:after="0"/>
        <w:ind w:left="360"/>
        <w:jc w:val="both"/>
        <w:rPr>
          <w:b/>
          <w:bCs/>
          <w:kern w:val="32"/>
          <w:sz w:val="22"/>
          <w:lang w:eastAsia="en-US"/>
        </w:rPr>
      </w:pPr>
      <w:r>
        <w:rPr>
          <w:b/>
          <w:bCs/>
          <w:kern w:val="32"/>
          <w:sz w:val="22"/>
          <w:lang w:eastAsia="en-US"/>
        </w:rPr>
        <w:t xml:space="preserve">4. </w:t>
      </w:r>
      <w:r w:rsidR="00C25CDA" w:rsidRPr="00C25CDA">
        <w:rPr>
          <w:b/>
          <w:bCs/>
          <w:kern w:val="32"/>
          <w:sz w:val="22"/>
          <w:lang w:eastAsia="en-US"/>
        </w:rPr>
        <w:t xml:space="preserve">ATASKAITOS </w:t>
      </w:r>
    </w:p>
    <w:p w14:paraId="7E027F48" w14:textId="77777777" w:rsidR="00C25CDA" w:rsidRPr="00C25CDA" w:rsidRDefault="00C25CDA" w:rsidP="00C25CDA">
      <w:pPr>
        <w:jc w:val="both"/>
        <w:rPr>
          <w:sz w:val="22"/>
          <w:szCs w:val="22"/>
        </w:rPr>
      </w:pPr>
    </w:p>
    <w:p w14:paraId="40D9F53A" w14:textId="526F9C28" w:rsidR="00C25CDA" w:rsidRPr="00B2212D" w:rsidRDefault="00B2212D" w:rsidP="00B2212D">
      <w:pPr>
        <w:shd w:val="clear" w:color="auto" w:fill="FFFFFF"/>
        <w:tabs>
          <w:tab w:val="left" w:pos="426"/>
        </w:tabs>
        <w:ind w:left="360"/>
        <w:jc w:val="both"/>
        <w:outlineLvl w:val="0"/>
        <w:rPr>
          <w:b/>
          <w:bCs/>
          <w:color w:val="000000"/>
          <w:spacing w:val="-2"/>
          <w:sz w:val="22"/>
          <w:szCs w:val="22"/>
        </w:rPr>
      </w:pPr>
      <w:r>
        <w:rPr>
          <w:b/>
          <w:bCs/>
          <w:color w:val="000000"/>
          <w:spacing w:val="-2"/>
          <w:sz w:val="22"/>
          <w:szCs w:val="22"/>
        </w:rPr>
        <w:t xml:space="preserve">4.1. </w:t>
      </w:r>
      <w:r w:rsidR="00C25CDA" w:rsidRPr="00B2212D">
        <w:rPr>
          <w:b/>
          <w:bCs/>
          <w:color w:val="000000"/>
          <w:spacing w:val="-2"/>
          <w:sz w:val="22"/>
          <w:szCs w:val="22"/>
        </w:rPr>
        <w:t>Reikalavimai ataskaitoms</w:t>
      </w:r>
    </w:p>
    <w:p w14:paraId="04A18685" w14:textId="672D7EA1" w:rsidR="00C25CDA" w:rsidRPr="00C25CDA" w:rsidRDefault="00C25CDA" w:rsidP="00C25CDA">
      <w:pPr>
        <w:tabs>
          <w:tab w:val="num" w:pos="0"/>
          <w:tab w:val="left" w:pos="567"/>
        </w:tabs>
        <w:jc w:val="both"/>
        <w:rPr>
          <w:sz w:val="22"/>
          <w:szCs w:val="22"/>
        </w:rPr>
      </w:pPr>
      <w:r w:rsidRPr="00C25CDA">
        <w:rPr>
          <w:sz w:val="22"/>
          <w:szCs w:val="22"/>
        </w:rPr>
        <w:t xml:space="preserve">Tiekėjas, Užsakovo reikalavimu, per 5 darbo dienas, bet ne dažniu, kaip kartą per mėnesį, turi teikti pažangos (paslaugų teikimo) ataskaitą. Šioje ataskaitoje teikėjas pateikia informacija apie įvykdytas </w:t>
      </w:r>
      <w:r>
        <w:rPr>
          <w:sz w:val="22"/>
          <w:szCs w:val="22"/>
        </w:rPr>
        <w:t xml:space="preserve">FIDIC inžinieriaus ir </w:t>
      </w:r>
      <w:r w:rsidRPr="00C25CDA">
        <w:rPr>
          <w:sz w:val="22"/>
          <w:szCs w:val="22"/>
        </w:rPr>
        <w:t xml:space="preserve">statybos darbų techninės priežiūros užduotis, pateikiamas detalus, atliktų užduočių pažangos grafikas, nurodant suteiktas ir planuojamas teikti paslaugas (užduotis). Ataskaitoje atliktų užduočių aprašymas ir palyginimas su numatytomis sutartyje, pateikiami komentarai ir paaiškinimai. </w:t>
      </w:r>
    </w:p>
    <w:p w14:paraId="43B244A1" w14:textId="77777777" w:rsidR="00C25CDA" w:rsidRPr="00C25CDA" w:rsidRDefault="00C25CDA" w:rsidP="00C25CDA">
      <w:pPr>
        <w:tabs>
          <w:tab w:val="num" w:pos="0"/>
          <w:tab w:val="left" w:pos="567"/>
        </w:tabs>
        <w:jc w:val="both"/>
        <w:rPr>
          <w:sz w:val="22"/>
          <w:szCs w:val="22"/>
        </w:rPr>
      </w:pPr>
    </w:p>
    <w:p w14:paraId="28FFA3B0" w14:textId="191E652C" w:rsidR="00C25CDA" w:rsidRPr="00FC6AD7" w:rsidRDefault="00FC6AD7" w:rsidP="00FC6AD7">
      <w:pPr>
        <w:shd w:val="clear" w:color="auto" w:fill="FFFFFF"/>
        <w:tabs>
          <w:tab w:val="left" w:pos="426"/>
        </w:tabs>
        <w:jc w:val="both"/>
        <w:outlineLvl w:val="0"/>
        <w:rPr>
          <w:b/>
          <w:bCs/>
          <w:color w:val="000000"/>
          <w:spacing w:val="-2"/>
          <w:sz w:val="22"/>
          <w:szCs w:val="22"/>
        </w:rPr>
      </w:pPr>
      <w:r>
        <w:rPr>
          <w:b/>
          <w:bCs/>
          <w:color w:val="000000"/>
          <w:spacing w:val="-2"/>
          <w:sz w:val="22"/>
          <w:szCs w:val="22"/>
        </w:rPr>
        <w:t xml:space="preserve">      4.2. </w:t>
      </w:r>
      <w:r w:rsidR="00C25CDA" w:rsidRPr="00FC6AD7">
        <w:rPr>
          <w:b/>
          <w:bCs/>
          <w:color w:val="000000"/>
          <w:spacing w:val="-2"/>
          <w:sz w:val="22"/>
          <w:szCs w:val="22"/>
        </w:rPr>
        <w:t>Ataskaitų pateikimas ir tvirtinimas</w:t>
      </w:r>
    </w:p>
    <w:p w14:paraId="67841CC3" w14:textId="369AC7D3" w:rsidR="005F0E03" w:rsidRPr="002E0FFD" w:rsidRDefault="00C25CDA" w:rsidP="002E0FFD">
      <w:pPr>
        <w:tabs>
          <w:tab w:val="num" w:pos="0"/>
          <w:tab w:val="left" w:pos="567"/>
        </w:tabs>
        <w:jc w:val="both"/>
        <w:rPr>
          <w:sz w:val="22"/>
          <w:szCs w:val="22"/>
        </w:rPr>
      </w:pPr>
      <w:r w:rsidRPr="00C25CDA">
        <w:rPr>
          <w:sz w:val="22"/>
          <w:szCs w:val="22"/>
        </w:rPr>
        <w:t>Visos ataskaitos teikiamos Perkanči</w:t>
      </w:r>
      <w:r>
        <w:rPr>
          <w:sz w:val="22"/>
          <w:szCs w:val="22"/>
        </w:rPr>
        <w:t>ajam subjektui</w:t>
      </w:r>
      <w:r w:rsidRPr="00C25CDA">
        <w:rPr>
          <w:sz w:val="22"/>
          <w:szCs w:val="22"/>
        </w:rPr>
        <w:t>, turi būti pateiktos</w:t>
      </w:r>
      <w:r w:rsidR="009A19BF">
        <w:rPr>
          <w:sz w:val="22"/>
          <w:szCs w:val="22"/>
        </w:rPr>
        <w:t xml:space="preserve"> sutartyse nurodytu el. paštu</w:t>
      </w:r>
      <w:r w:rsidRPr="00C25CDA">
        <w:rPr>
          <w:sz w:val="22"/>
          <w:szCs w:val="22"/>
        </w:rPr>
        <w:t>.</w:t>
      </w:r>
      <w:r w:rsidR="009A19BF">
        <w:rPr>
          <w:sz w:val="22"/>
          <w:szCs w:val="22"/>
        </w:rPr>
        <w:t xml:space="preserve"> </w:t>
      </w:r>
      <w:r w:rsidRPr="00C25CDA">
        <w:rPr>
          <w:sz w:val="22"/>
          <w:szCs w:val="22"/>
        </w:rPr>
        <w:t xml:space="preserve">Užsakovas argumentuotas pastabas ataskaitoms parengia per </w:t>
      </w:r>
      <w:r w:rsidRPr="00C25CDA">
        <w:rPr>
          <w:spacing w:val="-2"/>
          <w:sz w:val="22"/>
          <w:szCs w:val="22"/>
        </w:rPr>
        <w:t>3</w:t>
      </w:r>
      <w:r w:rsidRPr="00C25CDA">
        <w:rPr>
          <w:sz w:val="22"/>
          <w:szCs w:val="22"/>
        </w:rPr>
        <w:t xml:space="preserve"> darbo dienas nuo jos gavimo datos. Jei per nurodytą laiką Tiekėjui pastabos nepateikiamos, laikoma, kad suinteresuotos pusės pastabų neturi.</w:t>
      </w:r>
      <w:r w:rsidR="009A19BF">
        <w:rPr>
          <w:sz w:val="22"/>
          <w:szCs w:val="22"/>
        </w:rPr>
        <w:t xml:space="preserve"> </w:t>
      </w:r>
      <w:r w:rsidRPr="00C25CDA">
        <w:rPr>
          <w:sz w:val="22"/>
          <w:szCs w:val="22"/>
        </w:rPr>
        <w:t xml:space="preserve">Tiekėjas prašomus paaiškinimus ir pataisytą ataskaitos variantą pateikia per 3 darbo dienas nuo pastabų gavimo dienos. </w:t>
      </w:r>
      <w:r w:rsidR="009A19BF">
        <w:rPr>
          <w:sz w:val="22"/>
          <w:szCs w:val="22"/>
        </w:rPr>
        <w:t xml:space="preserve"> </w:t>
      </w:r>
      <w:r w:rsidRPr="00C25CDA">
        <w:rPr>
          <w:sz w:val="22"/>
          <w:szCs w:val="22"/>
        </w:rPr>
        <w:t xml:space="preserve">Užsakovas turi teisę sulaikyti mokėjimą Tiekėjui, jei šio pateikta pažangos ataskaita nepatvirtinta. </w:t>
      </w:r>
    </w:p>
    <w:sectPr w:rsidR="005F0E03" w:rsidRPr="002E0FFD" w:rsidSect="000A187E">
      <w:pgSz w:w="11900" w:h="16840"/>
      <w:pgMar w:top="709" w:right="985" w:bottom="709" w:left="1134"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FC7"/>
    <w:multiLevelType w:val="hybridMultilevel"/>
    <w:tmpl w:val="786898E0"/>
    <w:lvl w:ilvl="0" w:tplc="04270001">
      <w:start w:val="1"/>
      <w:numFmt w:val="bullet"/>
      <w:lvlText w:val=""/>
      <w:lvlJc w:val="left"/>
      <w:pPr>
        <w:ind w:left="1147" w:hanging="360"/>
      </w:pPr>
      <w:rPr>
        <w:rFonts w:ascii="Symbol" w:hAnsi="Symbol" w:hint="default"/>
      </w:rPr>
    </w:lvl>
    <w:lvl w:ilvl="1" w:tplc="04270003">
      <w:start w:val="1"/>
      <w:numFmt w:val="bullet"/>
      <w:lvlText w:val="o"/>
      <w:lvlJc w:val="left"/>
      <w:pPr>
        <w:ind w:left="1867" w:hanging="360"/>
      </w:pPr>
      <w:rPr>
        <w:rFonts w:ascii="Courier New" w:hAnsi="Courier New" w:cs="Courier New" w:hint="default"/>
      </w:rPr>
    </w:lvl>
    <w:lvl w:ilvl="2" w:tplc="04270005">
      <w:start w:val="1"/>
      <w:numFmt w:val="bullet"/>
      <w:lvlText w:val=""/>
      <w:lvlJc w:val="left"/>
      <w:pPr>
        <w:ind w:left="2587" w:hanging="360"/>
      </w:pPr>
      <w:rPr>
        <w:rFonts w:ascii="Wingdings" w:hAnsi="Wingdings" w:hint="default"/>
      </w:rPr>
    </w:lvl>
    <w:lvl w:ilvl="3" w:tplc="04270001">
      <w:start w:val="1"/>
      <w:numFmt w:val="bullet"/>
      <w:lvlText w:val=""/>
      <w:lvlJc w:val="left"/>
      <w:pPr>
        <w:ind w:left="3307" w:hanging="360"/>
      </w:pPr>
      <w:rPr>
        <w:rFonts w:ascii="Symbol" w:hAnsi="Symbol" w:hint="default"/>
      </w:rPr>
    </w:lvl>
    <w:lvl w:ilvl="4" w:tplc="04270003">
      <w:start w:val="1"/>
      <w:numFmt w:val="bullet"/>
      <w:lvlText w:val="o"/>
      <w:lvlJc w:val="left"/>
      <w:pPr>
        <w:ind w:left="4027" w:hanging="360"/>
      </w:pPr>
      <w:rPr>
        <w:rFonts w:ascii="Courier New" w:hAnsi="Courier New" w:cs="Courier New" w:hint="default"/>
      </w:rPr>
    </w:lvl>
    <w:lvl w:ilvl="5" w:tplc="04270005">
      <w:start w:val="1"/>
      <w:numFmt w:val="bullet"/>
      <w:lvlText w:val=""/>
      <w:lvlJc w:val="left"/>
      <w:pPr>
        <w:ind w:left="4747" w:hanging="360"/>
      </w:pPr>
      <w:rPr>
        <w:rFonts w:ascii="Wingdings" w:hAnsi="Wingdings" w:hint="default"/>
      </w:rPr>
    </w:lvl>
    <w:lvl w:ilvl="6" w:tplc="04270001">
      <w:start w:val="1"/>
      <w:numFmt w:val="bullet"/>
      <w:lvlText w:val=""/>
      <w:lvlJc w:val="left"/>
      <w:pPr>
        <w:ind w:left="5467" w:hanging="360"/>
      </w:pPr>
      <w:rPr>
        <w:rFonts w:ascii="Symbol" w:hAnsi="Symbol" w:hint="default"/>
      </w:rPr>
    </w:lvl>
    <w:lvl w:ilvl="7" w:tplc="04270003">
      <w:start w:val="1"/>
      <w:numFmt w:val="bullet"/>
      <w:lvlText w:val="o"/>
      <w:lvlJc w:val="left"/>
      <w:pPr>
        <w:ind w:left="6187" w:hanging="360"/>
      </w:pPr>
      <w:rPr>
        <w:rFonts w:ascii="Courier New" w:hAnsi="Courier New" w:cs="Courier New" w:hint="default"/>
      </w:rPr>
    </w:lvl>
    <w:lvl w:ilvl="8" w:tplc="04270005">
      <w:start w:val="1"/>
      <w:numFmt w:val="bullet"/>
      <w:lvlText w:val=""/>
      <w:lvlJc w:val="left"/>
      <w:pPr>
        <w:ind w:left="6907" w:hanging="360"/>
      </w:pPr>
      <w:rPr>
        <w:rFonts w:ascii="Wingdings" w:hAnsi="Wingdings" w:hint="default"/>
      </w:rPr>
    </w:lvl>
  </w:abstractNum>
  <w:abstractNum w:abstractNumId="1" w15:restartNumberingAfterBreak="0">
    <w:nsid w:val="07F16687"/>
    <w:multiLevelType w:val="hybridMultilevel"/>
    <w:tmpl w:val="3CD8A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C61195"/>
    <w:multiLevelType w:val="hybridMultilevel"/>
    <w:tmpl w:val="59242210"/>
    <w:lvl w:ilvl="0" w:tplc="04090001">
      <w:start w:val="1"/>
      <w:numFmt w:val="bullet"/>
      <w:lvlText w:val=""/>
      <w:lvlJc w:val="left"/>
      <w:pPr>
        <w:ind w:left="22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685562"/>
    <w:multiLevelType w:val="hybridMultilevel"/>
    <w:tmpl w:val="F4C27028"/>
    <w:lvl w:ilvl="0" w:tplc="4CF8390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7793"/>
    <w:multiLevelType w:val="hybridMultilevel"/>
    <w:tmpl w:val="4E4290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7036CF"/>
    <w:multiLevelType w:val="multilevel"/>
    <w:tmpl w:val="E40E691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D85ADA"/>
    <w:multiLevelType w:val="hybridMultilevel"/>
    <w:tmpl w:val="37E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995F67"/>
    <w:multiLevelType w:val="multilevel"/>
    <w:tmpl w:val="1D523852"/>
    <w:lvl w:ilvl="0">
      <w:start w:val="1"/>
      <w:numFmt w:val="decimal"/>
      <w:lvlText w:val="%1."/>
      <w:lvlJc w:val="left"/>
      <w:pPr>
        <w:tabs>
          <w:tab w:val="num" w:pos="1125"/>
        </w:tabs>
        <w:ind w:left="1125" w:hanging="1125"/>
      </w:pPr>
      <w:rPr>
        <w:b/>
        <w:color w:val="000000"/>
      </w:rPr>
    </w:lvl>
    <w:lvl w:ilvl="1">
      <w:start w:val="1"/>
      <w:numFmt w:val="decimal"/>
      <w:lvlText w:val="%1.%2."/>
      <w:lvlJc w:val="left"/>
      <w:pPr>
        <w:tabs>
          <w:tab w:val="num" w:pos="1482"/>
        </w:tabs>
        <w:ind w:left="1482" w:hanging="1125"/>
      </w:pPr>
      <w:rPr>
        <w:b/>
        <w:color w:val="000000"/>
      </w:rPr>
    </w:lvl>
    <w:lvl w:ilvl="2">
      <w:start w:val="1"/>
      <w:numFmt w:val="decimal"/>
      <w:lvlText w:val="%1.%2.%3."/>
      <w:lvlJc w:val="left"/>
      <w:pPr>
        <w:tabs>
          <w:tab w:val="num" w:pos="1125"/>
        </w:tabs>
        <w:ind w:left="1125" w:hanging="1125"/>
      </w:pPr>
      <w:rPr>
        <w:b w:val="0"/>
        <w:color w:val="000000"/>
      </w:rPr>
    </w:lvl>
    <w:lvl w:ilvl="3">
      <w:start w:val="1"/>
      <w:numFmt w:val="decimal"/>
      <w:lvlText w:val="%1.%2.%3.%4."/>
      <w:lvlJc w:val="left"/>
      <w:pPr>
        <w:tabs>
          <w:tab w:val="num" w:pos="2196"/>
        </w:tabs>
        <w:ind w:left="2196" w:hanging="1125"/>
      </w:pPr>
      <w:rPr>
        <w:b/>
        <w:color w:val="000000"/>
      </w:rPr>
    </w:lvl>
    <w:lvl w:ilvl="4">
      <w:start w:val="1"/>
      <w:numFmt w:val="decimal"/>
      <w:lvlText w:val="%1.%2.%3.%4.%5."/>
      <w:lvlJc w:val="left"/>
      <w:pPr>
        <w:tabs>
          <w:tab w:val="num" w:pos="2553"/>
        </w:tabs>
        <w:ind w:left="2553" w:hanging="1125"/>
      </w:pPr>
      <w:rPr>
        <w:b/>
        <w:color w:val="000000"/>
      </w:rPr>
    </w:lvl>
    <w:lvl w:ilvl="5">
      <w:start w:val="1"/>
      <w:numFmt w:val="decimal"/>
      <w:lvlText w:val="%1.%2.%3.%4.%5.%6."/>
      <w:lvlJc w:val="left"/>
      <w:pPr>
        <w:tabs>
          <w:tab w:val="num" w:pos="3225"/>
        </w:tabs>
        <w:ind w:left="3225" w:hanging="1440"/>
      </w:pPr>
      <w:rPr>
        <w:b/>
        <w:color w:val="000000"/>
      </w:rPr>
    </w:lvl>
    <w:lvl w:ilvl="6">
      <w:start w:val="1"/>
      <w:numFmt w:val="decimal"/>
      <w:lvlText w:val="%1.%2.%3.%4.%5.%6.%7."/>
      <w:lvlJc w:val="left"/>
      <w:pPr>
        <w:tabs>
          <w:tab w:val="num" w:pos="3942"/>
        </w:tabs>
        <w:ind w:left="3942" w:hanging="1800"/>
      </w:pPr>
      <w:rPr>
        <w:b/>
        <w:color w:val="000000"/>
      </w:rPr>
    </w:lvl>
    <w:lvl w:ilvl="7">
      <w:start w:val="1"/>
      <w:numFmt w:val="decimal"/>
      <w:lvlText w:val="%1.%2.%3.%4.%5.%6.%7.%8."/>
      <w:lvlJc w:val="left"/>
      <w:pPr>
        <w:tabs>
          <w:tab w:val="num" w:pos="4299"/>
        </w:tabs>
        <w:ind w:left="4299" w:hanging="1800"/>
      </w:pPr>
      <w:rPr>
        <w:b/>
        <w:color w:val="000000"/>
      </w:rPr>
    </w:lvl>
    <w:lvl w:ilvl="8">
      <w:start w:val="1"/>
      <w:numFmt w:val="decimal"/>
      <w:lvlText w:val="%1.%2.%3.%4.%5.%6.%7.%8.%9."/>
      <w:lvlJc w:val="left"/>
      <w:pPr>
        <w:tabs>
          <w:tab w:val="num" w:pos="5016"/>
        </w:tabs>
        <w:ind w:left="5016" w:hanging="2160"/>
      </w:pPr>
      <w:rPr>
        <w:b/>
        <w:color w:val="000000"/>
      </w:rPr>
    </w:lvl>
  </w:abstractNum>
  <w:abstractNum w:abstractNumId="8" w15:restartNumberingAfterBreak="0">
    <w:nsid w:val="597A63D7"/>
    <w:multiLevelType w:val="hybridMultilevel"/>
    <w:tmpl w:val="F3688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703141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105373">
    <w:abstractNumId w:val="0"/>
  </w:num>
  <w:num w:numId="3" w16cid:durableId="847795927">
    <w:abstractNumId w:val="8"/>
  </w:num>
  <w:num w:numId="4" w16cid:durableId="989095457">
    <w:abstractNumId w:val="2"/>
  </w:num>
  <w:num w:numId="5" w16cid:durableId="1591739538">
    <w:abstractNumId w:val="6"/>
  </w:num>
  <w:num w:numId="6" w16cid:durableId="117341935">
    <w:abstractNumId w:val="4"/>
  </w:num>
  <w:num w:numId="7" w16cid:durableId="1502895815">
    <w:abstractNumId w:val="1"/>
  </w:num>
  <w:num w:numId="8" w16cid:durableId="1036469871">
    <w:abstractNumId w:val="9"/>
  </w:num>
  <w:num w:numId="9" w16cid:durableId="1637489107">
    <w:abstractNumId w:val="7"/>
  </w:num>
  <w:num w:numId="10" w16cid:durableId="1762027314">
    <w:abstractNumId w:val="3"/>
  </w:num>
  <w:num w:numId="11" w16cid:durableId="1316103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D3"/>
    <w:rsid w:val="000652C7"/>
    <w:rsid w:val="000A187E"/>
    <w:rsid w:val="000C3D6C"/>
    <w:rsid w:val="00103927"/>
    <w:rsid w:val="00152D67"/>
    <w:rsid w:val="002B2958"/>
    <w:rsid w:val="002E0FFD"/>
    <w:rsid w:val="00323336"/>
    <w:rsid w:val="00491490"/>
    <w:rsid w:val="004A000E"/>
    <w:rsid w:val="004F6ED3"/>
    <w:rsid w:val="00530F55"/>
    <w:rsid w:val="00530FF6"/>
    <w:rsid w:val="005434C6"/>
    <w:rsid w:val="0057445C"/>
    <w:rsid w:val="005817F1"/>
    <w:rsid w:val="00592764"/>
    <w:rsid w:val="005F0E03"/>
    <w:rsid w:val="006E37A1"/>
    <w:rsid w:val="007363DE"/>
    <w:rsid w:val="007E6FF6"/>
    <w:rsid w:val="008677E7"/>
    <w:rsid w:val="00942B04"/>
    <w:rsid w:val="009A19BF"/>
    <w:rsid w:val="00A01F19"/>
    <w:rsid w:val="00B2212D"/>
    <w:rsid w:val="00C25CDA"/>
    <w:rsid w:val="00C8127F"/>
    <w:rsid w:val="00E441A8"/>
    <w:rsid w:val="00EC68DB"/>
    <w:rsid w:val="00F14EC8"/>
    <w:rsid w:val="00F303F3"/>
    <w:rsid w:val="00FC6AD7"/>
    <w:rsid w:val="00F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D460"/>
  <w15:chartTrackingRefBased/>
  <w15:docId w15:val="{05C702C1-FCB1-483A-BDB4-437ABE21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45C"/>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C25CDA"/>
    <w:pPr>
      <w:keepNext/>
      <w:numPr>
        <w:numId w:val="8"/>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C25CDA"/>
    <w:pPr>
      <w:numPr>
        <w:ilvl w:val="1"/>
        <w:numId w:val="8"/>
      </w:numPr>
      <w:jc w:val="both"/>
      <w:outlineLvl w:val="1"/>
    </w:pPr>
    <w:rPr>
      <w:szCs w:val="20"/>
      <w:lang w:eastAsia="lt-LT"/>
    </w:rPr>
  </w:style>
  <w:style w:type="paragraph" w:styleId="Heading3">
    <w:name w:val="heading 3"/>
    <w:basedOn w:val="Normal"/>
    <w:next w:val="Normal"/>
    <w:link w:val="Heading3Char"/>
    <w:qFormat/>
    <w:rsid w:val="00C25CDA"/>
    <w:pPr>
      <w:keepNext/>
      <w:numPr>
        <w:ilvl w:val="2"/>
        <w:numId w:val="8"/>
      </w:numPr>
      <w:jc w:val="both"/>
      <w:outlineLvl w:val="2"/>
    </w:pPr>
    <w:rPr>
      <w:szCs w:val="20"/>
      <w:lang w:eastAsia="lt-LT"/>
    </w:rPr>
  </w:style>
  <w:style w:type="paragraph" w:styleId="Heading4">
    <w:name w:val="heading 4"/>
    <w:aliases w:val="Heading 4 Char Char Char Char,Heading 4 Char Char Char Char Char"/>
    <w:basedOn w:val="Normal"/>
    <w:next w:val="Normal"/>
    <w:link w:val="Heading4Char"/>
    <w:qFormat/>
    <w:rsid w:val="00C25CDA"/>
    <w:pPr>
      <w:keepNext/>
      <w:numPr>
        <w:ilvl w:val="3"/>
        <w:numId w:val="8"/>
      </w:numPr>
      <w:outlineLvl w:val="3"/>
    </w:pPr>
    <w:rPr>
      <w:b/>
      <w:sz w:val="44"/>
      <w:szCs w:val="20"/>
      <w:lang w:eastAsia="lt-LT"/>
    </w:rPr>
  </w:style>
  <w:style w:type="paragraph" w:styleId="Heading5">
    <w:name w:val="heading 5"/>
    <w:basedOn w:val="Normal"/>
    <w:next w:val="Normal"/>
    <w:link w:val="Heading5Char"/>
    <w:qFormat/>
    <w:rsid w:val="00C25CDA"/>
    <w:pPr>
      <w:keepNext/>
      <w:numPr>
        <w:ilvl w:val="4"/>
        <w:numId w:val="8"/>
      </w:numPr>
      <w:outlineLvl w:val="4"/>
    </w:pPr>
    <w:rPr>
      <w:b/>
      <w:sz w:val="40"/>
      <w:szCs w:val="20"/>
      <w:lang w:eastAsia="lt-LT"/>
    </w:rPr>
  </w:style>
  <w:style w:type="paragraph" w:styleId="Heading6">
    <w:name w:val="heading 6"/>
    <w:basedOn w:val="Normal"/>
    <w:next w:val="Normal"/>
    <w:link w:val="Heading6Char"/>
    <w:qFormat/>
    <w:rsid w:val="00C25CDA"/>
    <w:pPr>
      <w:keepNext/>
      <w:numPr>
        <w:ilvl w:val="5"/>
        <w:numId w:val="8"/>
      </w:numPr>
      <w:outlineLvl w:val="5"/>
    </w:pPr>
    <w:rPr>
      <w:b/>
      <w:sz w:val="36"/>
      <w:szCs w:val="20"/>
      <w:lang w:eastAsia="lt-LT"/>
    </w:rPr>
  </w:style>
  <w:style w:type="paragraph" w:styleId="Heading7">
    <w:name w:val="heading 7"/>
    <w:basedOn w:val="Normal"/>
    <w:next w:val="Normal"/>
    <w:link w:val="Heading7Char"/>
    <w:qFormat/>
    <w:rsid w:val="00C25CDA"/>
    <w:pPr>
      <w:keepNext/>
      <w:numPr>
        <w:ilvl w:val="6"/>
        <w:numId w:val="8"/>
      </w:numPr>
      <w:outlineLvl w:val="6"/>
    </w:pPr>
    <w:rPr>
      <w:sz w:val="48"/>
      <w:szCs w:val="20"/>
      <w:lang w:eastAsia="lt-LT"/>
    </w:rPr>
  </w:style>
  <w:style w:type="paragraph" w:styleId="Heading8">
    <w:name w:val="heading 8"/>
    <w:basedOn w:val="Normal"/>
    <w:next w:val="Normal"/>
    <w:link w:val="Heading8Char"/>
    <w:qFormat/>
    <w:rsid w:val="00C25CDA"/>
    <w:pPr>
      <w:keepNext/>
      <w:numPr>
        <w:ilvl w:val="7"/>
        <w:numId w:val="8"/>
      </w:numPr>
      <w:outlineLvl w:val="7"/>
    </w:pPr>
    <w:rPr>
      <w:b/>
      <w:sz w:val="18"/>
      <w:szCs w:val="20"/>
      <w:lang w:eastAsia="lt-LT"/>
    </w:rPr>
  </w:style>
  <w:style w:type="paragraph" w:styleId="Heading9">
    <w:name w:val="heading 9"/>
    <w:basedOn w:val="Normal"/>
    <w:next w:val="Normal"/>
    <w:link w:val="Heading9Char"/>
    <w:qFormat/>
    <w:rsid w:val="00C25CDA"/>
    <w:pPr>
      <w:keepNext/>
      <w:numPr>
        <w:ilvl w:val="8"/>
        <w:numId w:val="8"/>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 Red"/>
    <w:basedOn w:val="Normal"/>
    <w:link w:val="ListParagraphChar"/>
    <w:uiPriority w:val="34"/>
    <w:qFormat/>
    <w:rsid w:val="0057445C"/>
    <w:pPr>
      <w:pBdr>
        <w:top w:val="nil"/>
        <w:left w:val="nil"/>
        <w:bottom w:val="nil"/>
        <w:right w:val="nil"/>
        <w:between w:val="nil"/>
        <w:bar w:val="nil"/>
      </w:pBdr>
      <w:ind w:left="720"/>
      <w:contextualSpacing/>
    </w:pPr>
    <w:rPr>
      <w:rFonts w:eastAsia="Arial Unicode MS"/>
      <w:noProof/>
      <w:bdr w:val="nil"/>
    </w:rPr>
  </w:style>
  <w:style w:type="character" w:customStyle="1" w:styleId="ListParagraphChar">
    <w:name w:val="List Paragraph Char"/>
    <w:aliases w:val="Bullet EY Char,List Paragraph Red Char"/>
    <w:link w:val="ListParagraph"/>
    <w:uiPriority w:val="34"/>
    <w:locked/>
    <w:rsid w:val="0057445C"/>
    <w:rPr>
      <w:rFonts w:ascii="Times New Roman" w:eastAsia="Arial Unicode MS" w:hAnsi="Times New Roman" w:cs="Times New Roman"/>
      <w:noProof/>
      <w:sz w:val="24"/>
      <w:szCs w:val="24"/>
      <w:bdr w:val="nil"/>
      <w:lang w:val="lt-LT"/>
    </w:rPr>
  </w:style>
  <w:style w:type="paragraph" w:styleId="BodyText">
    <w:name w:val="Body Text"/>
    <w:aliases w:val="Char Char"/>
    <w:basedOn w:val="Normal"/>
    <w:link w:val="BodyTextChar"/>
    <w:unhideWhenUsed/>
    <w:rsid w:val="0057445C"/>
    <w:pPr>
      <w:spacing w:after="120" w:line="276" w:lineRule="auto"/>
    </w:pPr>
    <w:rPr>
      <w:rFonts w:eastAsia="Calibri"/>
      <w:szCs w:val="22"/>
    </w:rPr>
  </w:style>
  <w:style w:type="character" w:customStyle="1" w:styleId="BodyTextChar">
    <w:name w:val="Body Text Char"/>
    <w:aliases w:val="Char Char Char"/>
    <w:basedOn w:val="DefaultParagraphFont"/>
    <w:link w:val="BodyText"/>
    <w:rsid w:val="0057445C"/>
    <w:rPr>
      <w:rFonts w:ascii="Times New Roman" w:eastAsia="Calibri" w:hAnsi="Times New Roman" w:cs="Times New Roman"/>
      <w:sz w:val="24"/>
      <w:lang w:val="lt-LT"/>
    </w:rPr>
  </w:style>
  <w:style w:type="character" w:styleId="Hyperlink">
    <w:name w:val="Hyperlink"/>
    <w:basedOn w:val="DefaultParagraphFont"/>
    <w:uiPriority w:val="99"/>
    <w:unhideWhenUsed/>
    <w:rsid w:val="0057445C"/>
    <w:rPr>
      <w:color w:val="0563C1" w:themeColor="hyperlink"/>
      <w:u w:val="single"/>
    </w:rPr>
  </w:style>
  <w:style w:type="character" w:styleId="UnresolvedMention">
    <w:name w:val="Unresolved Mention"/>
    <w:basedOn w:val="DefaultParagraphFont"/>
    <w:uiPriority w:val="99"/>
    <w:semiHidden/>
    <w:unhideWhenUsed/>
    <w:rsid w:val="0057445C"/>
    <w:rPr>
      <w:color w:val="605E5C"/>
      <w:shd w:val="clear" w:color="auto" w:fill="E1DFDD"/>
    </w:rPr>
  </w:style>
  <w:style w:type="character" w:customStyle="1" w:styleId="Heading1Char">
    <w:name w:val="Heading 1 Char"/>
    <w:basedOn w:val="DefaultParagraphFont"/>
    <w:link w:val="Heading1"/>
    <w:rsid w:val="00C25CDA"/>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C25CDA"/>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C25CDA"/>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1,Heading 4 Char Char Char Char Char Char"/>
    <w:basedOn w:val="DefaultParagraphFont"/>
    <w:link w:val="Heading4"/>
    <w:rsid w:val="00C25CDA"/>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25CDA"/>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25CD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25CD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25CD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25CDA"/>
    <w:rPr>
      <w:rFonts w:ascii="Times New Roman" w:eastAsia="Times New Roman" w:hAnsi="Times New Roman" w:cs="Times New Roman"/>
      <w:sz w:val="4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raitesvandenys@giraitesvand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1747</Words>
  <Characters>9964</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24</cp:revision>
  <cp:lastPrinted>2022-10-03T11:45:00Z</cp:lastPrinted>
  <dcterms:created xsi:type="dcterms:W3CDTF">2022-10-03T08:22:00Z</dcterms:created>
  <dcterms:modified xsi:type="dcterms:W3CDTF">2026-07-16T11:56:00Z</dcterms:modified>
</cp:coreProperties>
</file>