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w:t>
      </w:r>
      <w:r w:rsidR="00A93FC0">
        <w:rPr>
          <w:rFonts w:ascii="Cambria" w:hAnsi="Cambria" w:cs="Cambria"/>
          <w:b/>
          <w:caps/>
          <w:sz w:val="22"/>
          <w:szCs w:val="22"/>
        </w:rPr>
        <w:t>laboratorinės</w:t>
      </w:r>
      <w:r w:rsidR="0045199C">
        <w:rPr>
          <w:rFonts w:ascii="Cambria" w:hAnsi="Cambria" w:cs="Cambria"/>
          <w:b/>
          <w:caps/>
          <w:sz w:val="22"/>
          <w:szCs w:val="22"/>
        </w:rPr>
        <w:t xml:space="preserve"> </w:t>
      </w:r>
      <w:r>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w:t>
      </w:r>
      <w:r w:rsidR="0045199C">
        <w:rPr>
          <w:rFonts w:ascii="Cambria" w:hAnsi="Cambria" w:cs="Cambria"/>
          <w:b/>
          <w:sz w:val="22"/>
          <w:szCs w:val="22"/>
        </w:rPr>
        <w:t xml:space="preserve">laboratorines </w:t>
      </w:r>
      <w:r w:rsidR="001701BC">
        <w:rPr>
          <w:rFonts w:ascii="Cambria" w:hAnsi="Cambria" w:cs="Cambria"/>
          <w:b/>
          <w:sz w:val="22"/>
          <w:szCs w:val="22"/>
        </w:rPr>
        <w:t xml:space="preserve">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w:t>
      </w:r>
      <w:r w:rsidR="0045199C">
        <w:rPr>
          <w:rFonts w:ascii="Cambria" w:hAnsi="Cambria" w:cs="Cambria"/>
          <w:b/>
          <w:color w:val="auto"/>
        </w:rPr>
        <w:t xml:space="preserve">laboratorinės </w:t>
      </w:r>
      <w:r w:rsidR="001701BC">
        <w:rPr>
          <w:rFonts w:ascii="Cambria" w:hAnsi="Cambria" w:cs="Cambria"/>
          <w:b/>
          <w:color w:val="auto"/>
        </w:rPr>
        <w:t>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CB44EF">
        <w:rPr>
          <w:rFonts w:ascii="Cambria" w:hAnsi="Cambria"/>
          <w:b/>
        </w:rPr>
        <w:t xml:space="preserve"> </w:t>
      </w:r>
      <w:r w:rsidR="00DC7B8F">
        <w:rPr>
          <w:rFonts w:ascii="Cambria" w:hAnsi="Cambria"/>
          <w:b/>
        </w:rPr>
        <w:t>39</w:t>
      </w:r>
      <w:r w:rsidR="00CB44EF">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w:t>
      </w:r>
      <w:r w:rsidR="0045199C">
        <w:rPr>
          <w:rFonts w:ascii="Cambria" w:hAnsi="Cambria" w:cs="Cambria"/>
          <w:b/>
        </w:rPr>
        <w:t xml:space="preserve">laboratorinių </w:t>
      </w:r>
      <w:r w:rsidR="00026F42">
        <w:rPr>
          <w:rFonts w:ascii="Cambria" w:hAnsi="Cambria" w:cs="Cambria"/>
          <w:b/>
        </w:rPr>
        <w:t>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DC7B8F">
        <w:rPr>
          <w:rFonts w:ascii="Cambria" w:hAnsi="Cambria"/>
        </w:rPr>
        <w:t>8612871</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961B75"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61B75"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61B75"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961B75"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961B75"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r w:rsidR="00F9067A" w:rsidRPr="003E0342" w:rsidTr="00BE2EA3">
        <w:tc>
          <w:tcPr>
            <w:tcW w:w="674" w:type="dxa"/>
          </w:tcPr>
          <w:p w:rsidR="00F9067A" w:rsidRPr="001A4EDC" w:rsidRDefault="00F9067A" w:rsidP="00F9067A">
            <w:pPr>
              <w:suppressAutoHyphens/>
              <w:ind w:right="-109"/>
              <w:jc w:val="both"/>
              <w:rPr>
                <w:rFonts w:ascii="Cambria" w:hAnsi="Cambria"/>
                <w:sz w:val="21"/>
                <w:szCs w:val="21"/>
                <w:lang w:eastAsia="lt-LT"/>
              </w:rPr>
            </w:pPr>
            <w:r w:rsidRPr="001A4EDC">
              <w:rPr>
                <w:rFonts w:ascii="Cambria" w:hAnsi="Cambria"/>
                <w:sz w:val="21"/>
                <w:szCs w:val="21"/>
                <w:lang w:eastAsia="lt-LT"/>
              </w:rPr>
              <w:t>3.8.13</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067A" w:rsidRPr="0089037C" w:rsidRDefault="00F9067A" w:rsidP="00F9067A">
            <w:pPr>
              <w:jc w:val="both"/>
              <w:rPr>
                <w:rFonts w:ascii="Cambria" w:hAnsi="Cambria"/>
                <w:sz w:val="22"/>
                <w:szCs w:val="22"/>
              </w:rPr>
            </w:pPr>
            <w:r w:rsidRPr="0089037C">
              <w:rPr>
                <w:rFonts w:ascii="Cambria" w:hAnsi="Cambria"/>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067A" w:rsidRPr="0089037C" w:rsidRDefault="00F9067A" w:rsidP="00F9067A">
            <w:pPr>
              <w:rPr>
                <w:rFonts w:ascii="Cambria" w:eastAsia="Yu Mincho" w:hAnsi="Cambria"/>
                <w:b/>
                <w:bCs/>
                <w:sz w:val="22"/>
                <w:szCs w:val="22"/>
                <w:lang w:val="sv-SE"/>
              </w:rPr>
            </w:pPr>
            <w:r w:rsidRPr="0089037C">
              <w:rPr>
                <w:rFonts w:ascii="Cambria" w:eastAsia="Yu Mincho" w:hAnsi="Cambria"/>
                <w:b/>
                <w:bCs/>
                <w:sz w:val="22"/>
                <w:szCs w:val="22"/>
                <w:lang w:val="sv-SE"/>
              </w:rPr>
              <w:t>VPĮ 46 straipsnio 7 dalis</w:t>
            </w:r>
          </w:p>
          <w:p w:rsidR="00F9067A" w:rsidRPr="0089037C" w:rsidRDefault="00F9067A" w:rsidP="00F9067A">
            <w:pPr>
              <w:rPr>
                <w:rFonts w:ascii="Cambria" w:eastAsia="Yu Mincho" w:hAnsi="Cambria"/>
                <w:b/>
                <w:bCs/>
                <w:sz w:val="22"/>
                <w:szCs w:val="22"/>
                <w:lang w:val="sv-SE"/>
              </w:rPr>
            </w:pPr>
          </w:p>
          <w:p w:rsidR="00F9067A" w:rsidRPr="0089037C" w:rsidRDefault="00F9067A" w:rsidP="00F9067A">
            <w:pPr>
              <w:rPr>
                <w:rFonts w:ascii="Cambria" w:eastAsia="Yu Mincho" w:hAnsi="Cambria"/>
                <w:b/>
                <w:bCs/>
                <w:sz w:val="22"/>
                <w:szCs w:val="22"/>
                <w:lang w:val="sv-SE"/>
              </w:rPr>
            </w:pPr>
            <w:r w:rsidRPr="0089037C">
              <w:rPr>
                <w:rFonts w:ascii="Cambria" w:eastAsia="Yu Mincho" w:hAnsi="Cambria" w:cs="Arial"/>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067A" w:rsidRPr="0089037C" w:rsidRDefault="00F9067A" w:rsidP="00F9067A">
            <w:pPr>
              <w:jc w:val="both"/>
              <w:rPr>
                <w:rFonts w:ascii="Cambria" w:hAnsi="Cambria"/>
                <w:sz w:val="22"/>
                <w:szCs w:val="22"/>
                <w:lang w:val="sv-SE"/>
              </w:rPr>
            </w:pPr>
            <w:r w:rsidRPr="0089037C">
              <w:rPr>
                <w:rFonts w:ascii="Cambria" w:hAnsi="Cambria"/>
                <w:sz w:val="22"/>
                <w:szCs w:val="22"/>
                <w:lang w:val="sv-SE"/>
              </w:rPr>
              <w:t>Iš Lietuvoje įsteigtų subjektų įrodančių dokumentų nereikalaujama. Užtenka pateikto EBVPD.</w:t>
            </w:r>
          </w:p>
          <w:p w:rsidR="00F9067A" w:rsidRPr="0089037C" w:rsidRDefault="00F9067A" w:rsidP="00F9067A">
            <w:pPr>
              <w:jc w:val="both"/>
              <w:rPr>
                <w:rFonts w:ascii="Cambria" w:hAnsi="Cambria"/>
                <w:sz w:val="22"/>
                <w:szCs w:val="22"/>
                <w:lang w:val="sv-SE"/>
              </w:rPr>
            </w:pP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w:t>
      </w:r>
      <w:r w:rsidRPr="003E0342">
        <w:rPr>
          <w:rFonts w:ascii="Cambria" w:hAnsi="Cambria"/>
          <w:color w:val="000000"/>
          <w:sz w:val="22"/>
          <w:szCs w:val="22"/>
          <w:lang w:eastAsia="lt-LT"/>
        </w:rPr>
        <w:lastRenderedPageBreak/>
        <w:t xml:space="preserve">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0040073A">
        <w:rPr>
          <w:rFonts w:ascii="Cambria" w:hAnsi="Cambria"/>
          <w:color w:val="000000"/>
          <w:sz w:val="22"/>
          <w:szCs w:val="22"/>
          <w:u w:val="single"/>
          <w:lang w:val="es-ES_tradnl" w:eastAsia="lt-LT"/>
        </w:rPr>
        <w:t xml:space="preserve">pildo </w:t>
      </w:r>
      <w:r w:rsidRPr="003E0342">
        <w:rPr>
          <w:rFonts w:ascii="Cambria" w:hAnsi="Cambria"/>
          <w:color w:val="000000"/>
          <w:sz w:val="22"/>
          <w:szCs w:val="22"/>
          <w:u w:val="single"/>
          <w:lang w:eastAsia="lt-LT"/>
        </w:rPr>
        <w:t xml:space="preserve">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 xml:space="preserve">ūlyme </w:t>
      </w:r>
      <w:r w:rsidRPr="003E0342">
        <w:rPr>
          <w:rFonts w:ascii="Cambria" w:hAnsi="Cambria" w:cs="Times New Roman"/>
        </w:rPr>
        <w:lastRenderedPageBreak/>
        <w:t>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w:t>
      </w:r>
      <w:r w:rsidR="00173786">
        <w:rPr>
          <w:rFonts w:ascii="Cambria" w:hAnsi="Cambria" w:cs="Times New Roman"/>
          <w:b/>
          <w:iCs/>
          <w:color w:val="auto"/>
          <w:lang w:val="lt-LT"/>
        </w:rPr>
        <w:t xml:space="preserve">6 </w:t>
      </w:r>
      <w:r w:rsidR="00C104E4" w:rsidRPr="00375C93">
        <w:rPr>
          <w:rFonts w:ascii="Cambria" w:hAnsi="Cambria" w:cs="Times New Roman"/>
          <w:b/>
          <w:iCs/>
          <w:color w:val="auto"/>
          <w:lang w:val="lt-LT"/>
        </w:rPr>
        <w:t xml:space="preserve">m. </w:t>
      </w:r>
      <w:r w:rsidR="005C6E59">
        <w:rPr>
          <w:rFonts w:ascii="Cambria" w:hAnsi="Cambria" w:cs="Times New Roman"/>
          <w:b/>
          <w:iCs/>
          <w:color w:val="auto"/>
          <w:lang w:val="lt-LT"/>
        </w:rPr>
        <w:t>rugpjūčio</w:t>
      </w:r>
      <w:r w:rsidR="00C104E4" w:rsidRPr="00375C93">
        <w:rPr>
          <w:rFonts w:ascii="Cambria" w:hAnsi="Cambria" w:cs="Times New Roman"/>
          <w:b/>
          <w:iCs/>
          <w:color w:val="auto"/>
          <w:lang w:val="lt-LT"/>
        </w:rPr>
        <w:t xml:space="preserve"> </w:t>
      </w:r>
      <w:r w:rsidR="005C6E59">
        <w:rPr>
          <w:rFonts w:ascii="Cambria" w:hAnsi="Cambria" w:cs="Times New Roman"/>
          <w:b/>
          <w:iCs/>
          <w:color w:val="auto"/>
          <w:lang w:val="lt-LT"/>
        </w:rPr>
        <w:t>21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DA16F4">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025E89">
        <w:rPr>
          <w:rFonts w:ascii="Cambria" w:hAnsi="Cambria"/>
          <w:b/>
          <w:iCs/>
          <w:sz w:val="22"/>
          <w:szCs w:val="22"/>
        </w:rPr>
        <w:t>rugpjūčio</w:t>
      </w:r>
      <w:r w:rsidR="00B43454">
        <w:rPr>
          <w:rFonts w:ascii="Cambria" w:hAnsi="Cambria"/>
          <w:b/>
          <w:iCs/>
          <w:sz w:val="22"/>
          <w:szCs w:val="22"/>
        </w:rPr>
        <w:t xml:space="preserve"> </w:t>
      </w:r>
      <w:r w:rsidR="00025E89">
        <w:rPr>
          <w:rFonts w:ascii="Cambria" w:hAnsi="Cambria"/>
          <w:b/>
          <w:iCs/>
          <w:sz w:val="22"/>
          <w:szCs w:val="22"/>
        </w:rPr>
        <w:t>21</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DA16F4">
        <w:rPr>
          <w:rFonts w:ascii="Cambria" w:hAnsi="Cambria"/>
          <w:b/>
          <w:iCs/>
          <w:sz w:val="22"/>
          <w:szCs w:val="22"/>
          <w:u w:val="single"/>
        </w:rPr>
        <w:t>6</w:t>
      </w:r>
      <w:r w:rsidR="005A189F" w:rsidRPr="003E0342">
        <w:rPr>
          <w:rFonts w:ascii="Cambria" w:hAnsi="Cambria"/>
          <w:b/>
          <w:iCs/>
          <w:sz w:val="22"/>
          <w:szCs w:val="22"/>
          <w:u w:val="single"/>
        </w:rPr>
        <w:t xml:space="preserve"> m. </w:t>
      </w:r>
      <w:r w:rsidR="00025E89">
        <w:rPr>
          <w:rFonts w:ascii="Cambria" w:hAnsi="Cambria"/>
          <w:b/>
          <w:iCs/>
          <w:sz w:val="22"/>
          <w:szCs w:val="22"/>
          <w:u w:val="single"/>
        </w:rPr>
        <w:t>rugpjūčio</w:t>
      </w:r>
      <w:r w:rsidR="0002700A">
        <w:rPr>
          <w:rFonts w:ascii="Cambria" w:hAnsi="Cambria"/>
          <w:b/>
          <w:iCs/>
          <w:sz w:val="22"/>
          <w:szCs w:val="22"/>
          <w:u w:val="single"/>
        </w:rPr>
        <w:t xml:space="preserve"> </w:t>
      </w:r>
      <w:r w:rsidR="00025E89">
        <w:rPr>
          <w:rFonts w:ascii="Cambria" w:hAnsi="Cambria"/>
          <w:b/>
          <w:iCs/>
          <w:sz w:val="22"/>
          <w:szCs w:val="22"/>
          <w:u w:val="single"/>
        </w:rPr>
        <w:t>21</w:t>
      </w:r>
      <w:bookmarkStart w:id="2" w:name="_GoBack"/>
      <w:bookmarkEnd w:id="2"/>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lastRenderedPageBreak/>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w:t>
      </w:r>
      <w:r w:rsidR="009A3941">
        <w:rPr>
          <w:rFonts w:ascii="Cambria" w:hAnsi="Cambria" w:cs="Cambria"/>
          <w:b/>
          <w:caps/>
          <w:sz w:val="22"/>
          <w:szCs w:val="22"/>
        </w:rPr>
        <w:t xml:space="preserve">laboratorinių </w:t>
      </w:r>
      <w:r w:rsidR="00896D8F">
        <w:rPr>
          <w:rFonts w:ascii="Cambria" w:hAnsi="Cambria" w:cs="Cambria"/>
          <w:b/>
          <w:caps/>
          <w:sz w:val="22"/>
          <w:szCs w:val="22"/>
        </w:rPr>
        <w:t xml:space="preserve">PRIEMONIŲ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75" w:rsidRDefault="00961B75" w:rsidP="00922417">
      <w:r>
        <w:separator/>
      </w:r>
    </w:p>
  </w:endnote>
  <w:endnote w:type="continuationSeparator" w:id="0">
    <w:p w:rsidR="00961B75" w:rsidRDefault="00961B7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75" w:rsidRDefault="00961B75" w:rsidP="00922417">
      <w:r>
        <w:separator/>
      </w:r>
    </w:p>
  </w:footnote>
  <w:footnote w:type="continuationSeparator" w:id="0">
    <w:p w:rsidR="00961B75" w:rsidRDefault="00961B75"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5E8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786"/>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4EDC"/>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4CF3"/>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073A"/>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6E59"/>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0CC4"/>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1B75"/>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9D1"/>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67738"/>
    <w:rsid w:val="00D726BB"/>
    <w:rsid w:val="00D745A4"/>
    <w:rsid w:val="00D75902"/>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6F4"/>
    <w:rsid w:val="00DA17B4"/>
    <w:rsid w:val="00DA4B54"/>
    <w:rsid w:val="00DA6D9C"/>
    <w:rsid w:val="00DB0001"/>
    <w:rsid w:val="00DB08F8"/>
    <w:rsid w:val="00DB167E"/>
    <w:rsid w:val="00DB430F"/>
    <w:rsid w:val="00DB6A1F"/>
    <w:rsid w:val="00DC5975"/>
    <w:rsid w:val="00DC75C5"/>
    <w:rsid w:val="00DC7B8F"/>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067A"/>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8EB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88E9C-D338-41EF-A8EC-1E6532B1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39826</Words>
  <Characters>22702</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256</cp:revision>
  <cp:lastPrinted>2024-02-26T11:05:00Z</cp:lastPrinted>
  <dcterms:created xsi:type="dcterms:W3CDTF">2023-03-02T09:38:00Z</dcterms:created>
  <dcterms:modified xsi:type="dcterms:W3CDTF">2026-07-15T10:56:00Z</dcterms:modified>
</cp:coreProperties>
</file>