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C0BA" w14:textId="3E4EE2DF" w:rsidR="008E7AF1" w:rsidRDefault="00386865" w:rsidP="00386865">
      <w:pPr>
        <w:jc w:val="right"/>
      </w:pPr>
      <w:r w:rsidRPr="003A7C87">
        <w:rPr>
          <w:noProof/>
        </w:rPr>
        <w:drawing>
          <wp:inline distT="0" distB="0" distL="0" distR="0" wp14:anchorId="736264FE" wp14:editId="65919CF1">
            <wp:extent cx="2424787" cy="1613140"/>
            <wp:effectExtent l="0" t="0" r="0" b="635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464002" cy="1639229"/>
                    </a:xfrm>
                    <a:prstGeom prst="rect">
                      <a:avLst/>
                    </a:prstGeom>
                    <a:noFill/>
                    <a:ln>
                      <a:noFill/>
                    </a:ln>
                  </pic:spPr>
                </pic:pic>
              </a:graphicData>
            </a:graphic>
          </wp:inline>
        </w:drawing>
      </w:r>
    </w:p>
    <w:tbl>
      <w:tblPr>
        <w:tblStyle w:val="TableGridLight"/>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962"/>
        <w:gridCol w:w="4355"/>
        <w:gridCol w:w="3162"/>
      </w:tblGrid>
      <w:tr w:rsidR="00F306AE" w:rsidRPr="006D206A" w14:paraId="42C9F5BC" w14:textId="77777777" w:rsidTr="007146AE">
        <w:tc>
          <w:tcPr>
            <w:tcW w:w="10065" w:type="dxa"/>
            <w:gridSpan w:val="4"/>
            <w:tcBorders>
              <w:top w:val="nil"/>
              <w:left w:val="nil"/>
              <w:bottom w:val="nil"/>
              <w:right w:val="nil"/>
            </w:tcBorders>
          </w:tcPr>
          <w:p w14:paraId="34D9840D" w14:textId="56F868A7" w:rsidR="006430E0" w:rsidRPr="006D206A" w:rsidRDefault="006430E0" w:rsidP="006D206A">
            <w:pPr>
              <w:contextualSpacing/>
              <w:rPr>
                <w:rFonts w:ascii="Times New Roman" w:eastAsia="Calibri" w:hAnsi="Times New Roman" w:cs="Times New Roman"/>
                <w:b/>
              </w:rPr>
            </w:pPr>
          </w:p>
          <w:p w14:paraId="26E9B374" w14:textId="77777777" w:rsidR="006D206A" w:rsidRPr="006D206A" w:rsidRDefault="006D206A" w:rsidP="006D206A">
            <w:pPr>
              <w:ind w:right="-46"/>
              <w:jc w:val="right"/>
              <w:rPr>
                <w:rFonts w:ascii="Times New Roman" w:eastAsia="Calibri" w:hAnsi="Times New Roman" w:cs="Times New Roman"/>
                <w:lang w:eastAsia="lt-LT"/>
              </w:rPr>
            </w:pPr>
            <w:proofErr w:type="spellStart"/>
            <w:r w:rsidRPr="006D206A">
              <w:rPr>
                <w:rFonts w:ascii="Times New Roman" w:eastAsia="Calibri" w:hAnsi="Times New Roman" w:cs="Times New Roman"/>
                <w:lang w:eastAsia="lt-LT"/>
              </w:rPr>
              <w:t>Konkurso</w:t>
            </w:r>
            <w:proofErr w:type="spellEnd"/>
            <w:r w:rsidRPr="006D206A">
              <w:rPr>
                <w:rFonts w:ascii="Times New Roman" w:eastAsia="Calibri" w:hAnsi="Times New Roman" w:cs="Times New Roman"/>
                <w:lang w:eastAsia="lt-LT"/>
              </w:rPr>
              <w:t xml:space="preserve"> </w:t>
            </w:r>
            <w:proofErr w:type="spellStart"/>
            <w:r w:rsidRPr="006D206A">
              <w:rPr>
                <w:rFonts w:ascii="Times New Roman" w:eastAsia="Calibri" w:hAnsi="Times New Roman" w:cs="Times New Roman"/>
                <w:lang w:eastAsia="lt-LT"/>
              </w:rPr>
              <w:t>sąlygų</w:t>
            </w:r>
            <w:proofErr w:type="spellEnd"/>
            <w:r w:rsidRPr="006D206A">
              <w:rPr>
                <w:rFonts w:ascii="Times New Roman" w:eastAsia="Calibri" w:hAnsi="Times New Roman" w:cs="Times New Roman"/>
                <w:lang w:eastAsia="lt-LT"/>
              </w:rPr>
              <w:t xml:space="preserve"> </w:t>
            </w:r>
            <w:proofErr w:type="spellStart"/>
            <w:r w:rsidRPr="006D206A">
              <w:rPr>
                <w:rFonts w:ascii="Times New Roman" w:eastAsia="Calibri" w:hAnsi="Times New Roman" w:cs="Times New Roman"/>
                <w:lang w:eastAsia="lt-LT"/>
              </w:rPr>
              <w:t>priedas</w:t>
            </w:r>
            <w:proofErr w:type="spellEnd"/>
            <w:r w:rsidRPr="006D206A">
              <w:rPr>
                <w:rFonts w:ascii="Times New Roman" w:eastAsia="Calibri" w:hAnsi="Times New Roman" w:cs="Times New Roman"/>
                <w:lang w:eastAsia="lt-LT"/>
              </w:rPr>
              <w:t xml:space="preserve"> Nr. 1</w:t>
            </w:r>
          </w:p>
          <w:p w14:paraId="34CAE360" w14:textId="77777777" w:rsidR="00B632E3" w:rsidRPr="006D206A" w:rsidRDefault="00B632E3" w:rsidP="006D206A">
            <w:pPr>
              <w:ind w:right="-46"/>
              <w:jc w:val="center"/>
              <w:rPr>
                <w:rFonts w:ascii="Times New Roman" w:eastAsia="Calibri" w:hAnsi="Times New Roman" w:cs="Times New Roman"/>
                <w:lang w:eastAsia="lt-LT"/>
              </w:rPr>
            </w:pPr>
          </w:p>
          <w:p w14:paraId="0739086C" w14:textId="78FD630C" w:rsidR="008E7AF1" w:rsidRDefault="008E7AF1" w:rsidP="008E7AF1">
            <w:pPr>
              <w:contextualSpacing/>
              <w:jc w:val="center"/>
              <w:rPr>
                <w:rFonts w:ascii="Times New Roman" w:eastAsia="Calibri" w:hAnsi="Times New Roman" w:cs="Times New Roman"/>
                <w:b/>
              </w:rPr>
            </w:pPr>
            <w:r w:rsidRPr="006D206A">
              <w:rPr>
                <w:rFonts w:ascii="Times New Roman" w:eastAsia="Calibri" w:hAnsi="Times New Roman" w:cs="Times New Roman"/>
                <w:b/>
              </w:rPr>
              <w:t>TECHNINĖ SPECIFIKACIJA</w:t>
            </w:r>
          </w:p>
          <w:p w14:paraId="69CC1377" w14:textId="7956D85A" w:rsidR="005350CE" w:rsidRPr="005322E5" w:rsidRDefault="005350CE" w:rsidP="005350CE">
            <w:pPr>
              <w:tabs>
                <w:tab w:val="left" w:pos="3150"/>
              </w:tabs>
              <w:spacing w:line="276" w:lineRule="auto"/>
              <w:jc w:val="center"/>
              <w:rPr>
                <w:rFonts w:ascii="Times New Roman" w:hAnsi="Times New Roman" w:cs="Times New Roman"/>
                <w:b/>
                <w:bCs/>
              </w:rPr>
            </w:pPr>
            <w:r w:rsidRPr="005322E5">
              <w:rPr>
                <w:rFonts w:ascii="Times New Roman" w:hAnsi="Times New Roman" w:cs="Times New Roman"/>
                <w:b/>
                <w:bCs/>
              </w:rPr>
              <w:t>LAMINAR</w:t>
            </w:r>
            <w:r>
              <w:rPr>
                <w:rFonts w:ascii="Times New Roman" w:hAnsi="Times New Roman" w:cs="Times New Roman"/>
                <w:b/>
                <w:bCs/>
              </w:rPr>
              <w:t>AS</w:t>
            </w:r>
          </w:p>
          <w:p w14:paraId="337D5253" w14:textId="77777777" w:rsidR="005350CE" w:rsidRPr="006D206A" w:rsidRDefault="005350CE" w:rsidP="008E7AF1">
            <w:pPr>
              <w:contextualSpacing/>
              <w:jc w:val="center"/>
              <w:rPr>
                <w:rFonts w:ascii="Times New Roman" w:eastAsia="Calibri" w:hAnsi="Times New Roman" w:cs="Times New Roman"/>
                <w:b/>
              </w:rPr>
            </w:pPr>
          </w:p>
          <w:p w14:paraId="4FC48FB5" w14:textId="242DD533" w:rsidR="00F306AE" w:rsidRPr="006D206A" w:rsidRDefault="00F306AE" w:rsidP="003F5AF6">
            <w:pPr>
              <w:jc w:val="both"/>
              <w:rPr>
                <w:rFonts w:ascii="Times New Roman" w:hAnsi="Times New Roman" w:cs="Times New Roman"/>
                <w:b/>
                <w:bCs/>
                <w:lang w:val="lt-LT"/>
              </w:rPr>
            </w:pPr>
          </w:p>
        </w:tc>
      </w:tr>
      <w:tr w:rsidR="003F5AF6" w:rsidRPr="003F5AF6" w14:paraId="5AB5B2BB" w14:textId="77777777" w:rsidTr="007146AE">
        <w:tc>
          <w:tcPr>
            <w:tcW w:w="10065" w:type="dxa"/>
            <w:gridSpan w:val="4"/>
            <w:tcBorders>
              <w:top w:val="nil"/>
              <w:left w:val="nil"/>
              <w:bottom w:val="nil"/>
              <w:right w:val="nil"/>
            </w:tcBorders>
          </w:tcPr>
          <w:p w14:paraId="4E31379F" w14:textId="79302F19" w:rsidR="003F5AF6" w:rsidRPr="00F37DF7" w:rsidRDefault="00A43C32" w:rsidP="003F5AF6">
            <w:pPr>
              <w:jc w:val="both"/>
              <w:rPr>
                <w:rFonts w:ascii="Times New Roman" w:eastAsia="Aptos" w:hAnsi="Times New Roman" w:cs="Times New Roman"/>
                <w:b/>
                <w:bCs/>
                <w:lang w:val="lt-LT" w:eastAsia="lt-LT"/>
              </w:rPr>
            </w:pPr>
            <w:r>
              <w:rPr>
                <w:rFonts w:ascii="Times New Roman" w:eastAsia="Aptos" w:hAnsi="Times New Roman" w:cs="Times New Roman"/>
                <w:b/>
                <w:bCs/>
                <w:lang w:val="lt-LT" w:eastAsia="lt-LT"/>
              </w:rPr>
              <w:t xml:space="preserve">1. </w:t>
            </w:r>
            <w:r w:rsidR="003F5AF6" w:rsidRPr="00F37DF7">
              <w:rPr>
                <w:rFonts w:ascii="Times New Roman" w:eastAsia="Aptos" w:hAnsi="Times New Roman" w:cs="Times New Roman"/>
                <w:b/>
                <w:bCs/>
                <w:lang w:val="lt-LT" w:eastAsia="lt-LT"/>
              </w:rPr>
              <w:t>Bendrieji reikalavimai:</w:t>
            </w:r>
          </w:p>
          <w:p w14:paraId="512FA59A" w14:textId="77777777" w:rsidR="003F5AF6" w:rsidRPr="00F37DF7" w:rsidRDefault="003F5AF6" w:rsidP="003F5AF6">
            <w:pPr>
              <w:jc w:val="both"/>
              <w:rPr>
                <w:rFonts w:ascii="Times New Roman" w:eastAsia="Aptos" w:hAnsi="Times New Roman" w:cs="Times New Roman"/>
                <w:b/>
                <w:bCs/>
                <w:lang w:val="lt-LT" w:eastAsia="lt-LT"/>
              </w:rPr>
            </w:pPr>
          </w:p>
          <w:p w14:paraId="53FE37F6" w14:textId="47F73901" w:rsidR="003F5AF6" w:rsidRPr="00F37DF7" w:rsidRDefault="003F5AF6" w:rsidP="003B625F">
            <w:pPr>
              <w:jc w:val="both"/>
              <w:rPr>
                <w:rFonts w:ascii="Times New Roman" w:eastAsia="Aptos" w:hAnsi="Times New Roman" w:cs="Times New Roman"/>
                <w:b/>
                <w:bCs/>
                <w:lang w:val="lt-LT" w:eastAsia="lt-LT"/>
              </w:rPr>
            </w:pPr>
            <w:r w:rsidRPr="00F37DF7">
              <w:rPr>
                <w:rFonts w:ascii="Times New Roman" w:eastAsia="Aptos" w:hAnsi="Times New Roman" w:cs="Times New Roman"/>
                <w:lang w:val="lt-LT" w:eastAsia="lt-LT"/>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F37DF7">
              <w:rPr>
                <w:rFonts w:ascii="Times New Roman" w:eastAsia="Aptos" w:hAnsi="Times New Roman" w:cs="Times New Roman"/>
                <w:lang w:val="lt-LT" w:eastAsia="lt-LT"/>
              </w:rPr>
              <w:t>pdf</w:t>
            </w:r>
            <w:proofErr w:type="spellEnd"/>
            <w:r w:rsidRPr="00F37DF7">
              <w:rPr>
                <w:rFonts w:ascii="Times New Roman" w:eastAsia="Aptos" w:hAnsi="Times New Roman" w:cs="Times New Roman"/>
                <w:lang w:val="lt-LT" w:eastAsia="lt-LT"/>
              </w:rPr>
              <w:t xml:space="preserve"> formatu)</w:t>
            </w:r>
            <w:r w:rsidR="004A7C6A">
              <w:rPr>
                <w:rFonts w:ascii="Times New Roman" w:eastAsia="Aptos" w:hAnsi="Times New Roman" w:cs="Times New Roman"/>
                <w:lang w:val="lt-LT" w:eastAsia="lt-LT"/>
              </w:rPr>
              <w:t xml:space="preserve"> </w:t>
            </w:r>
            <w:proofErr w:type="spellStart"/>
            <w:r w:rsidR="004A7C6A" w:rsidRPr="00DB33B0">
              <w:rPr>
                <w:rFonts w:ascii="Times New Roman" w:eastAsia="Calibri" w:hAnsi="Times New Roman" w:cs="Times New Roman"/>
                <w:b/>
                <w:bCs/>
              </w:rPr>
              <w:t>su</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vertimu</w:t>
            </w:r>
            <w:proofErr w:type="spellEnd"/>
            <w:r w:rsidR="004A7C6A" w:rsidRPr="00DB33B0">
              <w:rPr>
                <w:rFonts w:ascii="Times New Roman" w:eastAsia="Calibri" w:hAnsi="Times New Roman" w:cs="Times New Roman"/>
                <w:b/>
                <w:bCs/>
              </w:rPr>
              <w:t xml:space="preserve"> į </w:t>
            </w:r>
            <w:proofErr w:type="spellStart"/>
            <w:r w:rsidR="004A7C6A" w:rsidRPr="00DB33B0">
              <w:rPr>
                <w:rFonts w:ascii="Times New Roman" w:eastAsia="Calibri" w:hAnsi="Times New Roman" w:cs="Times New Roman"/>
                <w:b/>
                <w:bCs/>
              </w:rPr>
              <w:t>lietuvių</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kalbą</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Cs/>
              </w:rPr>
              <w:t>kiek</w:t>
            </w:r>
            <w:proofErr w:type="spellEnd"/>
            <w:r w:rsidR="004A7C6A" w:rsidRPr="00DB33B0">
              <w:rPr>
                <w:rFonts w:ascii="Times New Roman" w:eastAsia="Calibri" w:hAnsi="Times New Roman" w:cs="Times New Roman"/>
                <w:bCs/>
              </w:rPr>
              <w:t xml:space="preserve"> tai </w:t>
            </w:r>
            <w:proofErr w:type="spellStart"/>
            <w:r w:rsidR="004A7C6A" w:rsidRPr="00DB33B0">
              <w:rPr>
                <w:rFonts w:ascii="Times New Roman" w:eastAsia="Calibri" w:hAnsi="Times New Roman" w:cs="Times New Roman"/>
                <w:bCs/>
              </w:rPr>
              <w:t>susiję</w:t>
            </w:r>
            <w:proofErr w:type="spellEnd"/>
            <w:r w:rsidR="004A7C6A" w:rsidRPr="00DB33B0">
              <w:rPr>
                <w:rFonts w:ascii="Times New Roman" w:eastAsia="Calibri" w:hAnsi="Times New Roman" w:cs="Times New Roman"/>
                <w:bCs/>
              </w:rPr>
              <w:t xml:space="preserve"> </w:t>
            </w:r>
            <w:proofErr w:type="spellStart"/>
            <w:r w:rsidR="004A7C6A" w:rsidRPr="00DB33B0">
              <w:rPr>
                <w:rFonts w:ascii="Times New Roman" w:eastAsia="Calibri" w:hAnsi="Times New Roman" w:cs="Times New Roman"/>
                <w:bCs/>
              </w:rPr>
              <w:t>su</w:t>
            </w:r>
            <w:proofErr w:type="spellEnd"/>
            <w:r w:rsidR="004A7C6A" w:rsidRPr="00DB33B0">
              <w:rPr>
                <w:rFonts w:ascii="Times New Roman" w:eastAsia="Calibri" w:hAnsi="Times New Roman" w:cs="Times New Roman"/>
                <w:bCs/>
              </w:rPr>
              <w:t xml:space="preserve"> </w:t>
            </w:r>
            <w:proofErr w:type="spellStart"/>
            <w:r w:rsidR="004A7C6A" w:rsidRPr="00DB33B0">
              <w:rPr>
                <w:rFonts w:ascii="Times New Roman" w:eastAsia="Calibri" w:hAnsi="Times New Roman" w:cs="Times New Roman"/>
                <w:bCs/>
              </w:rPr>
              <w:t>atitiktimi</w:t>
            </w:r>
            <w:proofErr w:type="spellEnd"/>
            <w:r w:rsidR="004A7C6A" w:rsidRPr="00DB33B0">
              <w:rPr>
                <w:rFonts w:ascii="Times New Roman" w:eastAsia="Calibri" w:hAnsi="Times New Roman" w:cs="Times New Roman"/>
                <w:bCs/>
              </w:rPr>
              <w:t xml:space="preserve"> </w:t>
            </w:r>
            <w:proofErr w:type="spellStart"/>
            <w:r w:rsidR="004A7C6A" w:rsidRPr="00DB33B0">
              <w:rPr>
                <w:rFonts w:ascii="Times New Roman" w:eastAsia="Calibri" w:hAnsi="Times New Roman" w:cs="Times New Roman"/>
                <w:bCs/>
              </w:rPr>
              <w:t>techninės</w:t>
            </w:r>
            <w:proofErr w:type="spellEnd"/>
            <w:r w:rsidR="004A7C6A" w:rsidRPr="00DB33B0">
              <w:rPr>
                <w:rFonts w:ascii="Times New Roman" w:eastAsia="Calibri" w:hAnsi="Times New Roman" w:cs="Times New Roman"/>
                <w:bCs/>
              </w:rPr>
              <w:t xml:space="preserve"> </w:t>
            </w:r>
            <w:proofErr w:type="spellStart"/>
            <w:r w:rsidR="004A7C6A" w:rsidRPr="00DB33B0">
              <w:rPr>
                <w:rFonts w:ascii="Times New Roman" w:eastAsia="Calibri" w:hAnsi="Times New Roman" w:cs="Times New Roman"/>
                <w:bCs/>
              </w:rPr>
              <w:t>specifikacijos</w:t>
            </w:r>
            <w:proofErr w:type="spellEnd"/>
            <w:r w:rsidR="004A7C6A" w:rsidRPr="00DB33B0">
              <w:rPr>
                <w:rFonts w:ascii="Times New Roman" w:eastAsia="Calibri" w:hAnsi="Times New Roman" w:cs="Times New Roman"/>
                <w:bCs/>
              </w:rPr>
              <w:t xml:space="preserve"> </w:t>
            </w:r>
            <w:proofErr w:type="spellStart"/>
            <w:r w:rsidR="004A7C6A" w:rsidRPr="00DB33B0">
              <w:rPr>
                <w:rFonts w:ascii="Times New Roman" w:eastAsia="Calibri" w:hAnsi="Times New Roman" w:cs="Times New Roman"/>
                <w:bCs/>
              </w:rPr>
              <w:t>reikalavimams</w:t>
            </w:r>
            <w:proofErr w:type="spellEnd"/>
            <w:r w:rsidR="004A7C6A" w:rsidRPr="00DB33B0">
              <w:rPr>
                <w:rFonts w:ascii="Times New Roman" w:eastAsia="Calibri" w:hAnsi="Times New Roman" w:cs="Times New Roman"/>
                <w:bCs/>
              </w:rPr>
              <w:t xml:space="preserve">). </w:t>
            </w:r>
            <w:proofErr w:type="spellStart"/>
            <w:r w:rsidR="004A7C6A" w:rsidRPr="00DB33B0">
              <w:rPr>
                <w:rFonts w:ascii="Times New Roman" w:eastAsia="Calibri" w:hAnsi="Times New Roman" w:cs="Times New Roman"/>
                <w:b/>
                <w:bCs/>
              </w:rPr>
              <w:t>Perkančioji</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organizacija</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nereikalauja</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kad</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šių</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dokumentų</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vertimas</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būtų</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patvirtintas</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tiekėjo</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ar</w:t>
            </w:r>
            <w:proofErr w:type="spellEnd"/>
            <w:r w:rsidR="004A7C6A" w:rsidRPr="00DB33B0">
              <w:rPr>
                <w:rFonts w:ascii="Times New Roman" w:eastAsia="Calibri" w:hAnsi="Times New Roman" w:cs="Times New Roman"/>
                <w:b/>
                <w:bCs/>
              </w:rPr>
              <w:t xml:space="preserve"> jo </w:t>
            </w:r>
            <w:proofErr w:type="spellStart"/>
            <w:r w:rsidR="004A7C6A" w:rsidRPr="00DB33B0">
              <w:rPr>
                <w:rFonts w:ascii="Times New Roman" w:eastAsia="Calibri" w:hAnsi="Times New Roman" w:cs="Times New Roman"/>
                <w:b/>
                <w:bCs/>
              </w:rPr>
              <w:t>įgalioto</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asmens</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parašu</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arba</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patvirtintas</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vertėjo</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parašu</w:t>
            </w:r>
            <w:proofErr w:type="spellEnd"/>
            <w:r w:rsidR="004A7C6A" w:rsidRPr="00DB33B0">
              <w:rPr>
                <w:rFonts w:ascii="Times New Roman" w:eastAsia="Calibri" w:hAnsi="Times New Roman" w:cs="Times New Roman"/>
                <w:b/>
                <w:bCs/>
              </w:rPr>
              <w:t xml:space="preserve"> ir </w:t>
            </w:r>
            <w:proofErr w:type="spellStart"/>
            <w:r w:rsidR="004A7C6A" w:rsidRPr="00DB33B0">
              <w:rPr>
                <w:rFonts w:ascii="Times New Roman" w:eastAsia="Calibri" w:hAnsi="Times New Roman" w:cs="Times New Roman"/>
                <w:b/>
                <w:bCs/>
              </w:rPr>
              <w:t>vertimo</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biuro</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antspaudu</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jei</w:t>
            </w:r>
            <w:proofErr w:type="spellEnd"/>
            <w:r w:rsidR="004A7C6A" w:rsidRPr="00DB33B0">
              <w:rPr>
                <w:rFonts w:ascii="Times New Roman" w:eastAsia="Calibri" w:hAnsi="Times New Roman" w:cs="Times New Roman"/>
                <w:b/>
                <w:bCs/>
              </w:rPr>
              <w:t xml:space="preserve"> </w:t>
            </w:r>
            <w:proofErr w:type="spellStart"/>
            <w:r w:rsidR="004A7C6A" w:rsidRPr="00DB33B0">
              <w:rPr>
                <w:rFonts w:ascii="Times New Roman" w:eastAsia="Calibri" w:hAnsi="Times New Roman" w:cs="Times New Roman"/>
                <w:b/>
                <w:bCs/>
              </w:rPr>
              <w:t>turi</w:t>
            </w:r>
            <w:proofErr w:type="spellEnd"/>
            <w:proofErr w:type="gramStart"/>
            <w:r w:rsidR="004A7C6A" w:rsidRPr="00DB33B0">
              <w:rPr>
                <w:rFonts w:ascii="Times New Roman" w:eastAsia="Calibri" w:hAnsi="Times New Roman" w:cs="Times New Roman"/>
                <w:b/>
                <w:bCs/>
              </w:rPr>
              <w:t>).</w:t>
            </w:r>
            <w:r w:rsidR="0062268A" w:rsidRPr="00F37DF7">
              <w:rPr>
                <w:rFonts w:ascii="Times New Roman" w:eastAsia="Aptos" w:hAnsi="Times New Roman" w:cs="Times New Roman"/>
                <w:lang w:val="lt-LT" w:eastAsia="lt-LT"/>
              </w:rPr>
              <w:t>.</w:t>
            </w:r>
            <w:proofErr w:type="gramEnd"/>
            <w:r w:rsidRPr="00F37DF7">
              <w:rPr>
                <w:rFonts w:ascii="Times New Roman" w:eastAsia="Aptos" w:hAnsi="Times New Roman" w:cs="Times New Roman"/>
                <w:lang w:val="lt-LT" w:eastAsia="lt-LT"/>
              </w:rPr>
              <w:t xml:space="preserve"> </w:t>
            </w:r>
            <w:r w:rsidRPr="00F37DF7">
              <w:rPr>
                <w:rFonts w:ascii="Times New Roman" w:eastAsia="Aptos" w:hAnsi="Times New Roman" w:cs="Times New Roman"/>
                <w:color w:val="EE0000"/>
                <w:lang w:val="lt-LT" w:eastAsia="lt-LT"/>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w:t>
            </w:r>
          </w:p>
        </w:tc>
      </w:tr>
      <w:tr w:rsidR="006430E0" w:rsidRPr="003F5AF6" w14:paraId="1C22BCA4" w14:textId="77777777" w:rsidTr="007146AE">
        <w:tc>
          <w:tcPr>
            <w:tcW w:w="10065" w:type="dxa"/>
            <w:gridSpan w:val="4"/>
            <w:tcBorders>
              <w:top w:val="nil"/>
              <w:left w:val="nil"/>
              <w:bottom w:val="nil"/>
              <w:right w:val="nil"/>
            </w:tcBorders>
          </w:tcPr>
          <w:p w14:paraId="5988022D" w14:textId="6AB2C74E" w:rsidR="00277538" w:rsidRPr="00F37DF7" w:rsidRDefault="003154E0" w:rsidP="00277538">
            <w:pPr>
              <w:jc w:val="both"/>
              <w:rPr>
                <w:rFonts w:ascii="Times New Roman" w:eastAsia="Aptos" w:hAnsi="Times New Roman" w:cs="Times New Roman"/>
                <w:lang w:val="lt-LT" w:eastAsia="lt-LT"/>
              </w:rPr>
            </w:pPr>
            <w:r>
              <w:rPr>
                <w:rFonts w:ascii="Times New Roman" w:eastAsia="Aptos" w:hAnsi="Times New Roman" w:cs="Times New Roman"/>
                <w:lang w:val="lt-LT" w:eastAsia="lt-LT"/>
              </w:rPr>
              <w:t>*</w:t>
            </w:r>
            <w:r w:rsidR="00277538" w:rsidRPr="00F37DF7">
              <w:rPr>
                <w:rFonts w:ascii="Times New Roman" w:eastAsia="Aptos" w:hAnsi="Times New Roman" w:cs="Times New Roman"/>
                <w:lang w:val="lt-LT" w:eastAsia="lt-LT"/>
              </w:rPr>
              <w:t>Netaikoma garantijai.</w:t>
            </w:r>
          </w:p>
          <w:p w14:paraId="17C282DB" w14:textId="77777777" w:rsidR="006430E0" w:rsidRPr="00F37DF7" w:rsidRDefault="006430E0" w:rsidP="003F5AF6">
            <w:pPr>
              <w:jc w:val="both"/>
              <w:rPr>
                <w:rFonts w:ascii="Times New Roman" w:eastAsia="Aptos" w:hAnsi="Times New Roman" w:cs="Times New Roman"/>
                <w:b/>
                <w:bCs/>
                <w:lang w:val="lt-LT" w:eastAsia="lt-LT"/>
              </w:rPr>
            </w:pPr>
          </w:p>
        </w:tc>
      </w:tr>
      <w:tr w:rsidR="006430E0" w:rsidRPr="003F5AF6" w14:paraId="7EFAF85C" w14:textId="77777777" w:rsidTr="007146AE">
        <w:tc>
          <w:tcPr>
            <w:tcW w:w="10065" w:type="dxa"/>
            <w:gridSpan w:val="4"/>
            <w:tcBorders>
              <w:top w:val="nil"/>
              <w:left w:val="nil"/>
              <w:bottom w:val="single" w:sz="4" w:space="0" w:color="auto"/>
              <w:right w:val="nil"/>
            </w:tcBorders>
          </w:tcPr>
          <w:p w14:paraId="000FF371" w14:textId="77777777" w:rsidR="006430E0" w:rsidRPr="003F5AF6" w:rsidRDefault="006430E0" w:rsidP="003F5AF6">
            <w:pPr>
              <w:jc w:val="both"/>
              <w:rPr>
                <w:rFonts w:ascii="Times New Roman" w:eastAsia="Aptos" w:hAnsi="Times New Roman" w:cs="Times New Roman"/>
                <w:b/>
                <w:bCs/>
                <w:lang w:val="lt-LT" w:eastAsia="lt-LT"/>
              </w:rPr>
            </w:pPr>
          </w:p>
        </w:tc>
      </w:tr>
      <w:tr w:rsidR="00F306AE" w:rsidRPr="003F5AF6" w14:paraId="6417804F" w14:textId="77777777" w:rsidTr="007146AE">
        <w:tc>
          <w:tcPr>
            <w:tcW w:w="0" w:type="auto"/>
            <w:tcBorders>
              <w:top w:val="single" w:sz="4" w:space="0" w:color="auto"/>
            </w:tcBorders>
            <w:vAlign w:val="center"/>
          </w:tcPr>
          <w:p w14:paraId="58E5051D" w14:textId="77777777" w:rsidR="00F306AE" w:rsidRPr="005D4AF2" w:rsidRDefault="00F306AE" w:rsidP="00D01820">
            <w:pPr>
              <w:jc w:val="center"/>
              <w:rPr>
                <w:rFonts w:ascii="Times New Roman" w:hAnsi="Times New Roman" w:cs="Times New Roman"/>
                <w:b/>
                <w:bCs/>
                <w:sz w:val="22"/>
                <w:szCs w:val="22"/>
                <w:lang w:val="lt-LT"/>
              </w:rPr>
            </w:pPr>
            <w:r w:rsidRPr="005D4AF2">
              <w:rPr>
                <w:rFonts w:ascii="Times New Roman" w:hAnsi="Times New Roman" w:cs="Times New Roman"/>
                <w:b/>
                <w:bCs/>
                <w:sz w:val="22"/>
                <w:szCs w:val="22"/>
                <w:lang w:val="lt-LT"/>
              </w:rPr>
              <w:t>Eil. Nr.</w:t>
            </w:r>
          </w:p>
        </w:tc>
        <w:tc>
          <w:tcPr>
            <w:tcW w:w="1962" w:type="dxa"/>
            <w:tcBorders>
              <w:top w:val="single" w:sz="4" w:space="0" w:color="auto"/>
            </w:tcBorders>
            <w:vAlign w:val="center"/>
          </w:tcPr>
          <w:p w14:paraId="6501FEE0" w14:textId="77777777" w:rsidR="00F306AE" w:rsidRPr="005D4AF2" w:rsidRDefault="00F306AE" w:rsidP="00D01820">
            <w:pPr>
              <w:jc w:val="center"/>
              <w:rPr>
                <w:rFonts w:ascii="Times New Roman" w:hAnsi="Times New Roman" w:cs="Times New Roman"/>
                <w:b/>
                <w:bCs/>
                <w:sz w:val="22"/>
                <w:szCs w:val="22"/>
                <w:lang w:val="lt-LT"/>
              </w:rPr>
            </w:pPr>
            <w:r w:rsidRPr="005D4AF2">
              <w:rPr>
                <w:rFonts w:ascii="Times New Roman" w:hAnsi="Times New Roman" w:cs="Times New Roman"/>
                <w:b/>
                <w:bCs/>
                <w:sz w:val="22"/>
                <w:szCs w:val="22"/>
                <w:lang w:val="lt-LT"/>
              </w:rPr>
              <w:t>Parametrai</w:t>
            </w:r>
          </w:p>
        </w:tc>
        <w:tc>
          <w:tcPr>
            <w:tcW w:w="0" w:type="auto"/>
            <w:tcBorders>
              <w:top w:val="single" w:sz="4" w:space="0" w:color="auto"/>
            </w:tcBorders>
            <w:vAlign w:val="center"/>
          </w:tcPr>
          <w:p w14:paraId="189BD34F" w14:textId="77777777" w:rsidR="00F306AE" w:rsidRPr="005D4AF2" w:rsidRDefault="00F306AE" w:rsidP="00D01820">
            <w:pPr>
              <w:jc w:val="center"/>
              <w:rPr>
                <w:rFonts w:ascii="Times New Roman" w:hAnsi="Times New Roman" w:cs="Times New Roman"/>
                <w:b/>
                <w:bCs/>
                <w:sz w:val="22"/>
                <w:szCs w:val="22"/>
                <w:lang w:val="lt-LT"/>
              </w:rPr>
            </w:pPr>
            <w:r w:rsidRPr="005D4AF2">
              <w:rPr>
                <w:rFonts w:ascii="Times New Roman" w:hAnsi="Times New Roman" w:cs="Times New Roman"/>
                <w:b/>
                <w:bCs/>
                <w:sz w:val="22"/>
                <w:szCs w:val="22"/>
                <w:lang w:val="lt-LT"/>
              </w:rPr>
              <w:t>Reikalavimai parametrams</w:t>
            </w:r>
          </w:p>
        </w:tc>
        <w:tc>
          <w:tcPr>
            <w:tcW w:w="3162" w:type="dxa"/>
            <w:tcBorders>
              <w:top w:val="single" w:sz="4" w:space="0" w:color="auto"/>
            </w:tcBorders>
          </w:tcPr>
          <w:p w14:paraId="331A2440" w14:textId="77777777" w:rsidR="005D4AF2" w:rsidRDefault="005D4AF2" w:rsidP="00D01820">
            <w:pPr>
              <w:jc w:val="center"/>
              <w:rPr>
                <w:rFonts w:ascii="Times New Roman" w:hAnsi="Times New Roman" w:cs="Times New Roman"/>
                <w:b/>
                <w:bCs/>
                <w:sz w:val="22"/>
                <w:szCs w:val="22"/>
                <w:lang w:val="lt-LT"/>
              </w:rPr>
            </w:pPr>
            <w:r w:rsidRPr="005D4AF2">
              <w:rPr>
                <w:rFonts w:ascii="Times New Roman" w:hAnsi="Times New Roman" w:cs="Times New Roman"/>
                <w:b/>
                <w:bCs/>
                <w:sz w:val="22"/>
                <w:szCs w:val="22"/>
                <w:lang w:val="lt-LT"/>
              </w:rPr>
              <w:t>Siūlomos parametrų reikšmės</w:t>
            </w:r>
          </w:p>
          <w:p w14:paraId="3C86A6F9" w14:textId="77777777" w:rsidR="004E42E7" w:rsidRDefault="004E42E7" w:rsidP="00D01820">
            <w:pPr>
              <w:jc w:val="center"/>
              <w:rPr>
                <w:rFonts w:ascii="Times New Roman" w:hAnsi="Times New Roman" w:cs="Times New Roman"/>
                <w:b/>
                <w:bCs/>
                <w:sz w:val="22"/>
                <w:szCs w:val="22"/>
                <w:lang w:val="lt-LT"/>
              </w:rPr>
            </w:pPr>
          </w:p>
          <w:p w14:paraId="371E798E" w14:textId="77777777" w:rsidR="004E42E7" w:rsidRPr="004E42E7" w:rsidRDefault="004E42E7" w:rsidP="004E42E7">
            <w:pPr>
              <w:jc w:val="center"/>
              <w:rPr>
                <w:rFonts w:ascii="Times New Roman" w:hAnsi="Times New Roman" w:cs="Times New Roman"/>
                <w:b/>
                <w:bCs/>
                <w:sz w:val="22"/>
                <w:szCs w:val="22"/>
                <w:lang w:eastAsia="lt-LT"/>
              </w:rPr>
            </w:pPr>
            <w:r w:rsidRPr="004E42E7">
              <w:rPr>
                <w:rFonts w:ascii="Times New Roman" w:hAnsi="Times New Roman" w:cs="Times New Roman"/>
                <w:b/>
                <w:bCs/>
                <w:sz w:val="22"/>
                <w:szCs w:val="22"/>
                <w:lang w:val="sv-SE" w:eastAsia="lt-LT"/>
              </w:rPr>
              <w:t>Tiekėjas pildo kiekvien</w:t>
            </w:r>
            <w:r w:rsidRPr="004E42E7">
              <w:rPr>
                <w:rFonts w:ascii="Times New Roman" w:hAnsi="Times New Roman" w:cs="Times New Roman"/>
                <w:b/>
                <w:bCs/>
                <w:sz w:val="22"/>
                <w:szCs w:val="22"/>
                <w:lang w:eastAsia="lt-LT"/>
              </w:rPr>
              <w:t xml:space="preserve">ą </w:t>
            </w:r>
            <w:proofErr w:type="spellStart"/>
            <w:r w:rsidRPr="004E42E7">
              <w:rPr>
                <w:rFonts w:ascii="Times New Roman" w:hAnsi="Times New Roman" w:cs="Times New Roman"/>
                <w:b/>
                <w:bCs/>
                <w:sz w:val="22"/>
                <w:szCs w:val="22"/>
                <w:lang w:eastAsia="lt-LT"/>
              </w:rPr>
              <w:t>reikalavimą</w:t>
            </w:r>
            <w:proofErr w:type="spellEnd"/>
            <w:r w:rsidRPr="004E42E7">
              <w:rPr>
                <w:rFonts w:ascii="Times New Roman" w:hAnsi="Times New Roman" w:cs="Times New Roman"/>
                <w:b/>
                <w:bCs/>
                <w:sz w:val="22"/>
                <w:szCs w:val="22"/>
                <w:lang w:eastAsia="lt-LT"/>
              </w:rPr>
              <w:t xml:space="preserve"> </w:t>
            </w:r>
            <w:proofErr w:type="spellStart"/>
            <w:r w:rsidRPr="004E42E7">
              <w:rPr>
                <w:rFonts w:ascii="Times New Roman" w:hAnsi="Times New Roman" w:cs="Times New Roman"/>
                <w:b/>
                <w:bCs/>
                <w:sz w:val="22"/>
                <w:szCs w:val="22"/>
                <w:lang w:eastAsia="lt-LT"/>
              </w:rPr>
              <w:t>su</w:t>
            </w:r>
            <w:proofErr w:type="spellEnd"/>
            <w:r w:rsidRPr="004E42E7">
              <w:rPr>
                <w:rFonts w:ascii="Times New Roman" w:hAnsi="Times New Roman" w:cs="Times New Roman"/>
                <w:b/>
                <w:bCs/>
                <w:sz w:val="22"/>
                <w:szCs w:val="22"/>
                <w:lang w:eastAsia="lt-LT"/>
              </w:rPr>
              <w:t xml:space="preserve"> </w:t>
            </w:r>
            <w:proofErr w:type="spellStart"/>
            <w:r w:rsidRPr="004E42E7">
              <w:rPr>
                <w:rFonts w:ascii="Times New Roman" w:hAnsi="Times New Roman" w:cs="Times New Roman"/>
                <w:b/>
                <w:bCs/>
                <w:sz w:val="22"/>
                <w:szCs w:val="22"/>
                <w:lang w:eastAsia="lt-LT"/>
              </w:rPr>
              <w:t>atitinkama</w:t>
            </w:r>
            <w:proofErr w:type="spellEnd"/>
            <w:r w:rsidRPr="004E42E7">
              <w:rPr>
                <w:rFonts w:ascii="Times New Roman" w:hAnsi="Times New Roman" w:cs="Times New Roman"/>
                <w:b/>
                <w:bCs/>
                <w:sz w:val="22"/>
                <w:szCs w:val="22"/>
                <w:lang w:eastAsia="lt-LT"/>
              </w:rPr>
              <w:t xml:space="preserve"> </w:t>
            </w:r>
            <w:proofErr w:type="spellStart"/>
            <w:r w:rsidRPr="004E42E7">
              <w:rPr>
                <w:rFonts w:ascii="Times New Roman" w:hAnsi="Times New Roman" w:cs="Times New Roman"/>
                <w:b/>
                <w:bCs/>
                <w:sz w:val="22"/>
                <w:szCs w:val="22"/>
                <w:lang w:eastAsia="lt-LT"/>
              </w:rPr>
              <w:t>siūloma</w:t>
            </w:r>
            <w:proofErr w:type="spellEnd"/>
            <w:r w:rsidRPr="004E42E7">
              <w:rPr>
                <w:rFonts w:ascii="Times New Roman" w:hAnsi="Times New Roman" w:cs="Times New Roman"/>
                <w:b/>
                <w:bCs/>
                <w:sz w:val="22"/>
                <w:szCs w:val="22"/>
                <w:lang w:eastAsia="lt-LT"/>
              </w:rPr>
              <w:t xml:space="preserve"> </w:t>
            </w:r>
            <w:proofErr w:type="spellStart"/>
            <w:r w:rsidRPr="004E42E7">
              <w:rPr>
                <w:rFonts w:ascii="Times New Roman" w:hAnsi="Times New Roman" w:cs="Times New Roman"/>
                <w:b/>
                <w:bCs/>
                <w:sz w:val="22"/>
                <w:szCs w:val="22"/>
                <w:lang w:eastAsia="lt-LT"/>
              </w:rPr>
              <w:t>reikšme</w:t>
            </w:r>
            <w:proofErr w:type="spellEnd"/>
            <w:r w:rsidRPr="004E42E7">
              <w:rPr>
                <w:rFonts w:ascii="Times New Roman" w:hAnsi="Times New Roman" w:cs="Times New Roman"/>
                <w:b/>
                <w:bCs/>
                <w:sz w:val="22"/>
                <w:szCs w:val="22"/>
                <w:lang w:eastAsia="lt-LT"/>
              </w:rPr>
              <w:t>.</w:t>
            </w:r>
          </w:p>
          <w:p w14:paraId="26982DB6" w14:textId="77777777" w:rsidR="004E42E7" w:rsidRDefault="004E42E7" w:rsidP="00D01820">
            <w:pPr>
              <w:jc w:val="center"/>
              <w:rPr>
                <w:rFonts w:ascii="Times New Roman" w:hAnsi="Times New Roman" w:cs="Times New Roman"/>
                <w:b/>
                <w:bCs/>
                <w:sz w:val="22"/>
                <w:szCs w:val="22"/>
                <w:lang w:val="lt-LT"/>
              </w:rPr>
            </w:pPr>
          </w:p>
          <w:p w14:paraId="0CED894A" w14:textId="77777777" w:rsidR="005D4AF2" w:rsidRPr="00BD57F2" w:rsidRDefault="005D4AF2" w:rsidP="00D01820">
            <w:pPr>
              <w:jc w:val="center"/>
              <w:rPr>
                <w:rFonts w:ascii="Times New Roman" w:hAnsi="Times New Roman" w:cs="Times New Roman"/>
                <w:b/>
                <w:bCs/>
                <w:color w:val="EE0000"/>
                <w:sz w:val="20"/>
                <w:szCs w:val="20"/>
                <w:lang w:val="lt-LT"/>
              </w:rPr>
            </w:pPr>
            <w:r w:rsidRPr="00BD57F2">
              <w:rPr>
                <w:rFonts w:ascii="Times New Roman" w:hAnsi="Times New Roman" w:cs="Times New Roman"/>
                <w:b/>
                <w:bCs/>
                <w:color w:val="EE0000"/>
                <w:sz w:val="20"/>
                <w:szCs w:val="20"/>
                <w:lang w:val="lt-LT"/>
              </w:rPr>
              <w:t xml:space="preserve">*Prie kiekvieno reikalavimo pateikiamas  techninę charakteristiką pagrindžiantis dokumentas </w:t>
            </w:r>
            <w:r w:rsidRPr="00BD57F2">
              <w:rPr>
                <w:rFonts w:ascii="Times New Roman" w:hAnsi="Times New Roman" w:cs="Times New Roman"/>
                <w:b/>
                <w:bCs/>
                <w:color w:val="EE0000"/>
                <w:sz w:val="20"/>
                <w:szCs w:val="20"/>
                <w:highlight w:val="yellow"/>
                <w:u w:val="single"/>
                <w:lang w:val="lt-LT"/>
              </w:rPr>
              <w:t>....................</w:t>
            </w:r>
            <w:r w:rsidRPr="00BD57F2">
              <w:rPr>
                <w:rFonts w:ascii="Times New Roman" w:hAnsi="Times New Roman" w:cs="Times New Roman"/>
                <w:b/>
                <w:bCs/>
                <w:color w:val="EE0000"/>
                <w:sz w:val="20"/>
                <w:szCs w:val="20"/>
                <w:lang w:val="lt-LT"/>
              </w:rPr>
              <w:t xml:space="preserve"> (nurodyti pateikiamą dokumentą), kurio </w:t>
            </w:r>
            <w:r w:rsidRPr="00BD57F2">
              <w:rPr>
                <w:rFonts w:ascii="Times New Roman" w:hAnsi="Times New Roman" w:cs="Times New Roman"/>
                <w:b/>
                <w:bCs/>
                <w:color w:val="EE0000"/>
                <w:sz w:val="20"/>
                <w:szCs w:val="20"/>
                <w:highlight w:val="yellow"/>
                <w:u w:val="single"/>
                <w:lang w:val="lt-LT"/>
              </w:rPr>
              <w:t>.........</w:t>
            </w:r>
            <w:r w:rsidRPr="00BD57F2">
              <w:rPr>
                <w:rFonts w:ascii="Times New Roman" w:hAnsi="Times New Roman" w:cs="Times New Roman"/>
                <w:b/>
                <w:bCs/>
                <w:color w:val="EE0000"/>
                <w:sz w:val="20"/>
                <w:szCs w:val="20"/>
                <w:lang w:val="lt-LT"/>
              </w:rPr>
              <w:t xml:space="preserve"> (nurodyti) puslapyje pateikta atžyma apie parametro reikšmę</w:t>
            </w:r>
          </w:p>
          <w:p w14:paraId="0FB88DCA" w14:textId="77777777" w:rsidR="005D4AF2" w:rsidRPr="00BD57F2" w:rsidRDefault="005D4AF2" w:rsidP="005D4AF2">
            <w:pPr>
              <w:rPr>
                <w:rFonts w:ascii="Times New Roman" w:hAnsi="Times New Roman" w:cs="Times New Roman"/>
                <w:b/>
                <w:bCs/>
                <w:sz w:val="20"/>
                <w:szCs w:val="20"/>
                <w:lang w:val="lt-LT"/>
              </w:rPr>
            </w:pPr>
          </w:p>
          <w:p w14:paraId="2D0641CF" w14:textId="362430CF" w:rsidR="00F306AE" w:rsidRPr="005D4AF2" w:rsidRDefault="005D4AF2" w:rsidP="005D4AF2">
            <w:pPr>
              <w:jc w:val="center"/>
              <w:rPr>
                <w:rFonts w:ascii="Times New Roman" w:hAnsi="Times New Roman" w:cs="Times New Roman"/>
                <w:b/>
                <w:bCs/>
                <w:sz w:val="22"/>
                <w:szCs w:val="22"/>
                <w:lang w:val="lt-LT"/>
              </w:rPr>
            </w:pPr>
            <w:r w:rsidRPr="00BD57F2">
              <w:rPr>
                <w:rFonts w:ascii="Times New Roman" w:hAnsi="Times New Roman" w:cs="Times New Roman"/>
                <w:b/>
                <w:bCs/>
                <w:color w:val="EE0000"/>
                <w:sz w:val="20"/>
                <w:szCs w:val="20"/>
                <w:lang w:val="lt-LT"/>
              </w:rPr>
              <w:t>(pildo tiekėjas)</w:t>
            </w:r>
          </w:p>
        </w:tc>
      </w:tr>
      <w:tr w:rsidR="00263E87" w:rsidRPr="003F5AF6" w14:paraId="34812991" w14:textId="77777777" w:rsidTr="007146AE">
        <w:tc>
          <w:tcPr>
            <w:tcW w:w="0" w:type="auto"/>
          </w:tcPr>
          <w:p w14:paraId="28FDF2E5" w14:textId="4567A257" w:rsidR="00263E87" w:rsidRPr="003F5AF6" w:rsidRDefault="00263E87" w:rsidP="00263E87">
            <w:pPr>
              <w:spacing w:line="276" w:lineRule="auto"/>
              <w:jc w:val="center"/>
              <w:rPr>
                <w:rFonts w:ascii="Times New Roman" w:hAnsi="Times New Roman" w:cs="Times New Roman"/>
                <w:sz w:val="18"/>
                <w:szCs w:val="18"/>
                <w:lang w:val="lt-LT"/>
              </w:rPr>
            </w:pPr>
            <w:r w:rsidRPr="003F5AF6">
              <w:rPr>
                <w:rFonts w:ascii="Times New Roman" w:hAnsi="Times New Roman" w:cs="Times New Roman"/>
                <w:sz w:val="18"/>
                <w:szCs w:val="18"/>
                <w:lang w:val="lt-LT"/>
              </w:rPr>
              <w:t>1</w:t>
            </w:r>
          </w:p>
        </w:tc>
        <w:tc>
          <w:tcPr>
            <w:tcW w:w="1962" w:type="dxa"/>
          </w:tcPr>
          <w:p w14:paraId="315C0512" w14:textId="035F7591" w:rsidR="00263E87" w:rsidRPr="003F5AF6" w:rsidRDefault="00263E87" w:rsidP="00263E87">
            <w:pPr>
              <w:spacing w:line="276" w:lineRule="auto"/>
              <w:jc w:val="center"/>
              <w:rPr>
                <w:rFonts w:ascii="Times New Roman" w:hAnsi="Times New Roman" w:cs="Times New Roman"/>
                <w:sz w:val="18"/>
                <w:szCs w:val="18"/>
                <w:lang w:val="lt-LT"/>
              </w:rPr>
            </w:pPr>
            <w:r w:rsidRPr="003F5AF6">
              <w:rPr>
                <w:rFonts w:ascii="Times New Roman" w:hAnsi="Times New Roman" w:cs="Times New Roman"/>
                <w:sz w:val="18"/>
                <w:szCs w:val="18"/>
                <w:lang w:val="lt-LT"/>
              </w:rPr>
              <w:t>2</w:t>
            </w:r>
          </w:p>
        </w:tc>
        <w:tc>
          <w:tcPr>
            <w:tcW w:w="0" w:type="auto"/>
          </w:tcPr>
          <w:p w14:paraId="323B6120" w14:textId="4057889D" w:rsidR="00263E87" w:rsidRPr="003F5AF6" w:rsidRDefault="00263E87" w:rsidP="00263E87">
            <w:pPr>
              <w:spacing w:line="276" w:lineRule="auto"/>
              <w:jc w:val="center"/>
              <w:rPr>
                <w:rFonts w:ascii="Times New Roman" w:hAnsi="Times New Roman" w:cs="Times New Roman"/>
                <w:sz w:val="18"/>
                <w:szCs w:val="18"/>
                <w:lang w:val="lt-LT"/>
              </w:rPr>
            </w:pPr>
            <w:r w:rsidRPr="003F5AF6">
              <w:rPr>
                <w:rFonts w:ascii="Times New Roman" w:hAnsi="Times New Roman" w:cs="Times New Roman"/>
                <w:sz w:val="18"/>
                <w:szCs w:val="18"/>
                <w:lang w:val="lt-LT"/>
              </w:rPr>
              <w:t>3</w:t>
            </w:r>
          </w:p>
        </w:tc>
        <w:tc>
          <w:tcPr>
            <w:tcW w:w="3162" w:type="dxa"/>
          </w:tcPr>
          <w:p w14:paraId="2B09DD72" w14:textId="370A0436" w:rsidR="00263E87" w:rsidRPr="003F5AF6" w:rsidRDefault="00263E87" w:rsidP="00263E87">
            <w:pPr>
              <w:spacing w:line="276" w:lineRule="auto"/>
              <w:jc w:val="center"/>
              <w:rPr>
                <w:rFonts w:ascii="Times New Roman" w:hAnsi="Times New Roman" w:cs="Times New Roman"/>
                <w:sz w:val="18"/>
                <w:szCs w:val="18"/>
                <w:lang w:val="lt-LT"/>
              </w:rPr>
            </w:pPr>
            <w:r w:rsidRPr="003F5AF6">
              <w:rPr>
                <w:rFonts w:ascii="Times New Roman" w:hAnsi="Times New Roman" w:cs="Times New Roman"/>
                <w:sz w:val="18"/>
                <w:szCs w:val="18"/>
                <w:lang w:val="lt-LT"/>
              </w:rPr>
              <w:t>4</w:t>
            </w:r>
          </w:p>
        </w:tc>
      </w:tr>
      <w:tr w:rsidR="00F306AE" w:rsidRPr="003F5AF6" w14:paraId="3DC207EE" w14:textId="77777777" w:rsidTr="007146AE">
        <w:tc>
          <w:tcPr>
            <w:tcW w:w="0" w:type="auto"/>
            <w:hideMark/>
          </w:tcPr>
          <w:p w14:paraId="74A235EE" w14:textId="413F0CEE" w:rsidR="00F306AE" w:rsidRPr="003F5AF6" w:rsidRDefault="00263E87" w:rsidP="00CA3DBA">
            <w:pPr>
              <w:spacing w:line="276" w:lineRule="auto"/>
              <w:rPr>
                <w:rFonts w:ascii="Times New Roman" w:hAnsi="Times New Roman" w:cs="Times New Roman"/>
                <w:lang w:val="lt-LT"/>
              </w:rPr>
            </w:pPr>
            <w:r w:rsidRPr="003F5AF6">
              <w:rPr>
                <w:rFonts w:ascii="Times New Roman" w:hAnsi="Times New Roman" w:cs="Times New Roman"/>
                <w:lang w:val="lt-LT"/>
              </w:rPr>
              <w:t>1</w:t>
            </w:r>
            <w:r w:rsidR="00F306AE" w:rsidRPr="003F5AF6">
              <w:rPr>
                <w:rFonts w:ascii="Times New Roman" w:hAnsi="Times New Roman" w:cs="Times New Roman"/>
                <w:lang w:val="lt-LT"/>
              </w:rPr>
              <w:t>.</w:t>
            </w:r>
          </w:p>
        </w:tc>
        <w:tc>
          <w:tcPr>
            <w:tcW w:w="1962" w:type="dxa"/>
            <w:hideMark/>
          </w:tcPr>
          <w:p w14:paraId="0DFBE67F"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Paskirtis</w:t>
            </w:r>
          </w:p>
        </w:tc>
        <w:tc>
          <w:tcPr>
            <w:tcW w:w="0" w:type="auto"/>
            <w:hideMark/>
          </w:tcPr>
          <w:p w14:paraId="13C6535B" w14:textId="057D40F2" w:rsidR="00F306AE" w:rsidRPr="003F5AF6" w:rsidRDefault="00A173F2" w:rsidP="00CA3DBA">
            <w:pPr>
              <w:spacing w:line="276" w:lineRule="auto"/>
              <w:jc w:val="both"/>
              <w:rPr>
                <w:rFonts w:ascii="Times New Roman" w:hAnsi="Times New Roman" w:cs="Times New Roman"/>
                <w:lang w:val="lt-LT"/>
              </w:rPr>
            </w:pPr>
            <w:r w:rsidRPr="003F5AF6">
              <w:rPr>
                <w:rFonts w:ascii="Times New Roman" w:hAnsi="Times New Roman" w:cs="Times New Roman"/>
                <w:lang w:val="lt-LT"/>
              </w:rPr>
              <w:t xml:space="preserve">Ne žemesnė nei </w:t>
            </w:r>
            <w:r w:rsidR="00F306AE" w:rsidRPr="003F5AF6">
              <w:rPr>
                <w:rFonts w:ascii="Times New Roman" w:hAnsi="Times New Roman" w:cs="Times New Roman"/>
                <w:lang w:val="lt-LT"/>
              </w:rPr>
              <w:t>II klasė B2 tipo</w:t>
            </w:r>
            <w:r w:rsidR="00A736CB">
              <w:rPr>
                <w:rFonts w:ascii="Times New Roman" w:hAnsi="Times New Roman" w:cs="Times New Roman"/>
                <w:lang w:val="lt-LT"/>
              </w:rPr>
              <w:t xml:space="preserve"> arba </w:t>
            </w:r>
            <w:r w:rsidR="00B14476">
              <w:rPr>
                <w:rFonts w:ascii="Times New Roman" w:hAnsi="Times New Roman" w:cs="Times New Roman"/>
                <w:lang w:val="lt-LT"/>
              </w:rPr>
              <w:t>lygiavertė</w:t>
            </w:r>
            <w:r w:rsidR="0056468F" w:rsidRPr="003F5AF6">
              <w:rPr>
                <w:rFonts w:ascii="Times New Roman" w:hAnsi="Times New Roman" w:cs="Times New Roman"/>
                <w:lang w:val="lt-LT"/>
              </w:rPr>
              <w:t xml:space="preserve"> </w:t>
            </w:r>
            <w:r w:rsidR="00F306AE" w:rsidRPr="003F5AF6">
              <w:rPr>
                <w:rFonts w:ascii="Times New Roman" w:hAnsi="Times New Roman" w:cs="Times New Roman"/>
                <w:lang w:val="lt-LT"/>
              </w:rPr>
              <w:t xml:space="preserve">biologinės saugos spinta, skirta </w:t>
            </w:r>
            <w:r w:rsidR="00F306AE" w:rsidRPr="003F5AF6">
              <w:rPr>
                <w:rFonts w:ascii="Times New Roman" w:hAnsi="Times New Roman" w:cs="Times New Roman"/>
                <w:lang w:val="lt-LT"/>
              </w:rPr>
              <w:lastRenderedPageBreak/>
              <w:t>darbui su biologinėmis medžiagomis, kai būtina naudotojo, produkto ir aplinkos apsauga bei 100 % ištraukiamo oro režimas</w:t>
            </w:r>
          </w:p>
        </w:tc>
        <w:tc>
          <w:tcPr>
            <w:tcW w:w="3162" w:type="dxa"/>
          </w:tcPr>
          <w:p w14:paraId="3A788CE5" w14:textId="0BE1B6EF" w:rsidR="00F306AE" w:rsidRPr="003F5AF6" w:rsidRDefault="00F306AE" w:rsidP="00CA3DBA">
            <w:pPr>
              <w:spacing w:line="276" w:lineRule="auto"/>
              <w:rPr>
                <w:rFonts w:ascii="Times New Roman" w:hAnsi="Times New Roman" w:cs="Times New Roman"/>
                <w:lang w:val="lt-LT"/>
              </w:rPr>
            </w:pPr>
          </w:p>
        </w:tc>
      </w:tr>
      <w:tr w:rsidR="00F306AE" w:rsidRPr="003F5AF6" w14:paraId="3B617A5D" w14:textId="77777777" w:rsidTr="007146AE">
        <w:tc>
          <w:tcPr>
            <w:tcW w:w="0" w:type="auto"/>
            <w:hideMark/>
          </w:tcPr>
          <w:p w14:paraId="57B70E06"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2.</w:t>
            </w:r>
          </w:p>
        </w:tc>
        <w:tc>
          <w:tcPr>
            <w:tcW w:w="1962" w:type="dxa"/>
            <w:hideMark/>
          </w:tcPr>
          <w:p w14:paraId="24A1F0D8"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Oro srauto tipas</w:t>
            </w:r>
          </w:p>
        </w:tc>
        <w:tc>
          <w:tcPr>
            <w:tcW w:w="0" w:type="auto"/>
            <w:hideMark/>
          </w:tcPr>
          <w:p w14:paraId="73A16130"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 xml:space="preserve">100 % ištraukiamo oro režimas, be vidinės </w:t>
            </w:r>
            <w:proofErr w:type="spellStart"/>
            <w:r w:rsidRPr="003F5AF6">
              <w:rPr>
                <w:rFonts w:ascii="Times New Roman" w:hAnsi="Times New Roman" w:cs="Times New Roman"/>
                <w:lang w:val="lt-LT"/>
              </w:rPr>
              <w:t>recirkuliacijos</w:t>
            </w:r>
            <w:proofErr w:type="spellEnd"/>
          </w:p>
        </w:tc>
        <w:tc>
          <w:tcPr>
            <w:tcW w:w="3162" w:type="dxa"/>
          </w:tcPr>
          <w:p w14:paraId="111A5CA9" w14:textId="6D339842" w:rsidR="00F306AE" w:rsidRPr="003F5AF6" w:rsidRDefault="00F306AE" w:rsidP="00CA3DBA">
            <w:pPr>
              <w:spacing w:line="276" w:lineRule="auto"/>
              <w:rPr>
                <w:rFonts w:ascii="Times New Roman" w:hAnsi="Times New Roman" w:cs="Times New Roman"/>
                <w:lang w:val="lt-LT"/>
              </w:rPr>
            </w:pPr>
          </w:p>
        </w:tc>
      </w:tr>
      <w:tr w:rsidR="00F306AE" w:rsidRPr="003F5AF6" w14:paraId="61733419" w14:textId="77777777" w:rsidTr="007146AE">
        <w:tc>
          <w:tcPr>
            <w:tcW w:w="0" w:type="auto"/>
            <w:hideMark/>
          </w:tcPr>
          <w:p w14:paraId="25A019C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3.</w:t>
            </w:r>
          </w:p>
        </w:tc>
        <w:tc>
          <w:tcPr>
            <w:tcW w:w="1962" w:type="dxa"/>
            <w:hideMark/>
          </w:tcPr>
          <w:p w14:paraId="0A08BE09" w14:textId="67E20EC0" w:rsidR="00F306AE" w:rsidRPr="006A0430" w:rsidRDefault="00FC4706" w:rsidP="00CA3DBA">
            <w:pPr>
              <w:spacing w:line="276" w:lineRule="auto"/>
              <w:rPr>
                <w:rFonts w:ascii="Times New Roman" w:hAnsi="Times New Roman" w:cs="Times New Roman"/>
                <w:lang w:val="lt-LT"/>
              </w:rPr>
            </w:pPr>
            <w:r w:rsidRPr="006A0430">
              <w:rPr>
                <w:rFonts w:ascii="Times New Roman" w:hAnsi="Times New Roman" w:cs="Times New Roman"/>
                <w:lang w:val="lt-LT"/>
              </w:rPr>
              <w:t>Vidinis kameros plotis</w:t>
            </w:r>
          </w:p>
        </w:tc>
        <w:tc>
          <w:tcPr>
            <w:tcW w:w="0" w:type="auto"/>
            <w:hideMark/>
          </w:tcPr>
          <w:p w14:paraId="0C6F063C" w14:textId="1461D6C4"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 xml:space="preserve">1,2 m (± 10 proc.) </w:t>
            </w:r>
          </w:p>
        </w:tc>
        <w:tc>
          <w:tcPr>
            <w:tcW w:w="3162" w:type="dxa"/>
          </w:tcPr>
          <w:p w14:paraId="1A4EF0A9" w14:textId="6F6506F9" w:rsidR="00F306AE" w:rsidRPr="003F5AF6" w:rsidRDefault="00F306AE" w:rsidP="00CA3DBA">
            <w:pPr>
              <w:spacing w:line="276" w:lineRule="auto"/>
              <w:rPr>
                <w:rFonts w:ascii="Times New Roman" w:hAnsi="Times New Roman" w:cs="Times New Roman"/>
                <w:lang w:val="lt-LT"/>
              </w:rPr>
            </w:pPr>
          </w:p>
        </w:tc>
      </w:tr>
      <w:tr w:rsidR="00F306AE" w:rsidRPr="003F5AF6" w14:paraId="251BD9EB" w14:textId="77777777" w:rsidTr="007146AE">
        <w:tc>
          <w:tcPr>
            <w:tcW w:w="0" w:type="auto"/>
            <w:hideMark/>
          </w:tcPr>
          <w:p w14:paraId="1BA27F79"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4.</w:t>
            </w:r>
          </w:p>
        </w:tc>
        <w:tc>
          <w:tcPr>
            <w:tcW w:w="1962" w:type="dxa"/>
            <w:hideMark/>
          </w:tcPr>
          <w:p w14:paraId="4400F702"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Išorinis plotis</w:t>
            </w:r>
          </w:p>
        </w:tc>
        <w:tc>
          <w:tcPr>
            <w:tcW w:w="0" w:type="auto"/>
            <w:hideMark/>
          </w:tcPr>
          <w:p w14:paraId="7410EE73"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Ne didesnis kaip 1450 mm</w:t>
            </w:r>
          </w:p>
        </w:tc>
        <w:tc>
          <w:tcPr>
            <w:tcW w:w="3162" w:type="dxa"/>
          </w:tcPr>
          <w:p w14:paraId="4898B31A" w14:textId="11C966FC" w:rsidR="00F306AE" w:rsidRPr="003F5AF6" w:rsidRDefault="00F306AE" w:rsidP="00CA3DBA">
            <w:pPr>
              <w:spacing w:line="276" w:lineRule="auto"/>
              <w:rPr>
                <w:rFonts w:ascii="Times New Roman" w:hAnsi="Times New Roman" w:cs="Times New Roman"/>
                <w:lang w:val="lt-LT"/>
              </w:rPr>
            </w:pPr>
          </w:p>
        </w:tc>
      </w:tr>
      <w:tr w:rsidR="00F306AE" w:rsidRPr="003F5AF6" w14:paraId="04F69C27" w14:textId="77777777" w:rsidTr="007146AE">
        <w:tc>
          <w:tcPr>
            <w:tcW w:w="0" w:type="auto"/>
            <w:hideMark/>
          </w:tcPr>
          <w:p w14:paraId="3883CE4F"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5.</w:t>
            </w:r>
          </w:p>
        </w:tc>
        <w:tc>
          <w:tcPr>
            <w:tcW w:w="1962" w:type="dxa"/>
            <w:hideMark/>
          </w:tcPr>
          <w:p w14:paraId="338E808C"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Išorinis gylis</w:t>
            </w:r>
          </w:p>
        </w:tc>
        <w:tc>
          <w:tcPr>
            <w:tcW w:w="0" w:type="auto"/>
            <w:hideMark/>
          </w:tcPr>
          <w:p w14:paraId="7CE63826"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Ne didesnis kaip 900 mm</w:t>
            </w:r>
          </w:p>
        </w:tc>
        <w:tc>
          <w:tcPr>
            <w:tcW w:w="3162" w:type="dxa"/>
          </w:tcPr>
          <w:p w14:paraId="2704F9F9" w14:textId="76809401" w:rsidR="00F306AE" w:rsidRPr="003F5AF6" w:rsidRDefault="00F306AE" w:rsidP="00CA3DBA">
            <w:pPr>
              <w:spacing w:line="276" w:lineRule="auto"/>
              <w:rPr>
                <w:rFonts w:ascii="Times New Roman" w:hAnsi="Times New Roman" w:cs="Times New Roman"/>
                <w:lang w:val="lt-LT"/>
              </w:rPr>
            </w:pPr>
          </w:p>
        </w:tc>
      </w:tr>
      <w:tr w:rsidR="00F306AE" w:rsidRPr="003F5AF6" w14:paraId="438A445E" w14:textId="77777777" w:rsidTr="007146AE">
        <w:tc>
          <w:tcPr>
            <w:tcW w:w="0" w:type="auto"/>
            <w:hideMark/>
          </w:tcPr>
          <w:p w14:paraId="03D13DB8"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6.</w:t>
            </w:r>
          </w:p>
        </w:tc>
        <w:tc>
          <w:tcPr>
            <w:tcW w:w="1962" w:type="dxa"/>
            <w:hideMark/>
          </w:tcPr>
          <w:p w14:paraId="0D395C24"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Darbo angos aukštis</w:t>
            </w:r>
          </w:p>
        </w:tc>
        <w:tc>
          <w:tcPr>
            <w:tcW w:w="0" w:type="auto"/>
            <w:hideMark/>
          </w:tcPr>
          <w:p w14:paraId="6C908F9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Darbinė priekinio lango anga ne mažesnė kaip 200 mm</w:t>
            </w:r>
          </w:p>
        </w:tc>
        <w:tc>
          <w:tcPr>
            <w:tcW w:w="3162" w:type="dxa"/>
          </w:tcPr>
          <w:p w14:paraId="00E09A40" w14:textId="3DBAEEFD" w:rsidR="00F306AE" w:rsidRPr="003F5AF6" w:rsidRDefault="00F306AE" w:rsidP="00CA3DBA">
            <w:pPr>
              <w:spacing w:line="276" w:lineRule="auto"/>
              <w:rPr>
                <w:rFonts w:ascii="Times New Roman" w:hAnsi="Times New Roman" w:cs="Times New Roman"/>
                <w:lang w:val="lt-LT"/>
              </w:rPr>
            </w:pPr>
          </w:p>
        </w:tc>
      </w:tr>
      <w:tr w:rsidR="00F306AE" w:rsidRPr="003F5AF6" w14:paraId="3AB55CAE" w14:textId="77777777" w:rsidTr="007146AE">
        <w:tc>
          <w:tcPr>
            <w:tcW w:w="0" w:type="auto"/>
            <w:hideMark/>
          </w:tcPr>
          <w:p w14:paraId="2A6DB00E"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7.</w:t>
            </w:r>
          </w:p>
        </w:tc>
        <w:tc>
          <w:tcPr>
            <w:tcW w:w="1962" w:type="dxa"/>
            <w:hideMark/>
          </w:tcPr>
          <w:p w14:paraId="4D07C939"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Oro įtraukimo greitis</w:t>
            </w:r>
          </w:p>
        </w:tc>
        <w:tc>
          <w:tcPr>
            <w:tcW w:w="0" w:type="auto"/>
            <w:hideMark/>
          </w:tcPr>
          <w:p w14:paraId="3EBF7C2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Ne mažesnis kaip 0,50 m/s</w:t>
            </w:r>
          </w:p>
        </w:tc>
        <w:tc>
          <w:tcPr>
            <w:tcW w:w="3162" w:type="dxa"/>
          </w:tcPr>
          <w:p w14:paraId="5309D175" w14:textId="476F26DE" w:rsidR="00F306AE" w:rsidRPr="003F5AF6" w:rsidRDefault="00F306AE" w:rsidP="00CA3DBA">
            <w:pPr>
              <w:spacing w:line="276" w:lineRule="auto"/>
              <w:rPr>
                <w:rFonts w:ascii="Times New Roman" w:hAnsi="Times New Roman" w:cs="Times New Roman"/>
                <w:lang w:val="lt-LT"/>
              </w:rPr>
            </w:pPr>
          </w:p>
        </w:tc>
      </w:tr>
      <w:tr w:rsidR="00F306AE" w:rsidRPr="003F5AF6" w14:paraId="7A658EE4" w14:textId="77777777" w:rsidTr="000051EF">
        <w:trPr>
          <w:trHeight w:val="731"/>
        </w:trPr>
        <w:tc>
          <w:tcPr>
            <w:tcW w:w="0" w:type="auto"/>
            <w:hideMark/>
          </w:tcPr>
          <w:p w14:paraId="5AB15D9F"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8.</w:t>
            </w:r>
          </w:p>
        </w:tc>
        <w:tc>
          <w:tcPr>
            <w:tcW w:w="1962" w:type="dxa"/>
            <w:hideMark/>
          </w:tcPr>
          <w:p w14:paraId="6161718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Vertikalus žemyn nukreipto oro srautas</w:t>
            </w:r>
          </w:p>
        </w:tc>
        <w:tc>
          <w:tcPr>
            <w:tcW w:w="0" w:type="auto"/>
            <w:hideMark/>
          </w:tcPr>
          <w:p w14:paraId="724C4C69"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Ne mažesnis kaip 0,30 m/s</w:t>
            </w:r>
          </w:p>
        </w:tc>
        <w:tc>
          <w:tcPr>
            <w:tcW w:w="3162" w:type="dxa"/>
          </w:tcPr>
          <w:p w14:paraId="741C3D38" w14:textId="0E32ED04" w:rsidR="00F306AE" w:rsidRPr="003F5AF6" w:rsidRDefault="00F306AE" w:rsidP="00CA3DBA">
            <w:pPr>
              <w:spacing w:line="276" w:lineRule="auto"/>
              <w:rPr>
                <w:rFonts w:ascii="Times New Roman" w:hAnsi="Times New Roman" w:cs="Times New Roman"/>
                <w:lang w:val="lt-LT"/>
              </w:rPr>
            </w:pPr>
          </w:p>
        </w:tc>
      </w:tr>
      <w:tr w:rsidR="00F306AE" w:rsidRPr="003F5AF6" w14:paraId="2398B6F8" w14:textId="77777777" w:rsidTr="007146AE">
        <w:tc>
          <w:tcPr>
            <w:tcW w:w="0" w:type="auto"/>
            <w:hideMark/>
          </w:tcPr>
          <w:p w14:paraId="2527C348"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9.</w:t>
            </w:r>
          </w:p>
        </w:tc>
        <w:tc>
          <w:tcPr>
            <w:tcW w:w="1962" w:type="dxa"/>
            <w:hideMark/>
          </w:tcPr>
          <w:p w14:paraId="017B5DC7"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Filtravimas</w:t>
            </w:r>
          </w:p>
        </w:tc>
        <w:tc>
          <w:tcPr>
            <w:tcW w:w="0" w:type="auto"/>
            <w:hideMark/>
          </w:tcPr>
          <w:p w14:paraId="0CA76EC5" w14:textId="13CEB1E9" w:rsidR="00F306AE" w:rsidRPr="000051EF" w:rsidRDefault="00ED2D89" w:rsidP="00CA3DBA">
            <w:pPr>
              <w:spacing w:line="276" w:lineRule="auto"/>
              <w:rPr>
                <w:rFonts w:ascii="Times New Roman" w:hAnsi="Times New Roman" w:cs="Times New Roman"/>
                <w:lang w:val="lt-LT"/>
              </w:rPr>
            </w:pPr>
            <w:r>
              <w:rPr>
                <w:rFonts w:ascii="Times New Roman" w:hAnsi="Times New Roman" w:cs="Times New Roman"/>
                <w:lang w:val="lt-LT"/>
              </w:rPr>
              <w:t>Į</w:t>
            </w:r>
            <w:r w:rsidR="00F306AE" w:rsidRPr="000051EF">
              <w:rPr>
                <w:rFonts w:ascii="Times New Roman" w:hAnsi="Times New Roman" w:cs="Times New Roman"/>
                <w:lang w:val="lt-LT"/>
              </w:rPr>
              <w:t>rengti tiekimo ir išmetimo HEPA ir / arba ULPA filtrai; filtravimo efektyvumas ne mažesnis kaip 99,99 %</w:t>
            </w:r>
            <w:r w:rsidR="00C627B6" w:rsidRPr="000051EF">
              <w:rPr>
                <w:rFonts w:ascii="Times New Roman" w:hAnsi="Times New Roman" w:cs="Times New Roman"/>
                <w:lang w:val="lt-LT"/>
              </w:rPr>
              <w:t>.</w:t>
            </w:r>
          </w:p>
          <w:p w14:paraId="74C94CBE" w14:textId="291A8149" w:rsidR="00C627B6" w:rsidRPr="000051EF" w:rsidRDefault="00C627B6" w:rsidP="00CA3DBA">
            <w:pPr>
              <w:spacing w:line="276" w:lineRule="auto"/>
              <w:rPr>
                <w:rFonts w:ascii="Times New Roman" w:hAnsi="Times New Roman" w:cs="Times New Roman"/>
                <w:lang w:val="lt-LT"/>
              </w:rPr>
            </w:pPr>
            <w:r w:rsidRPr="000051EF">
              <w:rPr>
                <w:rFonts w:ascii="Times New Roman" w:hAnsi="Times New Roman" w:cs="Times New Roman"/>
                <w:lang w:val="lt-LT"/>
              </w:rPr>
              <w:t>Filtravimo sistema turi užtikrinti ne mažiau kaip ISO</w:t>
            </w:r>
            <w:r w:rsidR="00150944" w:rsidRPr="000051EF">
              <w:rPr>
                <w:rFonts w:ascii="Times New Roman" w:hAnsi="Times New Roman" w:cs="Times New Roman"/>
                <w:lang w:val="lt-LT"/>
              </w:rPr>
              <w:t>5</w:t>
            </w:r>
            <w:r w:rsidRPr="000051EF">
              <w:rPr>
                <w:rFonts w:ascii="Times New Roman" w:hAnsi="Times New Roman" w:cs="Times New Roman"/>
                <w:lang w:val="lt-LT"/>
              </w:rPr>
              <w:t xml:space="preserve"> </w:t>
            </w:r>
            <w:r w:rsidR="003E1B75" w:rsidRPr="000051EF">
              <w:rPr>
                <w:rFonts w:ascii="Times New Roman" w:hAnsi="Times New Roman" w:cs="Times New Roman"/>
                <w:lang w:val="lt-LT"/>
              </w:rPr>
              <w:t>darbo zonos filtravimą.</w:t>
            </w:r>
          </w:p>
        </w:tc>
        <w:tc>
          <w:tcPr>
            <w:tcW w:w="3162" w:type="dxa"/>
          </w:tcPr>
          <w:p w14:paraId="699210BB" w14:textId="52BB682D" w:rsidR="00F306AE" w:rsidRPr="003F5AF6" w:rsidRDefault="00F306AE" w:rsidP="00CA3DBA">
            <w:pPr>
              <w:spacing w:line="276" w:lineRule="auto"/>
              <w:rPr>
                <w:rFonts w:ascii="Times New Roman" w:hAnsi="Times New Roman" w:cs="Times New Roman"/>
                <w:lang w:val="lt-LT"/>
              </w:rPr>
            </w:pPr>
          </w:p>
        </w:tc>
      </w:tr>
      <w:tr w:rsidR="00F306AE" w:rsidRPr="003F5AF6" w14:paraId="57B92E54" w14:textId="77777777" w:rsidTr="007146AE">
        <w:tc>
          <w:tcPr>
            <w:tcW w:w="0" w:type="auto"/>
            <w:hideMark/>
          </w:tcPr>
          <w:p w14:paraId="34B00430"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10.</w:t>
            </w:r>
          </w:p>
        </w:tc>
        <w:tc>
          <w:tcPr>
            <w:tcW w:w="1962" w:type="dxa"/>
            <w:hideMark/>
          </w:tcPr>
          <w:p w14:paraId="5F9D72D6"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Darbo kameros medžiaga</w:t>
            </w:r>
          </w:p>
        </w:tc>
        <w:tc>
          <w:tcPr>
            <w:tcW w:w="0" w:type="auto"/>
            <w:hideMark/>
          </w:tcPr>
          <w:p w14:paraId="364B6DEF" w14:textId="7BA36898" w:rsidR="00F306AE" w:rsidRPr="000051EF" w:rsidRDefault="00F306AE" w:rsidP="00CA3DBA">
            <w:pPr>
              <w:spacing w:line="276" w:lineRule="auto"/>
              <w:rPr>
                <w:rFonts w:ascii="Times New Roman" w:hAnsi="Times New Roman" w:cs="Times New Roman"/>
                <w:lang w:val="lt-LT"/>
              </w:rPr>
            </w:pPr>
            <w:r w:rsidRPr="000051EF">
              <w:rPr>
                <w:rFonts w:ascii="Times New Roman" w:hAnsi="Times New Roman" w:cs="Times New Roman"/>
                <w:lang w:val="lt-LT"/>
              </w:rPr>
              <w:t>Nerūdijantis plienas</w:t>
            </w:r>
            <w:r w:rsidR="00A15E0B">
              <w:rPr>
                <w:rFonts w:ascii="Times New Roman" w:hAnsi="Times New Roman" w:cs="Times New Roman"/>
                <w:lang w:val="lt-LT"/>
              </w:rPr>
              <w:t xml:space="preserve"> </w:t>
            </w:r>
            <w:r w:rsidRPr="000051EF">
              <w:rPr>
                <w:rFonts w:ascii="Times New Roman" w:hAnsi="Times New Roman" w:cs="Times New Roman"/>
                <w:lang w:val="lt-LT"/>
              </w:rPr>
              <w:t>ne žemesnės kaip AISI / Type 304 klasės arba lygiavertė medžiaga</w:t>
            </w:r>
          </w:p>
        </w:tc>
        <w:tc>
          <w:tcPr>
            <w:tcW w:w="3162" w:type="dxa"/>
          </w:tcPr>
          <w:p w14:paraId="06C53CC6" w14:textId="5F3B16FD" w:rsidR="00F306AE" w:rsidRPr="003F5AF6" w:rsidRDefault="00F306AE" w:rsidP="00CA3DBA">
            <w:pPr>
              <w:spacing w:line="276" w:lineRule="auto"/>
              <w:rPr>
                <w:rFonts w:ascii="Times New Roman" w:hAnsi="Times New Roman" w:cs="Times New Roman"/>
                <w:lang w:val="lt-LT"/>
              </w:rPr>
            </w:pPr>
          </w:p>
        </w:tc>
      </w:tr>
      <w:tr w:rsidR="00F306AE" w:rsidRPr="003F5AF6" w14:paraId="7FEDB5A2" w14:textId="77777777" w:rsidTr="007146AE">
        <w:tc>
          <w:tcPr>
            <w:tcW w:w="0" w:type="auto"/>
            <w:hideMark/>
          </w:tcPr>
          <w:p w14:paraId="76332168"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11.</w:t>
            </w:r>
          </w:p>
        </w:tc>
        <w:tc>
          <w:tcPr>
            <w:tcW w:w="1962" w:type="dxa"/>
            <w:hideMark/>
          </w:tcPr>
          <w:p w14:paraId="22958B45"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Valdymas</w:t>
            </w:r>
          </w:p>
        </w:tc>
        <w:tc>
          <w:tcPr>
            <w:tcW w:w="0" w:type="auto"/>
            <w:hideMark/>
          </w:tcPr>
          <w:p w14:paraId="5E0C8C8A" w14:textId="704BCA36" w:rsidR="00F306AE" w:rsidRPr="000051EF" w:rsidRDefault="00F306AE" w:rsidP="00CA3DBA">
            <w:pPr>
              <w:spacing w:line="276" w:lineRule="auto"/>
              <w:rPr>
                <w:rFonts w:ascii="Times New Roman" w:hAnsi="Times New Roman" w:cs="Times New Roman"/>
                <w:lang w:val="lt-LT"/>
              </w:rPr>
            </w:pPr>
            <w:proofErr w:type="spellStart"/>
            <w:r w:rsidRPr="000051EF">
              <w:rPr>
                <w:rFonts w:ascii="Times New Roman" w:hAnsi="Times New Roman" w:cs="Times New Roman"/>
                <w:lang w:val="lt-LT"/>
              </w:rPr>
              <w:t>Mikroprocesorinis</w:t>
            </w:r>
            <w:proofErr w:type="spellEnd"/>
            <w:r w:rsidRPr="000051EF">
              <w:rPr>
                <w:rFonts w:ascii="Times New Roman" w:hAnsi="Times New Roman" w:cs="Times New Roman"/>
                <w:lang w:val="lt-LT"/>
              </w:rPr>
              <w:t xml:space="preserve"> arba elektroninis valdymas su ekranu, kuriame atvaizduojami darbo ir saugos parametrai</w:t>
            </w:r>
          </w:p>
        </w:tc>
        <w:tc>
          <w:tcPr>
            <w:tcW w:w="3162" w:type="dxa"/>
          </w:tcPr>
          <w:p w14:paraId="227865FF" w14:textId="78EDDFF1" w:rsidR="00F306AE" w:rsidRPr="003F5AF6" w:rsidRDefault="00F306AE" w:rsidP="00CA3DBA">
            <w:pPr>
              <w:spacing w:line="276" w:lineRule="auto"/>
              <w:rPr>
                <w:rFonts w:ascii="Times New Roman" w:hAnsi="Times New Roman" w:cs="Times New Roman"/>
                <w:lang w:val="lt-LT"/>
              </w:rPr>
            </w:pPr>
          </w:p>
        </w:tc>
      </w:tr>
      <w:tr w:rsidR="00F306AE" w:rsidRPr="003F5AF6" w14:paraId="325C5FBC" w14:textId="77777777" w:rsidTr="007146AE">
        <w:tc>
          <w:tcPr>
            <w:tcW w:w="0" w:type="auto"/>
            <w:hideMark/>
          </w:tcPr>
          <w:p w14:paraId="5D5E0B6D"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12.</w:t>
            </w:r>
          </w:p>
        </w:tc>
        <w:tc>
          <w:tcPr>
            <w:tcW w:w="1962" w:type="dxa"/>
            <w:hideMark/>
          </w:tcPr>
          <w:p w14:paraId="7BE92CEF"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Aliarmų sistema</w:t>
            </w:r>
          </w:p>
        </w:tc>
        <w:tc>
          <w:tcPr>
            <w:tcW w:w="0" w:type="auto"/>
            <w:hideMark/>
          </w:tcPr>
          <w:p w14:paraId="05C3DF0D" w14:textId="77777777" w:rsidR="00CC75F2" w:rsidRPr="000051EF" w:rsidRDefault="00D20CB1" w:rsidP="00CA3DBA">
            <w:pPr>
              <w:spacing w:line="276" w:lineRule="auto"/>
              <w:rPr>
                <w:rFonts w:ascii="Times New Roman" w:hAnsi="Times New Roman" w:cs="Times New Roman"/>
                <w:lang w:val="lt-LT"/>
              </w:rPr>
            </w:pPr>
            <w:r w:rsidRPr="000051EF">
              <w:rPr>
                <w:rFonts w:ascii="Times New Roman" w:hAnsi="Times New Roman" w:cs="Times New Roman"/>
                <w:lang w:val="lt-LT"/>
              </w:rPr>
              <w:t>G</w:t>
            </w:r>
            <w:r w:rsidR="00F306AE" w:rsidRPr="000051EF">
              <w:rPr>
                <w:rFonts w:ascii="Times New Roman" w:hAnsi="Times New Roman" w:cs="Times New Roman"/>
                <w:lang w:val="lt-LT"/>
              </w:rPr>
              <w:t>arsiniai ir vaizdiniai aliarmų signalai, informuojantys apie</w:t>
            </w:r>
            <w:r w:rsidR="004800A8" w:rsidRPr="000051EF">
              <w:rPr>
                <w:rFonts w:ascii="Times New Roman" w:hAnsi="Times New Roman" w:cs="Times New Roman"/>
                <w:lang w:val="lt-LT"/>
              </w:rPr>
              <w:t xml:space="preserve"> ne mažiau kaip:</w:t>
            </w:r>
          </w:p>
          <w:p w14:paraId="3B6DD2F2" w14:textId="42E4EC75" w:rsidR="00F306AE" w:rsidRPr="000051EF" w:rsidRDefault="00F306AE" w:rsidP="00CA3DBA">
            <w:pPr>
              <w:spacing w:line="276" w:lineRule="auto"/>
              <w:rPr>
                <w:rFonts w:ascii="Times New Roman" w:hAnsi="Times New Roman" w:cs="Times New Roman"/>
                <w:lang w:val="lt-LT"/>
              </w:rPr>
            </w:pPr>
            <w:r w:rsidRPr="000051EF">
              <w:rPr>
                <w:rFonts w:ascii="Times New Roman" w:hAnsi="Times New Roman" w:cs="Times New Roman"/>
                <w:lang w:val="lt-LT"/>
              </w:rPr>
              <w:t>nesaugias darbo sąlygas ir oro srautų ištraukimo sutrikimus</w:t>
            </w:r>
          </w:p>
        </w:tc>
        <w:tc>
          <w:tcPr>
            <w:tcW w:w="3162" w:type="dxa"/>
          </w:tcPr>
          <w:p w14:paraId="7F426CFF" w14:textId="58B5204D" w:rsidR="00F306AE" w:rsidRPr="003F5AF6" w:rsidRDefault="00F306AE" w:rsidP="00CA3DBA">
            <w:pPr>
              <w:spacing w:line="276" w:lineRule="auto"/>
              <w:rPr>
                <w:rFonts w:ascii="Times New Roman" w:hAnsi="Times New Roman" w:cs="Times New Roman"/>
                <w:lang w:val="lt-LT"/>
              </w:rPr>
            </w:pPr>
          </w:p>
        </w:tc>
      </w:tr>
      <w:tr w:rsidR="00F306AE" w:rsidRPr="003F5AF6" w14:paraId="688D84E7" w14:textId="77777777" w:rsidTr="007146AE">
        <w:tc>
          <w:tcPr>
            <w:tcW w:w="0" w:type="auto"/>
            <w:hideMark/>
          </w:tcPr>
          <w:p w14:paraId="1CD174C2"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13.</w:t>
            </w:r>
          </w:p>
        </w:tc>
        <w:tc>
          <w:tcPr>
            <w:tcW w:w="1962" w:type="dxa"/>
            <w:hideMark/>
          </w:tcPr>
          <w:p w14:paraId="2A78F891"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Apsauga nutrūkus ištraukimui</w:t>
            </w:r>
          </w:p>
        </w:tc>
        <w:tc>
          <w:tcPr>
            <w:tcW w:w="0" w:type="auto"/>
            <w:hideMark/>
          </w:tcPr>
          <w:p w14:paraId="7DE48E17" w14:textId="045B18E2"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Spinta turi automatinę apsaugą arba blokavimą, kuris užtikrintų saugų veikimą sutrikus oro ištraukimui į išorę.</w:t>
            </w:r>
          </w:p>
        </w:tc>
        <w:tc>
          <w:tcPr>
            <w:tcW w:w="3162" w:type="dxa"/>
          </w:tcPr>
          <w:p w14:paraId="442C0A22" w14:textId="1ACE5ED5" w:rsidR="00F306AE" w:rsidRPr="003F5AF6" w:rsidRDefault="00F306AE" w:rsidP="00CA3DBA">
            <w:pPr>
              <w:spacing w:line="276" w:lineRule="auto"/>
              <w:rPr>
                <w:rFonts w:ascii="Times New Roman" w:hAnsi="Times New Roman" w:cs="Times New Roman"/>
                <w:lang w:val="lt-LT"/>
              </w:rPr>
            </w:pPr>
          </w:p>
        </w:tc>
      </w:tr>
      <w:tr w:rsidR="00F306AE" w:rsidRPr="003F5AF6" w14:paraId="1A12D175" w14:textId="77777777" w:rsidTr="007146AE">
        <w:tc>
          <w:tcPr>
            <w:tcW w:w="0" w:type="auto"/>
            <w:hideMark/>
          </w:tcPr>
          <w:p w14:paraId="183087DC"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14.</w:t>
            </w:r>
          </w:p>
        </w:tc>
        <w:tc>
          <w:tcPr>
            <w:tcW w:w="1962" w:type="dxa"/>
            <w:hideMark/>
          </w:tcPr>
          <w:p w14:paraId="18D8B2A7"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Pajungimas prie išorinės ištraukimo sistemos</w:t>
            </w:r>
          </w:p>
        </w:tc>
        <w:tc>
          <w:tcPr>
            <w:tcW w:w="0" w:type="auto"/>
            <w:hideMark/>
          </w:tcPr>
          <w:p w14:paraId="4C4A7F31" w14:textId="23C7EC6C"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Spinta pritaikyta tiesioginiam prijungimui prie išorinės ištraukimo sistemos</w:t>
            </w:r>
          </w:p>
        </w:tc>
        <w:tc>
          <w:tcPr>
            <w:tcW w:w="3162" w:type="dxa"/>
          </w:tcPr>
          <w:p w14:paraId="60FE626D" w14:textId="7A18D03E" w:rsidR="00F306AE" w:rsidRPr="003F5AF6" w:rsidRDefault="00F306AE" w:rsidP="00CA3DBA">
            <w:pPr>
              <w:spacing w:line="276" w:lineRule="auto"/>
              <w:rPr>
                <w:rFonts w:ascii="Times New Roman" w:hAnsi="Times New Roman" w:cs="Times New Roman"/>
                <w:lang w:val="lt-LT"/>
              </w:rPr>
            </w:pPr>
          </w:p>
        </w:tc>
      </w:tr>
      <w:tr w:rsidR="00F306AE" w:rsidRPr="003F5AF6" w14:paraId="698CA8AE" w14:textId="77777777" w:rsidTr="007146AE">
        <w:tc>
          <w:tcPr>
            <w:tcW w:w="0" w:type="auto"/>
            <w:hideMark/>
          </w:tcPr>
          <w:p w14:paraId="5EFA3185"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15.</w:t>
            </w:r>
          </w:p>
        </w:tc>
        <w:tc>
          <w:tcPr>
            <w:tcW w:w="1962" w:type="dxa"/>
            <w:hideMark/>
          </w:tcPr>
          <w:p w14:paraId="3F4AA81D" w14:textId="7777777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Komplektacija</w:t>
            </w:r>
          </w:p>
        </w:tc>
        <w:tc>
          <w:tcPr>
            <w:tcW w:w="0" w:type="auto"/>
            <w:hideMark/>
          </w:tcPr>
          <w:p w14:paraId="2E20307C" w14:textId="52D2B15F" w:rsidR="00F306AE" w:rsidRPr="003F5AF6" w:rsidRDefault="001C476F" w:rsidP="00CA3DBA">
            <w:pPr>
              <w:spacing w:line="276" w:lineRule="auto"/>
              <w:rPr>
                <w:rFonts w:ascii="Times New Roman" w:hAnsi="Times New Roman" w:cs="Times New Roman"/>
                <w:lang w:val="lt-LT"/>
              </w:rPr>
            </w:pPr>
            <w:r w:rsidRPr="003F5AF6">
              <w:rPr>
                <w:rFonts w:ascii="Times New Roman" w:hAnsi="Times New Roman" w:cs="Times New Roman"/>
                <w:lang w:val="lt-LT"/>
              </w:rPr>
              <w:t>P</w:t>
            </w:r>
            <w:r w:rsidR="00F306AE" w:rsidRPr="003F5AF6">
              <w:rPr>
                <w:rFonts w:ascii="Times New Roman" w:hAnsi="Times New Roman" w:cs="Times New Roman"/>
                <w:lang w:val="lt-LT"/>
              </w:rPr>
              <w:t>ateikiama su gamintojo stovu arba kita saugia atramine konstrukcija, reikalinga eksploatacijai, bei su visais būtinais standartinės komplektacijos elementais</w:t>
            </w:r>
          </w:p>
        </w:tc>
        <w:tc>
          <w:tcPr>
            <w:tcW w:w="3162" w:type="dxa"/>
          </w:tcPr>
          <w:p w14:paraId="23F0D79F" w14:textId="24F9C393" w:rsidR="00F306AE" w:rsidRPr="003F5AF6" w:rsidRDefault="00F306AE" w:rsidP="00CA3DBA">
            <w:pPr>
              <w:spacing w:line="276" w:lineRule="auto"/>
              <w:rPr>
                <w:rFonts w:ascii="Times New Roman" w:hAnsi="Times New Roman" w:cs="Times New Roman"/>
                <w:lang w:val="lt-LT"/>
              </w:rPr>
            </w:pPr>
          </w:p>
        </w:tc>
      </w:tr>
      <w:tr w:rsidR="00F306AE" w:rsidRPr="003F5AF6" w14:paraId="76793020" w14:textId="77777777" w:rsidTr="007146AE">
        <w:tc>
          <w:tcPr>
            <w:tcW w:w="0" w:type="auto"/>
            <w:hideMark/>
          </w:tcPr>
          <w:p w14:paraId="7D0CDD5A" w14:textId="159683B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1</w:t>
            </w:r>
            <w:r w:rsidR="00175DFC">
              <w:rPr>
                <w:rFonts w:ascii="Times New Roman" w:hAnsi="Times New Roman" w:cs="Times New Roman"/>
                <w:lang w:val="lt-LT"/>
              </w:rPr>
              <w:t>6</w:t>
            </w:r>
            <w:r w:rsidRPr="003F5AF6">
              <w:rPr>
                <w:rFonts w:ascii="Times New Roman" w:hAnsi="Times New Roman" w:cs="Times New Roman"/>
                <w:lang w:val="lt-LT"/>
              </w:rPr>
              <w:t>.</w:t>
            </w:r>
          </w:p>
        </w:tc>
        <w:tc>
          <w:tcPr>
            <w:tcW w:w="1962" w:type="dxa"/>
            <w:hideMark/>
          </w:tcPr>
          <w:p w14:paraId="7194D0AF" w14:textId="50836467"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Garantija</w:t>
            </w:r>
          </w:p>
        </w:tc>
        <w:tc>
          <w:tcPr>
            <w:tcW w:w="0" w:type="auto"/>
            <w:hideMark/>
          </w:tcPr>
          <w:p w14:paraId="7516C7AD" w14:textId="53E969E4" w:rsidR="00F306AE" w:rsidRPr="003F5AF6" w:rsidRDefault="00F306AE" w:rsidP="00CA3DBA">
            <w:pPr>
              <w:spacing w:line="276" w:lineRule="auto"/>
              <w:rPr>
                <w:rFonts w:ascii="Times New Roman" w:hAnsi="Times New Roman" w:cs="Times New Roman"/>
                <w:lang w:val="lt-LT"/>
              </w:rPr>
            </w:pPr>
            <w:r w:rsidRPr="003F5AF6">
              <w:rPr>
                <w:rFonts w:ascii="Times New Roman" w:hAnsi="Times New Roman" w:cs="Times New Roman"/>
                <w:lang w:val="lt-LT"/>
              </w:rPr>
              <w:t xml:space="preserve">Ne mažiau kaip </w:t>
            </w:r>
            <w:r w:rsidR="0072203C">
              <w:rPr>
                <w:rFonts w:ascii="Times New Roman" w:hAnsi="Times New Roman" w:cs="Times New Roman"/>
                <w:lang w:val="lt-LT"/>
              </w:rPr>
              <w:t>36</w:t>
            </w:r>
            <w:r w:rsidRPr="003F5AF6">
              <w:rPr>
                <w:rFonts w:ascii="Times New Roman" w:hAnsi="Times New Roman" w:cs="Times New Roman"/>
                <w:lang w:val="lt-LT"/>
              </w:rPr>
              <w:t xml:space="preserve"> mėn.</w:t>
            </w:r>
          </w:p>
        </w:tc>
        <w:tc>
          <w:tcPr>
            <w:tcW w:w="3162" w:type="dxa"/>
          </w:tcPr>
          <w:p w14:paraId="05F72CAA" w14:textId="0C4A8A71" w:rsidR="00F306AE" w:rsidRPr="003F5AF6" w:rsidRDefault="00F306AE" w:rsidP="00CA3DBA">
            <w:pPr>
              <w:spacing w:line="276" w:lineRule="auto"/>
              <w:rPr>
                <w:rFonts w:ascii="Times New Roman" w:hAnsi="Times New Roman" w:cs="Times New Roman"/>
                <w:lang w:val="lt-LT"/>
              </w:rPr>
            </w:pPr>
          </w:p>
        </w:tc>
      </w:tr>
    </w:tbl>
    <w:p w14:paraId="1DAAC4AB" w14:textId="77777777" w:rsidR="00CD6E53" w:rsidRPr="00CD6E53" w:rsidRDefault="00CD6E53" w:rsidP="00CD6E53">
      <w:pPr>
        <w:spacing w:after="0" w:line="240" w:lineRule="auto"/>
        <w:ind w:firstLine="709"/>
        <w:jc w:val="both"/>
        <w:rPr>
          <w:rFonts w:ascii="Times New Roman" w:eastAsia="Calibri" w:hAnsi="Times New Roman" w:cs="Times New Roman"/>
          <w:i/>
          <w:iCs/>
          <w:sz w:val="20"/>
          <w:szCs w:val="20"/>
          <w:lang w:val="lt-LT"/>
        </w:rPr>
      </w:pPr>
      <w:r w:rsidRPr="00CD6E53">
        <w:rPr>
          <w:rFonts w:ascii="Times New Roman" w:eastAsia="Calibri" w:hAnsi="Times New Roman" w:cs="Times New Roman"/>
          <w:i/>
          <w:iCs/>
          <w:sz w:val="20"/>
          <w:szCs w:val="20"/>
          <w:lang w:val="lt-LT"/>
        </w:rPr>
        <w:lastRenderedPageBreak/>
        <w:t>Pastabos:</w:t>
      </w:r>
    </w:p>
    <w:p w14:paraId="3B479336" w14:textId="77777777" w:rsidR="00CD6E53" w:rsidRPr="00CD6E53" w:rsidRDefault="00CD6E53" w:rsidP="00CD6E53">
      <w:pPr>
        <w:spacing w:after="0" w:line="240" w:lineRule="auto"/>
        <w:ind w:firstLine="709"/>
        <w:jc w:val="both"/>
        <w:rPr>
          <w:rFonts w:ascii="Times New Roman" w:eastAsia="Calibri" w:hAnsi="Times New Roman" w:cs="Times New Roman"/>
          <w:i/>
          <w:iCs/>
          <w:sz w:val="20"/>
          <w:szCs w:val="20"/>
          <w:lang w:val="lt-LT"/>
        </w:rPr>
      </w:pPr>
      <w:r w:rsidRPr="00CD6E53">
        <w:rPr>
          <w:rFonts w:ascii="Times New Roman" w:eastAsia="Calibri" w:hAnsi="Times New Roman" w:cs="Times New Roman"/>
          <w:i/>
          <w:iCs/>
          <w:sz w:val="20"/>
          <w:szCs w:val="20"/>
          <w:lang w:val="lt-LT"/>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CD6E53">
        <w:rPr>
          <w:rFonts w:ascii="Times New Roman" w:eastAsia="Calibri" w:hAnsi="Times New Roman" w:cs="Times New Roman"/>
          <w:sz w:val="20"/>
          <w:szCs w:val="20"/>
          <w:lang w:val="lt-LT"/>
        </w:rPr>
        <w:t xml:space="preserve"> </w:t>
      </w:r>
      <w:r w:rsidRPr="00CD6E53">
        <w:rPr>
          <w:rFonts w:ascii="Times New Roman" w:eastAsia="Calibri" w:hAnsi="Times New Roman" w:cs="Times New Roman"/>
          <w:i/>
          <w:iCs/>
          <w:sz w:val="20"/>
          <w:szCs w:val="20"/>
          <w:lang w:val="lt-LT"/>
        </w:rPr>
        <w:t>2 proc.</w:t>
      </w:r>
    </w:p>
    <w:p w14:paraId="43E75635" w14:textId="77777777" w:rsidR="00CD6E53" w:rsidRDefault="00CD6E53" w:rsidP="00CD6E53">
      <w:pPr>
        <w:spacing w:after="0" w:line="240" w:lineRule="auto"/>
        <w:ind w:firstLine="709"/>
        <w:jc w:val="both"/>
        <w:rPr>
          <w:rFonts w:ascii="Times New Roman" w:eastAsia="Calibri" w:hAnsi="Times New Roman" w:cs="Times New Roman"/>
          <w:sz w:val="20"/>
          <w:szCs w:val="20"/>
          <w:lang w:val="lt-LT"/>
        </w:rPr>
      </w:pPr>
    </w:p>
    <w:p w14:paraId="1914ED9C" w14:textId="4253BC11" w:rsidR="00000F02" w:rsidRPr="001C7A2F" w:rsidRDefault="00000F02" w:rsidP="00000F02">
      <w:pPr>
        <w:spacing w:after="0" w:line="240" w:lineRule="auto"/>
        <w:ind w:left="360"/>
        <w:rPr>
          <w:rFonts w:ascii="Times New Roman" w:hAnsi="Times New Roman"/>
          <w:b/>
          <w:bCs/>
          <w:color w:val="000000"/>
          <w:shd w:val="clear" w:color="auto" w:fill="FFFFFF"/>
          <w:lang w:val="lt-LT"/>
        </w:rPr>
      </w:pPr>
      <w:r w:rsidRPr="001C7A2F">
        <w:rPr>
          <w:rFonts w:ascii="Times New Roman" w:hAnsi="Times New Roman"/>
          <w:b/>
          <w:bCs/>
          <w:color w:val="000000"/>
          <w:u w:val="single"/>
          <w:shd w:val="clear" w:color="auto" w:fill="FFFFFF"/>
          <w:lang w:val="lt-LT"/>
        </w:rPr>
        <w:t>2. Kita informacija:</w:t>
      </w:r>
    </w:p>
    <w:p w14:paraId="52EC358A" w14:textId="0201F8F8" w:rsidR="00000F02" w:rsidRPr="001C7A2F" w:rsidRDefault="00000F02" w:rsidP="00000F02">
      <w:pPr>
        <w:jc w:val="both"/>
        <w:rPr>
          <w:rFonts w:ascii="Times New Roman" w:hAnsi="Times New Roman"/>
          <w:color w:val="000000"/>
          <w:shd w:val="clear" w:color="auto" w:fill="FFFFFF"/>
          <w:lang w:val="lt-LT"/>
        </w:rPr>
      </w:pPr>
      <w:r w:rsidRPr="001C7A2F">
        <w:rPr>
          <w:rFonts w:ascii="Times New Roman" w:hAnsi="Times New Roman"/>
          <w:color w:val="000000"/>
          <w:shd w:val="clear" w:color="auto" w:fill="FFFFFF"/>
          <w:lang w:val="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w:t>
      </w:r>
      <w:r w:rsidR="00CE758D" w:rsidRPr="001C7A2F">
        <w:rPr>
          <w:rFonts w:ascii="Times New Roman" w:hAnsi="Times New Roman"/>
          <w:color w:val="000000"/>
          <w:shd w:val="clear" w:color="auto" w:fill="FFFFFF"/>
          <w:lang w:val="lt-LT"/>
        </w:rPr>
        <w:t>/arba</w:t>
      </w:r>
      <w:r w:rsidRPr="001C7A2F">
        <w:rPr>
          <w:rFonts w:ascii="Times New Roman" w:hAnsi="Times New Roman"/>
          <w:color w:val="000000"/>
          <w:shd w:val="clear" w:color="auto" w:fill="FFFFFF"/>
          <w:lang w:val="lt-LT"/>
        </w:rPr>
        <w:t xml:space="preserve"> 2011 m. birželio 8 d. Europos Parlamento ir Tarybos direktyvą 2011/65/ES dėl tam tikrų pavojingų medžiagų naudojimo elektros ir elektroninėje įrangoje apribojimo. </w:t>
      </w:r>
      <w:r w:rsidRPr="001C7A2F">
        <w:rPr>
          <w:rFonts w:ascii="Times New Roman" w:hAnsi="Times New Roman"/>
          <w:b/>
          <w:bCs/>
          <w:color w:val="000000"/>
          <w:shd w:val="clear" w:color="auto" w:fill="FFFFFF"/>
          <w:lang w:val="lt-LT"/>
        </w:rPr>
        <w:t>Pirkėjas šio reikalavimo atitiktį vertins prekių pristatymo metu.</w:t>
      </w:r>
    </w:p>
    <w:p w14:paraId="4C454553" w14:textId="77777777" w:rsidR="00B430B7" w:rsidRPr="001C7A2F" w:rsidRDefault="00000F02" w:rsidP="00000F02">
      <w:pPr>
        <w:jc w:val="both"/>
        <w:rPr>
          <w:rFonts w:ascii="Times New Roman" w:hAnsi="Times New Roman"/>
          <w:color w:val="000000"/>
          <w:u w:val="single"/>
          <w:shd w:val="clear" w:color="auto" w:fill="FFFFFF"/>
          <w:lang w:val="lt-LT"/>
        </w:rPr>
      </w:pPr>
      <w:r w:rsidRPr="001C7A2F">
        <w:rPr>
          <w:rFonts w:ascii="Times New Roman" w:hAnsi="Times New Roman"/>
          <w:b/>
          <w:bCs/>
          <w:color w:val="000000"/>
          <w:u w:val="single"/>
          <w:shd w:val="clear" w:color="auto" w:fill="FFFFFF"/>
          <w:lang w:val="lt-LT"/>
        </w:rPr>
        <w:t>Tiekėjas Sutarties vykdymo metu kartu su pristatomomis prekėmis privalo pateikti</w:t>
      </w:r>
      <w:r w:rsidRPr="001C7A2F">
        <w:rPr>
          <w:rFonts w:ascii="Times New Roman" w:hAnsi="Times New Roman"/>
          <w:color w:val="000000"/>
          <w:u w:val="single"/>
          <w:shd w:val="clear" w:color="auto" w:fill="FFFFFF"/>
          <w:lang w:val="lt-LT"/>
        </w:rPr>
        <w:t>:</w:t>
      </w:r>
    </w:p>
    <w:p w14:paraId="4ACECDFE" w14:textId="18814FE8" w:rsidR="00000F02" w:rsidRPr="001C7A2F" w:rsidRDefault="00000F02" w:rsidP="00000F02">
      <w:pPr>
        <w:jc w:val="both"/>
        <w:rPr>
          <w:rFonts w:ascii="Times New Roman" w:hAnsi="Times New Roman"/>
          <w:color w:val="000000"/>
          <w:shd w:val="clear" w:color="auto" w:fill="FFFFFF"/>
          <w:lang w:val="lt-LT"/>
        </w:rPr>
      </w:pPr>
      <w:r w:rsidRPr="001C7A2F">
        <w:rPr>
          <w:rFonts w:ascii="Times New Roman" w:hAnsi="Times New Roman"/>
          <w:color w:val="000000"/>
          <w:shd w:val="clear" w:color="auto" w:fill="FFFFFF"/>
          <w:lang w:val="lt-LT"/>
        </w:rPr>
        <w:t>CE sertifikato, išduoto paskelbtosios (notifikuotos) įstaigos ir/arba ES atitikties (2009/125/EB ir/arba 2011/65/ES Direktyvoms) deklaracijos, arba gamintojo parengtos deklaracijos kopiją (pateikiama tai, kas taikoma prekėms pagal teisės aktų reikalavimus).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7AC16176" w14:textId="77777777" w:rsidR="00000F02" w:rsidRPr="001C7A2F" w:rsidRDefault="00000F02" w:rsidP="00000F02">
      <w:pPr>
        <w:jc w:val="both"/>
        <w:rPr>
          <w:rFonts w:ascii="Times New Roman" w:hAnsi="Times New Roman"/>
          <w:b/>
          <w:bCs/>
          <w:color w:val="000000"/>
          <w:shd w:val="clear" w:color="auto" w:fill="FFFFFF"/>
          <w:lang w:val="lt-LT"/>
        </w:rPr>
      </w:pPr>
      <w:r w:rsidRPr="001C7A2F">
        <w:rPr>
          <w:rFonts w:ascii="Times New Roman" w:hAnsi="Times New Roman"/>
          <w:color w:val="000000"/>
          <w:shd w:val="clear" w:color="auto" w:fill="FFFFFF"/>
          <w:lang w:val="lt-LT"/>
        </w:rPr>
        <w:t xml:space="preserve">Jei prekėms pagal Europos Sąjungos teisės aktų reikalavimus nėra privalomas CE ženklinimas – </w:t>
      </w:r>
      <w:r w:rsidRPr="001C7A2F">
        <w:rPr>
          <w:rFonts w:ascii="Times New Roman" w:hAnsi="Times New Roman"/>
          <w:b/>
          <w:bCs/>
          <w:color w:val="000000"/>
          <w:shd w:val="clear" w:color="auto" w:fill="FFFFFF"/>
          <w:lang w:val="lt-LT"/>
        </w:rPr>
        <w:t>Tiekėjas laisva rašytine forma turi pagrįsti, kad prekių neprivaloma ženklinti CE ženklu pagal teisės aktų reikalavimus.</w:t>
      </w:r>
    </w:p>
    <w:p w14:paraId="67C4E40D" w14:textId="77777777" w:rsidR="00000F02" w:rsidRPr="00EA0BB4" w:rsidRDefault="00000F02" w:rsidP="00000F02">
      <w:pPr>
        <w:jc w:val="both"/>
        <w:rPr>
          <w:rFonts w:ascii="Times New Roman" w:hAnsi="Times New Roman"/>
          <w:b/>
          <w:bCs/>
          <w:color w:val="000000"/>
          <w:shd w:val="clear" w:color="auto" w:fill="FFFFFF"/>
          <w:lang w:val="lt-LT"/>
        </w:rPr>
      </w:pPr>
      <w:r w:rsidRPr="001C7A2F">
        <w:rPr>
          <w:rFonts w:ascii="Times New Roman" w:hAnsi="Times New Roman"/>
          <w:color w:val="000000"/>
          <w:shd w:val="clear" w:color="auto" w:fill="FFFFFF"/>
          <w:lang w:val="lt-LT"/>
        </w:rPr>
        <w:t xml:space="preserve">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1C7A2F">
        <w:rPr>
          <w:rFonts w:ascii="Times New Roman" w:hAnsi="Times New Roman"/>
          <w:b/>
          <w:bCs/>
          <w:color w:val="000000"/>
          <w:shd w:val="clear" w:color="auto" w:fill="FFFFFF"/>
          <w:lang w:val="lt-LT"/>
        </w:rPr>
        <w:t>nėra taikomos – tokiu atveju Tiekėjas laisva rašytine forma turi pagrįsti dėl Direktyvų netaikymo.</w:t>
      </w:r>
    </w:p>
    <w:p w14:paraId="31F82E4C" w14:textId="77777777" w:rsidR="00000F02" w:rsidRPr="00EA0BB4" w:rsidRDefault="00000F02" w:rsidP="00CD6E53">
      <w:pPr>
        <w:spacing w:after="0" w:line="240" w:lineRule="auto"/>
        <w:ind w:firstLine="709"/>
        <w:jc w:val="both"/>
        <w:rPr>
          <w:rFonts w:ascii="Times New Roman" w:eastAsia="Calibri" w:hAnsi="Times New Roman" w:cs="Times New Roman"/>
          <w:sz w:val="20"/>
          <w:szCs w:val="20"/>
          <w:lang w:val="lt-LT"/>
        </w:rPr>
      </w:pPr>
    </w:p>
    <w:p w14:paraId="52B3EA7A" w14:textId="7F702E3B" w:rsidR="00190776" w:rsidRPr="00CD6E53" w:rsidRDefault="00430D4F">
      <w:pPr>
        <w:rPr>
          <w:b/>
          <w:bCs/>
          <w:lang w:val="lt-LT"/>
        </w:rPr>
      </w:pPr>
      <w:r>
        <w:rPr>
          <w:rFonts w:ascii="Times New Roman" w:hAnsi="Times New Roman" w:cs="Times New Roman"/>
          <w:b/>
          <w:bCs/>
          <w:lang w:val="lt-LT"/>
        </w:rPr>
        <w:t xml:space="preserve">3. </w:t>
      </w:r>
      <w:r w:rsidR="003436B7" w:rsidRPr="00CD6E53">
        <w:rPr>
          <w:rFonts w:ascii="Times New Roman" w:hAnsi="Times New Roman" w:cs="Times New Roman"/>
          <w:b/>
          <w:bCs/>
          <w:lang w:val="lt-LT"/>
        </w:rPr>
        <w:t>Aplinkos</w:t>
      </w:r>
      <w:r w:rsidR="00996A2C" w:rsidRPr="00CD6E53">
        <w:rPr>
          <w:rFonts w:ascii="Times New Roman" w:hAnsi="Times New Roman" w:cs="Times New Roman"/>
          <w:b/>
          <w:bCs/>
          <w:lang w:val="lt-LT"/>
        </w:rPr>
        <w:t xml:space="preserve"> apsaugos </w:t>
      </w:r>
      <w:r w:rsidR="003436B7" w:rsidRPr="00CD6E53">
        <w:rPr>
          <w:rFonts w:ascii="Times New Roman" w:hAnsi="Times New Roman" w:cs="Times New Roman"/>
          <w:b/>
          <w:bCs/>
          <w:lang w:val="lt-LT"/>
        </w:rPr>
        <w:t>kriterijai</w:t>
      </w:r>
    </w:p>
    <w:p w14:paraId="1695BF5A" w14:textId="45B1510A" w:rsidR="006935EC" w:rsidRDefault="004415E1" w:rsidP="00D02CD3">
      <w:pPr>
        <w:pStyle w:val="NoSpacing"/>
        <w:ind w:left="720" w:right="-613"/>
        <w:jc w:val="both"/>
        <w:rPr>
          <w:rFonts w:ascii="Times New Roman" w:hAnsi="Times New Roman" w:cs="Times New Roman"/>
          <w:sz w:val="24"/>
          <w:szCs w:val="24"/>
        </w:rPr>
      </w:pPr>
      <w:r w:rsidRPr="003F5AF6">
        <w:rPr>
          <w:rFonts w:ascii="Times New Roman" w:hAnsi="Times New Roman" w:cs="Times New Roman"/>
          <w:sz w:val="24"/>
          <w:szCs w:val="24"/>
        </w:rPr>
        <w:t xml:space="preserve">Aplinkosauginiai kriterijai Prekėms nustatomi vadovaujantis Aplinkos apsaugos kriterijų taikymo, vykdant žaliuosius pirkimus, tvarkos aprašo, patvirtinto 2011 m. birželio 28 d. </w:t>
      </w:r>
      <w:r w:rsidRPr="003F5AF6">
        <w:rPr>
          <w:rFonts w:ascii="Times New Roman" w:hAnsi="Times New Roman" w:cs="Times New Roman"/>
          <w:sz w:val="24"/>
          <w:szCs w:val="24"/>
        </w:rPr>
        <w:lastRenderedPageBreak/>
        <w:t>įsakymu D1-508 „Dėl Aplinkos apsaugos kriterijų taikymo, vykdant žaliuosius pirkimus, tvarkos aprašo patvirtinimo“ (toliau – Tvarkos aprašas)</w:t>
      </w:r>
      <w:r w:rsidR="006935EC">
        <w:rPr>
          <w:rFonts w:ascii="Times New Roman" w:hAnsi="Times New Roman" w:cs="Times New Roman"/>
          <w:sz w:val="24"/>
          <w:szCs w:val="24"/>
        </w:rPr>
        <w:t xml:space="preserve"> </w:t>
      </w:r>
      <w:r w:rsidRPr="006935EC">
        <w:rPr>
          <w:rFonts w:ascii="Times New Roman" w:hAnsi="Times New Roman" w:cs="Times New Roman"/>
          <w:sz w:val="24"/>
          <w:szCs w:val="24"/>
        </w:rPr>
        <w:t>4.4.4.</w:t>
      </w:r>
      <w:r w:rsidR="00396BD6">
        <w:rPr>
          <w:rFonts w:ascii="Times New Roman" w:hAnsi="Times New Roman" w:cs="Times New Roman"/>
          <w:sz w:val="24"/>
          <w:szCs w:val="24"/>
        </w:rPr>
        <w:t>4</w:t>
      </w:r>
      <w:r w:rsidRPr="006935EC">
        <w:rPr>
          <w:rFonts w:ascii="Times New Roman" w:hAnsi="Times New Roman" w:cs="Times New Roman"/>
          <w:sz w:val="24"/>
          <w:szCs w:val="24"/>
        </w:rPr>
        <w:t xml:space="preserve"> papunkčiu</w:t>
      </w:r>
      <w:r w:rsidR="006935EC">
        <w:rPr>
          <w:rFonts w:ascii="Times New Roman" w:hAnsi="Times New Roman" w:cs="Times New Roman"/>
          <w:sz w:val="24"/>
          <w:szCs w:val="24"/>
        </w:rPr>
        <w:t>:</w:t>
      </w:r>
    </w:p>
    <w:p w14:paraId="3D3CB2F4" w14:textId="523161D8" w:rsidR="000E6D09" w:rsidRDefault="000E6D09" w:rsidP="00D02CD3">
      <w:pPr>
        <w:pStyle w:val="NoSpacing"/>
        <w:ind w:left="720" w:right="-613"/>
        <w:jc w:val="both"/>
        <w:rPr>
          <w:rFonts w:ascii="Times New Roman" w:hAnsi="Times New Roman" w:cs="Times New Roman"/>
          <w:sz w:val="24"/>
          <w:szCs w:val="24"/>
        </w:rPr>
      </w:pPr>
      <w:r>
        <w:rPr>
          <w:rFonts w:ascii="Times New Roman" w:hAnsi="Times New Roman" w:cs="Times New Roman"/>
          <w:sz w:val="24"/>
          <w:szCs w:val="24"/>
        </w:rPr>
        <w:t xml:space="preserve">1. </w:t>
      </w:r>
      <w:r w:rsidRPr="000E6D09">
        <w:rPr>
          <w:rFonts w:ascii="Times New Roman" w:hAnsi="Times New Roman" w:cs="Times New Roman"/>
          <w:sz w:val="24"/>
          <w:szCs w:val="24"/>
        </w:rPr>
        <w:t xml:space="preserve">Tiekėjas įsipareigoja apmokyti ne mažiau kaip </w:t>
      </w:r>
      <w:r>
        <w:rPr>
          <w:rFonts w:ascii="Times New Roman" w:hAnsi="Times New Roman" w:cs="Times New Roman"/>
          <w:sz w:val="24"/>
          <w:szCs w:val="24"/>
        </w:rPr>
        <w:t>2</w:t>
      </w:r>
      <w:r w:rsidRPr="000E6D09">
        <w:rPr>
          <w:rFonts w:ascii="Times New Roman" w:hAnsi="Times New Roman" w:cs="Times New Roman"/>
          <w:sz w:val="24"/>
          <w:szCs w:val="24"/>
        </w:rPr>
        <w:t xml:space="preserve"> Pirkėjo specialistus (ne mažiau kaip 2 val.) efektyviai ir saugiai dirbti su įranga. Mokymų metu turi būti aptarti įrangos ilgaamžiškumo užtikrinimo ir taisyklingos kasdienės priežiūros aspektai, leidžiantys išvengti priešlaikinio įrangos ar jos komponentų nusidėvėjimo, bei energijos vartojimo efektyvumas</w:t>
      </w:r>
      <w:r w:rsidR="00B17E8F">
        <w:rPr>
          <w:rFonts w:ascii="Times New Roman" w:hAnsi="Times New Roman" w:cs="Times New Roman"/>
          <w:sz w:val="24"/>
          <w:szCs w:val="24"/>
        </w:rPr>
        <w:t>;</w:t>
      </w:r>
    </w:p>
    <w:p w14:paraId="1C76D59E" w14:textId="22B5AB20" w:rsidR="006935EC" w:rsidRPr="00D02381" w:rsidRDefault="00F9606E" w:rsidP="00236F95">
      <w:pPr>
        <w:pStyle w:val="NoSpacing"/>
        <w:ind w:left="720" w:right="-613"/>
        <w:jc w:val="both"/>
        <w:rPr>
          <w:rFonts w:ascii="Times New Roman" w:hAnsi="Times New Roman"/>
          <w:sz w:val="24"/>
          <w:szCs w:val="24"/>
        </w:rPr>
      </w:pPr>
      <w:r>
        <w:rPr>
          <w:rFonts w:ascii="Times New Roman" w:hAnsi="Times New Roman"/>
          <w:sz w:val="24"/>
          <w:szCs w:val="24"/>
        </w:rPr>
        <w:t>2</w:t>
      </w:r>
      <w:r w:rsidR="006935EC" w:rsidRPr="00D02381">
        <w:rPr>
          <w:rFonts w:ascii="Times New Roman" w:hAnsi="Times New Roman"/>
          <w:sz w:val="24"/>
          <w:szCs w:val="24"/>
        </w:rPr>
        <w:t xml:space="preserve">. </w:t>
      </w:r>
      <w:r w:rsidR="00F81528" w:rsidRPr="00D02381">
        <w:rPr>
          <w:rFonts w:ascii="Times New Roman" w:eastAsia="Calibri" w:hAnsi="Times New Roman" w:cs="Times New Roman"/>
          <w:sz w:val="24"/>
          <w:szCs w:val="24"/>
        </w:rPr>
        <w:t>techninės specifikacijos 10 punkte nurodytas</w:t>
      </w:r>
      <w:r w:rsidR="00830855" w:rsidRPr="00D02381">
        <w:rPr>
          <w:rFonts w:ascii="Times New Roman" w:eastAsia="Calibri" w:hAnsi="Times New Roman" w:cs="Times New Roman"/>
          <w:sz w:val="24"/>
          <w:szCs w:val="24"/>
        </w:rPr>
        <w:t xml:space="preserve"> reikalavimas</w:t>
      </w:r>
      <w:r w:rsidR="00236F95" w:rsidRPr="00D02381">
        <w:rPr>
          <w:rFonts w:ascii="Times New Roman" w:eastAsia="Calibri" w:hAnsi="Times New Roman" w:cs="Times New Roman"/>
          <w:sz w:val="24"/>
          <w:szCs w:val="24"/>
        </w:rPr>
        <w:t xml:space="preserve">: </w:t>
      </w:r>
      <w:r w:rsidR="00236F95" w:rsidRPr="00D02381">
        <w:rPr>
          <w:rFonts w:ascii="Times New Roman" w:hAnsi="Times New Roman" w:cs="Times New Roman"/>
          <w:sz w:val="24"/>
          <w:szCs w:val="24"/>
        </w:rPr>
        <w:t>darbo kameros medžiaga</w:t>
      </w:r>
      <w:r w:rsidR="00236F95" w:rsidRPr="00D02381">
        <w:rPr>
          <w:rFonts w:ascii="Times New Roman" w:hAnsi="Times New Roman"/>
          <w:sz w:val="24"/>
          <w:szCs w:val="24"/>
        </w:rPr>
        <w:t xml:space="preserve"> pagaminta iš nerūdijančio plieno</w:t>
      </w:r>
      <w:r w:rsidR="005A0B31" w:rsidRPr="00D02381">
        <w:rPr>
          <w:rFonts w:ascii="Times New Roman" w:hAnsi="Times New Roman" w:cs="Times New Roman"/>
          <w:sz w:val="24"/>
          <w:szCs w:val="24"/>
        </w:rPr>
        <w:t xml:space="preserve">, ne žemesnės kaip AISI / Type 304 </w:t>
      </w:r>
      <w:r w:rsidR="005A0B31" w:rsidRPr="00917CB1">
        <w:rPr>
          <w:rFonts w:ascii="Times New Roman" w:hAnsi="Times New Roman" w:cs="Times New Roman"/>
          <w:sz w:val="24"/>
          <w:szCs w:val="24"/>
        </w:rPr>
        <w:t>klasės</w:t>
      </w:r>
      <w:r w:rsidR="00917CB1" w:rsidRPr="00917CB1">
        <w:rPr>
          <w:rFonts w:ascii="Times New Roman" w:hAnsi="Times New Roman" w:cs="Times New Roman"/>
          <w:sz w:val="24"/>
          <w:szCs w:val="24"/>
        </w:rPr>
        <w:t xml:space="preserve"> arba lygiavertė</w:t>
      </w:r>
      <w:r w:rsidR="007D54E8" w:rsidRPr="00D02381">
        <w:rPr>
          <w:rFonts w:ascii="Times New Roman" w:hAnsi="Times New Roman" w:cs="Times New Roman"/>
          <w:sz w:val="24"/>
          <w:szCs w:val="24"/>
        </w:rPr>
        <w:t xml:space="preserve"> atitinka kriterijų</w:t>
      </w:r>
      <w:r w:rsidR="00D02381" w:rsidRPr="00D02381">
        <w:rPr>
          <w:rFonts w:ascii="Times New Roman" w:hAnsi="Times New Roman" w:cs="Times New Roman"/>
          <w:sz w:val="24"/>
          <w:szCs w:val="24"/>
        </w:rPr>
        <w:t>, kad</w:t>
      </w:r>
      <w:r w:rsidR="00D02381" w:rsidRPr="00D02381">
        <w:rPr>
          <w:rFonts w:ascii="Times New Roman" w:hAnsi="Times New Roman"/>
          <w:sz w:val="24"/>
          <w:szCs w:val="24"/>
        </w:rPr>
        <w:t xml:space="preserve"> </w:t>
      </w:r>
      <w:r w:rsidR="004B3618" w:rsidRPr="00D02381">
        <w:rPr>
          <w:rFonts w:ascii="Times New Roman" w:hAnsi="Times New Roman"/>
          <w:sz w:val="24"/>
          <w:szCs w:val="24"/>
        </w:rPr>
        <w:t>prekė yra tvirta, ilgaamžė</w:t>
      </w:r>
      <w:r w:rsidR="00F57D72">
        <w:rPr>
          <w:rFonts w:ascii="Times New Roman" w:hAnsi="Times New Roman"/>
          <w:sz w:val="24"/>
          <w:szCs w:val="24"/>
        </w:rPr>
        <w:t xml:space="preserve">, </w:t>
      </w:r>
      <w:r w:rsidR="004B3618" w:rsidRPr="00D02381">
        <w:rPr>
          <w:rFonts w:ascii="Times New Roman" w:hAnsi="Times New Roman"/>
          <w:sz w:val="24"/>
          <w:szCs w:val="24"/>
        </w:rPr>
        <w:t>funkcionali</w:t>
      </w:r>
      <w:r w:rsidR="00D02381" w:rsidRPr="00D02381">
        <w:rPr>
          <w:rFonts w:ascii="Times New Roman" w:hAnsi="Times New Roman"/>
          <w:sz w:val="24"/>
          <w:szCs w:val="24"/>
        </w:rPr>
        <w:t>;</w:t>
      </w:r>
    </w:p>
    <w:p w14:paraId="55C6067B" w14:textId="5D1CA987" w:rsidR="006935EC" w:rsidRPr="00D02381" w:rsidRDefault="00F9606E" w:rsidP="00D02CD3">
      <w:pPr>
        <w:pStyle w:val="NoSpacing"/>
        <w:ind w:left="720" w:right="-613"/>
        <w:jc w:val="both"/>
        <w:rPr>
          <w:rFonts w:ascii="Times New Roman" w:hAnsi="Times New Roman" w:cs="Times New Roman"/>
          <w:sz w:val="24"/>
          <w:szCs w:val="24"/>
        </w:rPr>
      </w:pPr>
      <w:r>
        <w:rPr>
          <w:rFonts w:ascii="Times New Roman" w:hAnsi="Times New Roman"/>
          <w:sz w:val="24"/>
          <w:szCs w:val="24"/>
        </w:rPr>
        <w:t>3</w:t>
      </w:r>
      <w:r w:rsidR="006935EC" w:rsidRPr="00D02381">
        <w:rPr>
          <w:rFonts w:ascii="Times New Roman" w:hAnsi="Times New Roman"/>
          <w:sz w:val="24"/>
          <w:szCs w:val="24"/>
        </w:rPr>
        <w:t xml:space="preserve">. </w:t>
      </w:r>
      <w:r w:rsidR="009F1890" w:rsidRPr="00D02381">
        <w:rPr>
          <w:rFonts w:ascii="Times New Roman" w:eastAsia="Calibri" w:hAnsi="Times New Roman" w:cs="Times New Roman"/>
          <w:sz w:val="24"/>
          <w:szCs w:val="24"/>
        </w:rPr>
        <w:t>techninės specifikacijos 1</w:t>
      </w:r>
      <w:r w:rsidR="009F1890">
        <w:rPr>
          <w:rFonts w:ascii="Times New Roman" w:eastAsia="Calibri" w:hAnsi="Times New Roman" w:cs="Times New Roman"/>
          <w:sz w:val="24"/>
          <w:szCs w:val="24"/>
        </w:rPr>
        <w:t>6</w:t>
      </w:r>
      <w:r w:rsidR="009F1890" w:rsidRPr="00D02381">
        <w:rPr>
          <w:rFonts w:ascii="Times New Roman" w:eastAsia="Calibri" w:hAnsi="Times New Roman" w:cs="Times New Roman"/>
          <w:sz w:val="24"/>
          <w:szCs w:val="24"/>
        </w:rPr>
        <w:t xml:space="preserve"> punkte nurodytas reikalavimas: </w:t>
      </w:r>
      <w:r w:rsidR="006935EC" w:rsidRPr="00D02381">
        <w:rPr>
          <w:rFonts w:ascii="Times New Roman" w:hAnsi="Times New Roman" w:cs="Times New Roman"/>
          <w:sz w:val="24"/>
          <w:szCs w:val="24"/>
        </w:rPr>
        <w:t>prekei taikoma ilgesnė nei standartinė garantija – ne mažesnė nei 36 mėn.</w:t>
      </w:r>
      <w:r w:rsidR="002218EC">
        <w:rPr>
          <w:rFonts w:ascii="Times New Roman" w:hAnsi="Times New Roman" w:cs="Times New Roman"/>
          <w:sz w:val="24"/>
          <w:szCs w:val="24"/>
        </w:rPr>
        <w:t xml:space="preserve"> </w:t>
      </w:r>
    </w:p>
    <w:p w14:paraId="43334B85" w14:textId="77777777" w:rsidR="004B3618" w:rsidRPr="003F5AF6" w:rsidRDefault="004B3618" w:rsidP="004B3618">
      <w:pPr>
        <w:tabs>
          <w:tab w:val="left" w:pos="3645"/>
        </w:tabs>
        <w:jc w:val="both"/>
        <w:rPr>
          <w:rFonts w:ascii="Times New Roman" w:hAnsi="Times New Roman"/>
          <w:lang w:val="lt-LT"/>
        </w:rPr>
      </w:pPr>
    </w:p>
    <w:p w14:paraId="63A2A90D" w14:textId="77777777" w:rsidR="00D266A9" w:rsidRPr="003F5AF6" w:rsidRDefault="00D266A9" w:rsidP="009F1CE4">
      <w:pPr>
        <w:pStyle w:val="NoSpacing"/>
        <w:jc w:val="both"/>
        <w:rPr>
          <w:rFonts w:ascii="Times New Roman" w:hAnsi="Times New Roman" w:cs="Times New Roman"/>
          <w:sz w:val="24"/>
          <w:szCs w:val="24"/>
        </w:rPr>
      </w:pPr>
    </w:p>
    <w:sectPr w:rsidR="00D266A9" w:rsidRPr="003F5A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88DC" w14:textId="77777777" w:rsidR="002B2CE9" w:rsidRDefault="002B2CE9" w:rsidP="006227BB">
      <w:pPr>
        <w:spacing w:after="0" w:line="240" w:lineRule="auto"/>
      </w:pPr>
      <w:r>
        <w:separator/>
      </w:r>
    </w:p>
  </w:endnote>
  <w:endnote w:type="continuationSeparator" w:id="0">
    <w:p w14:paraId="3935AFF0" w14:textId="77777777" w:rsidR="002B2CE9" w:rsidRDefault="002B2CE9" w:rsidP="0062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6E2F0" w14:textId="77777777" w:rsidR="002B2CE9" w:rsidRDefault="002B2CE9" w:rsidP="006227BB">
      <w:pPr>
        <w:spacing w:after="0" w:line="240" w:lineRule="auto"/>
      </w:pPr>
      <w:r>
        <w:separator/>
      </w:r>
    </w:p>
  </w:footnote>
  <w:footnote w:type="continuationSeparator" w:id="0">
    <w:p w14:paraId="023A3E41" w14:textId="77777777" w:rsidR="002B2CE9" w:rsidRDefault="002B2CE9" w:rsidP="0062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5F6DB6"/>
    <w:multiLevelType w:val="multilevel"/>
    <w:tmpl w:val="55A6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02B86"/>
    <w:multiLevelType w:val="multilevel"/>
    <w:tmpl w:val="EC36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F622F"/>
    <w:multiLevelType w:val="multilevel"/>
    <w:tmpl w:val="CC6E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A41B8"/>
    <w:multiLevelType w:val="hybridMultilevel"/>
    <w:tmpl w:val="DC7C221C"/>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7BBF21A7"/>
    <w:multiLevelType w:val="multilevel"/>
    <w:tmpl w:val="8FB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333888">
    <w:abstractNumId w:val="2"/>
  </w:num>
  <w:num w:numId="2" w16cid:durableId="1674188787">
    <w:abstractNumId w:val="3"/>
  </w:num>
  <w:num w:numId="3" w16cid:durableId="345863373">
    <w:abstractNumId w:val="5"/>
  </w:num>
  <w:num w:numId="4" w16cid:durableId="704595658">
    <w:abstractNumId w:val="1"/>
  </w:num>
  <w:num w:numId="5" w16cid:durableId="225605904">
    <w:abstractNumId w:val="4"/>
  </w:num>
  <w:num w:numId="6" w16cid:durableId="681009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AE"/>
    <w:rsid w:val="00000F02"/>
    <w:rsid w:val="000051EF"/>
    <w:rsid w:val="00027153"/>
    <w:rsid w:val="00031599"/>
    <w:rsid w:val="00034904"/>
    <w:rsid w:val="00035D50"/>
    <w:rsid w:val="00077BCC"/>
    <w:rsid w:val="0009294A"/>
    <w:rsid w:val="00096EA7"/>
    <w:rsid w:val="000972AC"/>
    <w:rsid w:val="000E6D09"/>
    <w:rsid w:val="00100966"/>
    <w:rsid w:val="00100E56"/>
    <w:rsid w:val="00101F62"/>
    <w:rsid w:val="001043AA"/>
    <w:rsid w:val="001226A2"/>
    <w:rsid w:val="00135BAD"/>
    <w:rsid w:val="001366FC"/>
    <w:rsid w:val="00150944"/>
    <w:rsid w:val="0017258A"/>
    <w:rsid w:val="00175DFC"/>
    <w:rsid w:val="00190776"/>
    <w:rsid w:val="0019191B"/>
    <w:rsid w:val="001967DA"/>
    <w:rsid w:val="001C186E"/>
    <w:rsid w:val="001C476F"/>
    <w:rsid w:val="001C699D"/>
    <w:rsid w:val="001C7A2F"/>
    <w:rsid w:val="00205EA4"/>
    <w:rsid w:val="002218EC"/>
    <w:rsid w:val="002270D9"/>
    <w:rsid w:val="00236F95"/>
    <w:rsid w:val="00260DCA"/>
    <w:rsid w:val="00263E87"/>
    <w:rsid w:val="00271BE7"/>
    <w:rsid w:val="00273BED"/>
    <w:rsid w:val="002762B7"/>
    <w:rsid w:val="00277538"/>
    <w:rsid w:val="002867E0"/>
    <w:rsid w:val="002B2CE9"/>
    <w:rsid w:val="002D5849"/>
    <w:rsid w:val="002F28E4"/>
    <w:rsid w:val="002F3633"/>
    <w:rsid w:val="002F50F3"/>
    <w:rsid w:val="002F7BEA"/>
    <w:rsid w:val="003115CE"/>
    <w:rsid w:val="00311982"/>
    <w:rsid w:val="003154E0"/>
    <w:rsid w:val="003433CE"/>
    <w:rsid w:val="003436B7"/>
    <w:rsid w:val="00386865"/>
    <w:rsid w:val="0039360C"/>
    <w:rsid w:val="00393E40"/>
    <w:rsid w:val="003958E4"/>
    <w:rsid w:val="00396BD6"/>
    <w:rsid w:val="003B625F"/>
    <w:rsid w:val="003C6ADF"/>
    <w:rsid w:val="003D5CD9"/>
    <w:rsid w:val="003E1B75"/>
    <w:rsid w:val="003F250B"/>
    <w:rsid w:val="003F5AF6"/>
    <w:rsid w:val="00406D63"/>
    <w:rsid w:val="00430D4F"/>
    <w:rsid w:val="004405FA"/>
    <w:rsid w:val="004415E1"/>
    <w:rsid w:val="00453BBD"/>
    <w:rsid w:val="00473776"/>
    <w:rsid w:val="004800A8"/>
    <w:rsid w:val="004A71ED"/>
    <w:rsid w:val="004A7C6A"/>
    <w:rsid w:val="004B3618"/>
    <w:rsid w:val="004E42E7"/>
    <w:rsid w:val="005043E0"/>
    <w:rsid w:val="0051516A"/>
    <w:rsid w:val="005350CE"/>
    <w:rsid w:val="005456C3"/>
    <w:rsid w:val="00550244"/>
    <w:rsid w:val="0055134C"/>
    <w:rsid w:val="0055635F"/>
    <w:rsid w:val="0056468F"/>
    <w:rsid w:val="005674A2"/>
    <w:rsid w:val="005A0B31"/>
    <w:rsid w:val="005D4AF2"/>
    <w:rsid w:val="005E5DFC"/>
    <w:rsid w:val="006115F3"/>
    <w:rsid w:val="0062268A"/>
    <w:rsid w:val="006227BB"/>
    <w:rsid w:val="006271F2"/>
    <w:rsid w:val="006430E0"/>
    <w:rsid w:val="0065782A"/>
    <w:rsid w:val="00673B04"/>
    <w:rsid w:val="00692509"/>
    <w:rsid w:val="006935EC"/>
    <w:rsid w:val="00695E86"/>
    <w:rsid w:val="006A0430"/>
    <w:rsid w:val="006B6135"/>
    <w:rsid w:val="006C5400"/>
    <w:rsid w:val="006C5A81"/>
    <w:rsid w:val="006D206A"/>
    <w:rsid w:val="006F4D15"/>
    <w:rsid w:val="006F6D9E"/>
    <w:rsid w:val="007146AE"/>
    <w:rsid w:val="00716F4D"/>
    <w:rsid w:val="0072203C"/>
    <w:rsid w:val="00743034"/>
    <w:rsid w:val="007652D6"/>
    <w:rsid w:val="007A2A3B"/>
    <w:rsid w:val="007A5A3F"/>
    <w:rsid w:val="007B1E0C"/>
    <w:rsid w:val="007C3CB2"/>
    <w:rsid w:val="007C3EBF"/>
    <w:rsid w:val="007D54E8"/>
    <w:rsid w:val="007F4145"/>
    <w:rsid w:val="008002D7"/>
    <w:rsid w:val="008029A2"/>
    <w:rsid w:val="0081080C"/>
    <w:rsid w:val="0082206E"/>
    <w:rsid w:val="00830855"/>
    <w:rsid w:val="00877BB4"/>
    <w:rsid w:val="0088561C"/>
    <w:rsid w:val="00885E52"/>
    <w:rsid w:val="008A0CF3"/>
    <w:rsid w:val="008A3718"/>
    <w:rsid w:val="008A72CE"/>
    <w:rsid w:val="008C208F"/>
    <w:rsid w:val="008C2A36"/>
    <w:rsid w:val="008D0E6D"/>
    <w:rsid w:val="008E13FB"/>
    <w:rsid w:val="008E7AF1"/>
    <w:rsid w:val="008F4BC6"/>
    <w:rsid w:val="00901793"/>
    <w:rsid w:val="00917CB1"/>
    <w:rsid w:val="00923A8C"/>
    <w:rsid w:val="00955561"/>
    <w:rsid w:val="0099111A"/>
    <w:rsid w:val="00996A2C"/>
    <w:rsid w:val="009D66B5"/>
    <w:rsid w:val="009D6FFF"/>
    <w:rsid w:val="009F1890"/>
    <w:rsid w:val="009F1CE4"/>
    <w:rsid w:val="00A15E0B"/>
    <w:rsid w:val="00A173F2"/>
    <w:rsid w:val="00A20D0B"/>
    <w:rsid w:val="00A43C32"/>
    <w:rsid w:val="00A650FC"/>
    <w:rsid w:val="00A736CB"/>
    <w:rsid w:val="00AB12FB"/>
    <w:rsid w:val="00AE085D"/>
    <w:rsid w:val="00AE7CBE"/>
    <w:rsid w:val="00AF0F68"/>
    <w:rsid w:val="00AF2591"/>
    <w:rsid w:val="00B04D28"/>
    <w:rsid w:val="00B0564B"/>
    <w:rsid w:val="00B05F63"/>
    <w:rsid w:val="00B14476"/>
    <w:rsid w:val="00B17E8F"/>
    <w:rsid w:val="00B41D28"/>
    <w:rsid w:val="00B42660"/>
    <w:rsid w:val="00B430B7"/>
    <w:rsid w:val="00B6171C"/>
    <w:rsid w:val="00B632E3"/>
    <w:rsid w:val="00B90A5E"/>
    <w:rsid w:val="00BD02A3"/>
    <w:rsid w:val="00BD5799"/>
    <w:rsid w:val="00BD57F2"/>
    <w:rsid w:val="00BF53D3"/>
    <w:rsid w:val="00C131D4"/>
    <w:rsid w:val="00C31661"/>
    <w:rsid w:val="00C35AB2"/>
    <w:rsid w:val="00C36ADE"/>
    <w:rsid w:val="00C51A2A"/>
    <w:rsid w:val="00C627B6"/>
    <w:rsid w:val="00C87721"/>
    <w:rsid w:val="00CA02C5"/>
    <w:rsid w:val="00CA3DBA"/>
    <w:rsid w:val="00CB3753"/>
    <w:rsid w:val="00CB3E67"/>
    <w:rsid w:val="00CC75F2"/>
    <w:rsid w:val="00CD4E15"/>
    <w:rsid w:val="00CD6E53"/>
    <w:rsid w:val="00CE758D"/>
    <w:rsid w:val="00D01820"/>
    <w:rsid w:val="00D02381"/>
    <w:rsid w:val="00D02CD3"/>
    <w:rsid w:val="00D031AD"/>
    <w:rsid w:val="00D063EB"/>
    <w:rsid w:val="00D06C26"/>
    <w:rsid w:val="00D20CB1"/>
    <w:rsid w:val="00D266A9"/>
    <w:rsid w:val="00D7638D"/>
    <w:rsid w:val="00D87008"/>
    <w:rsid w:val="00DA3883"/>
    <w:rsid w:val="00DB4EC9"/>
    <w:rsid w:val="00DC118F"/>
    <w:rsid w:val="00DC4AEA"/>
    <w:rsid w:val="00DC52A0"/>
    <w:rsid w:val="00DE5ECA"/>
    <w:rsid w:val="00DE6744"/>
    <w:rsid w:val="00DF2E10"/>
    <w:rsid w:val="00DF30B0"/>
    <w:rsid w:val="00E14E8F"/>
    <w:rsid w:val="00E21C93"/>
    <w:rsid w:val="00E55A41"/>
    <w:rsid w:val="00EA0BB4"/>
    <w:rsid w:val="00EC4CE6"/>
    <w:rsid w:val="00ED2D89"/>
    <w:rsid w:val="00EE24AE"/>
    <w:rsid w:val="00EE3907"/>
    <w:rsid w:val="00EE5E66"/>
    <w:rsid w:val="00EF2420"/>
    <w:rsid w:val="00F306AE"/>
    <w:rsid w:val="00F37DF7"/>
    <w:rsid w:val="00F47139"/>
    <w:rsid w:val="00F57D72"/>
    <w:rsid w:val="00F725B8"/>
    <w:rsid w:val="00F81528"/>
    <w:rsid w:val="00F83F0B"/>
    <w:rsid w:val="00F9606E"/>
    <w:rsid w:val="00FC4706"/>
    <w:rsid w:val="00FC6215"/>
    <w:rsid w:val="00FE0D8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5D59E"/>
  <w15:chartTrackingRefBased/>
  <w15:docId w15:val="{652CBD9C-E1DE-5645-8175-CE28B6853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6AE"/>
    <w:rPr>
      <w:rFonts w:eastAsiaTheme="minorHAnsi"/>
      <w:lang w:val="en-US" w:eastAsia="en-US"/>
    </w:rPr>
  </w:style>
  <w:style w:type="paragraph" w:styleId="Heading1">
    <w:name w:val="heading 1"/>
    <w:basedOn w:val="Normal"/>
    <w:next w:val="Normal"/>
    <w:link w:val="Heading1Char"/>
    <w:uiPriority w:val="9"/>
    <w:qFormat/>
    <w:rsid w:val="00F306AE"/>
    <w:pPr>
      <w:keepNext/>
      <w:keepLines/>
      <w:spacing w:before="360" w:after="80"/>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iPriority w:val="9"/>
    <w:semiHidden/>
    <w:unhideWhenUsed/>
    <w:qFormat/>
    <w:rsid w:val="00F306AE"/>
    <w:pPr>
      <w:keepNext/>
      <w:keepLines/>
      <w:spacing w:before="160" w:after="80"/>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semiHidden/>
    <w:unhideWhenUsed/>
    <w:qFormat/>
    <w:rsid w:val="00F306AE"/>
    <w:pPr>
      <w:keepNext/>
      <w:keepLines/>
      <w:spacing w:before="160" w:after="80"/>
      <w:outlineLvl w:val="2"/>
    </w:pPr>
    <w:rPr>
      <w:rFonts w:eastAsiaTheme="majorEastAsia" w:cstheme="majorBidi"/>
      <w:color w:val="0F4761" w:themeColor="accent1" w:themeShade="BF"/>
      <w:sz w:val="28"/>
      <w:szCs w:val="28"/>
      <w:lang w:eastAsia="ja-JP"/>
    </w:rPr>
  </w:style>
  <w:style w:type="paragraph" w:styleId="Heading4">
    <w:name w:val="heading 4"/>
    <w:basedOn w:val="Normal"/>
    <w:next w:val="Normal"/>
    <w:link w:val="Heading4Char"/>
    <w:uiPriority w:val="9"/>
    <w:semiHidden/>
    <w:unhideWhenUsed/>
    <w:qFormat/>
    <w:rsid w:val="00F306AE"/>
    <w:pPr>
      <w:keepNext/>
      <w:keepLines/>
      <w:spacing w:before="80" w:after="40"/>
      <w:outlineLvl w:val="3"/>
    </w:pPr>
    <w:rPr>
      <w:rFonts w:eastAsiaTheme="majorEastAsia" w:cstheme="majorBidi"/>
      <w:i/>
      <w:iCs/>
      <w:color w:val="0F4761" w:themeColor="accent1" w:themeShade="BF"/>
      <w:lang w:eastAsia="ja-JP"/>
    </w:rPr>
  </w:style>
  <w:style w:type="paragraph" w:styleId="Heading5">
    <w:name w:val="heading 5"/>
    <w:basedOn w:val="Normal"/>
    <w:next w:val="Normal"/>
    <w:link w:val="Heading5Char"/>
    <w:uiPriority w:val="9"/>
    <w:semiHidden/>
    <w:unhideWhenUsed/>
    <w:qFormat/>
    <w:rsid w:val="00F306AE"/>
    <w:pPr>
      <w:keepNext/>
      <w:keepLines/>
      <w:spacing w:before="80" w:after="40"/>
      <w:outlineLvl w:val="4"/>
    </w:pPr>
    <w:rPr>
      <w:rFonts w:eastAsiaTheme="majorEastAsia" w:cstheme="majorBidi"/>
      <w:color w:val="0F4761" w:themeColor="accent1" w:themeShade="BF"/>
      <w:lang w:eastAsia="ja-JP"/>
    </w:rPr>
  </w:style>
  <w:style w:type="paragraph" w:styleId="Heading6">
    <w:name w:val="heading 6"/>
    <w:basedOn w:val="Normal"/>
    <w:next w:val="Normal"/>
    <w:link w:val="Heading6Char"/>
    <w:uiPriority w:val="9"/>
    <w:semiHidden/>
    <w:unhideWhenUsed/>
    <w:qFormat/>
    <w:rsid w:val="00F306AE"/>
    <w:pPr>
      <w:keepNext/>
      <w:keepLines/>
      <w:spacing w:before="40" w:after="0"/>
      <w:outlineLvl w:val="5"/>
    </w:pPr>
    <w:rPr>
      <w:rFonts w:eastAsiaTheme="majorEastAsia"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F306AE"/>
    <w:pPr>
      <w:keepNext/>
      <w:keepLines/>
      <w:spacing w:before="40" w:after="0"/>
      <w:outlineLvl w:val="6"/>
    </w:pPr>
    <w:rPr>
      <w:rFonts w:eastAsiaTheme="majorEastAsia"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F306AE"/>
    <w:pPr>
      <w:keepNext/>
      <w:keepLines/>
      <w:spacing w:after="0"/>
      <w:outlineLvl w:val="7"/>
    </w:pPr>
    <w:rPr>
      <w:rFonts w:eastAsiaTheme="majorEastAsia"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F306AE"/>
    <w:pPr>
      <w:keepNext/>
      <w:keepLines/>
      <w:spacing w:after="0"/>
      <w:outlineLvl w:val="8"/>
    </w:pPr>
    <w:rPr>
      <w:rFonts w:eastAsiaTheme="majorEastAsia"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6AE"/>
    <w:rPr>
      <w:rFonts w:eastAsiaTheme="majorEastAsia" w:cstheme="majorBidi"/>
      <w:color w:val="272727" w:themeColor="text1" w:themeTint="D8"/>
    </w:rPr>
  </w:style>
  <w:style w:type="paragraph" w:styleId="Title">
    <w:name w:val="Title"/>
    <w:basedOn w:val="Normal"/>
    <w:next w:val="Normal"/>
    <w:link w:val="TitleChar"/>
    <w:uiPriority w:val="10"/>
    <w:qFormat/>
    <w:rsid w:val="00F306AE"/>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F30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6AE"/>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F30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6AE"/>
    <w:pPr>
      <w:spacing w:before="160"/>
      <w:jc w:val="center"/>
    </w:pPr>
    <w:rPr>
      <w:rFonts w:eastAsiaTheme="minorEastAsia"/>
      <w:i/>
      <w:iCs/>
      <w:color w:val="404040" w:themeColor="text1" w:themeTint="BF"/>
      <w:lang w:eastAsia="ja-JP"/>
    </w:rPr>
  </w:style>
  <w:style w:type="character" w:customStyle="1" w:styleId="QuoteChar">
    <w:name w:val="Quote Char"/>
    <w:basedOn w:val="DefaultParagraphFont"/>
    <w:link w:val="Quote"/>
    <w:uiPriority w:val="29"/>
    <w:rsid w:val="00F306AE"/>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F306AE"/>
    <w:pPr>
      <w:ind w:left="720"/>
      <w:contextualSpacing/>
    </w:pPr>
    <w:rPr>
      <w:rFonts w:eastAsiaTheme="minorEastAsia"/>
      <w:lang w:eastAsia="ja-JP"/>
    </w:rPr>
  </w:style>
  <w:style w:type="character" w:styleId="IntenseEmphasis">
    <w:name w:val="Intense Emphasis"/>
    <w:basedOn w:val="DefaultParagraphFont"/>
    <w:uiPriority w:val="21"/>
    <w:qFormat/>
    <w:rsid w:val="00F306AE"/>
    <w:rPr>
      <w:i/>
      <w:iCs/>
      <w:color w:val="0F4761" w:themeColor="accent1" w:themeShade="BF"/>
    </w:rPr>
  </w:style>
  <w:style w:type="paragraph" w:styleId="IntenseQuote">
    <w:name w:val="Intense Quote"/>
    <w:basedOn w:val="Normal"/>
    <w:next w:val="Normal"/>
    <w:link w:val="IntenseQuoteChar"/>
    <w:uiPriority w:val="30"/>
    <w:qFormat/>
    <w:rsid w:val="00F306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lang w:eastAsia="ja-JP"/>
    </w:rPr>
  </w:style>
  <w:style w:type="character" w:customStyle="1" w:styleId="IntenseQuoteChar">
    <w:name w:val="Intense Quote Char"/>
    <w:basedOn w:val="DefaultParagraphFont"/>
    <w:link w:val="IntenseQuote"/>
    <w:uiPriority w:val="30"/>
    <w:rsid w:val="00F306AE"/>
    <w:rPr>
      <w:i/>
      <w:iCs/>
      <w:color w:val="0F4761" w:themeColor="accent1" w:themeShade="BF"/>
    </w:rPr>
  </w:style>
  <w:style w:type="character" w:styleId="IntenseReference">
    <w:name w:val="Intense Reference"/>
    <w:basedOn w:val="DefaultParagraphFont"/>
    <w:uiPriority w:val="32"/>
    <w:qFormat/>
    <w:rsid w:val="00F306AE"/>
    <w:rPr>
      <w:b/>
      <w:bCs/>
      <w:smallCaps/>
      <w:color w:val="0F4761" w:themeColor="accent1" w:themeShade="BF"/>
      <w:spacing w:val="5"/>
    </w:rPr>
  </w:style>
  <w:style w:type="table" w:styleId="TableGridLight">
    <w:name w:val="Grid Table Light"/>
    <w:basedOn w:val="TableNormal"/>
    <w:uiPriority w:val="40"/>
    <w:rsid w:val="00F306AE"/>
    <w:pPr>
      <w:spacing w:after="0" w:line="240" w:lineRule="auto"/>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E5ECA"/>
    <w:pPr>
      <w:spacing w:after="0" w:line="240" w:lineRule="auto"/>
    </w:pPr>
    <w:rPr>
      <w:rFonts w:eastAsiaTheme="minorHAnsi"/>
      <w:lang w:val="en-US" w:eastAsia="en-US"/>
    </w:rPr>
  </w:style>
  <w:style w:type="character" w:styleId="Hyperlink">
    <w:name w:val="Hyperlink"/>
    <w:basedOn w:val="DefaultParagraphFont"/>
    <w:uiPriority w:val="99"/>
    <w:unhideWhenUsed/>
    <w:rsid w:val="00E55A41"/>
    <w:rPr>
      <w:color w:val="467886" w:themeColor="hyperlink"/>
      <w:u w:val="single"/>
    </w:rPr>
  </w:style>
  <w:style w:type="character" w:styleId="UnresolvedMention">
    <w:name w:val="Unresolved Mention"/>
    <w:basedOn w:val="DefaultParagraphFont"/>
    <w:uiPriority w:val="99"/>
    <w:semiHidden/>
    <w:unhideWhenUsed/>
    <w:rsid w:val="00E55A41"/>
    <w:rPr>
      <w:color w:val="605E5C"/>
      <w:shd w:val="clear" w:color="auto" w:fill="E1DFDD"/>
    </w:rPr>
  </w:style>
  <w:style w:type="character" w:styleId="CommentReference">
    <w:name w:val="annotation reference"/>
    <w:basedOn w:val="DefaultParagraphFont"/>
    <w:uiPriority w:val="99"/>
    <w:semiHidden/>
    <w:unhideWhenUsed/>
    <w:rsid w:val="00D7638D"/>
    <w:rPr>
      <w:sz w:val="16"/>
      <w:szCs w:val="16"/>
    </w:rPr>
  </w:style>
  <w:style w:type="paragraph" w:styleId="CommentText">
    <w:name w:val="annotation text"/>
    <w:basedOn w:val="Normal"/>
    <w:link w:val="CommentTextChar"/>
    <w:uiPriority w:val="99"/>
    <w:unhideWhenUsed/>
    <w:rsid w:val="00D7638D"/>
    <w:pPr>
      <w:spacing w:line="240" w:lineRule="auto"/>
    </w:pPr>
    <w:rPr>
      <w:sz w:val="20"/>
      <w:szCs w:val="20"/>
    </w:rPr>
  </w:style>
  <w:style w:type="character" w:customStyle="1" w:styleId="CommentTextChar">
    <w:name w:val="Comment Text Char"/>
    <w:basedOn w:val="DefaultParagraphFont"/>
    <w:link w:val="CommentText"/>
    <w:uiPriority w:val="99"/>
    <w:rsid w:val="00D7638D"/>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D7638D"/>
    <w:rPr>
      <w:b/>
      <w:bCs/>
    </w:rPr>
  </w:style>
  <w:style w:type="character" w:customStyle="1" w:styleId="CommentSubjectChar">
    <w:name w:val="Comment Subject Char"/>
    <w:basedOn w:val="CommentTextChar"/>
    <w:link w:val="CommentSubject"/>
    <w:uiPriority w:val="99"/>
    <w:semiHidden/>
    <w:rsid w:val="00D7638D"/>
    <w:rPr>
      <w:rFonts w:eastAsiaTheme="minorHAnsi"/>
      <w:b/>
      <w:bCs/>
      <w:sz w:val="20"/>
      <w:szCs w:val="20"/>
      <w:lang w:val="en-US" w:eastAsia="en-US"/>
    </w:rPr>
  </w:style>
  <w:style w:type="paragraph" w:styleId="NoSpacing">
    <w:name w:val="No Spacing"/>
    <w:uiPriority w:val="1"/>
    <w:qFormat/>
    <w:rsid w:val="004415E1"/>
    <w:pPr>
      <w:spacing w:after="0" w:line="240" w:lineRule="auto"/>
    </w:pPr>
    <w:rPr>
      <w:rFonts w:eastAsiaTheme="minorHAnsi"/>
      <w:kern w:val="0"/>
      <w:sz w:val="22"/>
      <w:szCs w:val="22"/>
      <w:lang w:eastAsia="en-US"/>
      <w14:ligatures w14:val="none"/>
    </w:rPr>
  </w:style>
  <w:style w:type="paragraph" w:styleId="Header">
    <w:name w:val="header"/>
    <w:basedOn w:val="Normal"/>
    <w:link w:val="HeaderChar"/>
    <w:uiPriority w:val="99"/>
    <w:unhideWhenUsed/>
    <w:rsid w:val="006227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227BB"/>
    <w:rPr>
      <w:rFonts w:eastAsiaTheme="minorHAnsi"/>
      <w:lang w:val="en-US" w:eastAsia="en-US"/>
    </w:rPr>
  </w:style>
  <w:style w:type="paragraph" w:styleId="Footer">
    <w:name w:val="footer"/>
    <w:basedOn w:val="Normal"/>
    <w:link w:val="FooterChar"/>
    <w:uiPriority w:val="99"/>
    <w:unhideWhenUsed/>
    <w:rsid w:val="006227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227BB"/>
    <w:rPr>
      <w:rFonts w:eastAsiaTheme="minorHAnsi"/>
      <w:lang w:val="en-US" w:eastAsia="en-US"/>
    </w:rPr>
  </w:style>
  <w:style w:type="paragraph" w:styleId="NormalWeb">
    <w:name w:val="Normal (Web)"/>
    <w:basedOn w:val="Normal"/>
    <w:uiPriority w:val="99"/>
    <w:unhideWhenUsed/>
    <w:rsid w:val="0055635F"/>
    <w:pPr>
      <w:spacing w:after="200" w:line="276" w:lineRule="auto"/>
    </w:pPr>
    <w:rPr>
      <w:rFonts w:ascii="Times New Roman" w:eastAsiaTheme="minorEastAsia" w:hAnsi="Times New Roman" w:cs="Times New Roman"/>
      <w:kern w:val="0"/>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000F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E131.7FC3AE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5027</Words>
  <Characters>2866</Characters>
  <Application>Microsoft Office Word</Application>
  <DocSecurity>0</DocSecurity>
  <Lines>23</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Dovydas Gečys</dc:creator>
  <cp:keywords/>
  <dc:description/>
  <cp:lastModifiedBy>Virginija Lapaitytė</cp:lastModifiedBy>
  <cp:revision>62</cp:revision>
  <dcterms:created xsi:type="dcterms:W3CDTF">2026-05-26T08:49:00Z</dcterms:created>
  <dcterms:modified xsi:type="dcterms:W3CDTF">2026-07-17T06:20:00Z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1a7c2baf-2ef8-468e-b745-62ce8b3eebda</vt:lpwstr>
  </property>
</Properties>
</file>