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0D78" w14:textId="77777777" w:rsidR="00D20E92" w:rsidRDefault="00D20E92" w:rsidP="006B3E8F">
      <w:pPr>
        <w:jc w:val="center"/>
        <w:rPr>
          <w:rFonts w:ascii="Times New Roman" w:hAnsi="Times New Roman" w:cs="Times New Roman"/>
          <w:b/>
          <w:bCs/>
          <w:sz w:val="24"/>
          <w:szCs w:val="24"/>
        </w:rPr>
      </w:pPr>
    </w:p>
    <w:p w14:paraId="3011004A" w14:textId="1744F3A6" w:rsidR="006D3A0F" w:rsidRDefault="006D3A0F" w:rsidP="00C83700">
      <w:pPr>
        <w:jc w:val="right"/>
        <w:rPr>
          <w:rFonts w:ascii="Times New Roman" w:eastAsia="Calibri" w:hAnsi="Times New Roman" w:cs="Times New Roman"/>
          <w:lang w:eastAsia="lt-LT"/>
        </w:rPr>
      </w:pPr>
      <w:r w:rsidRPr="003A7C87">
        <w:rPr>
          <w:noProof/>
        </w:rPr>
        <w:drawing>
          <wp:inline distT="0" distB="0" distL="0" distR="0" wp14:anchorId="4B43D5D6" wp14:editId="046F44DE">
            <wp:extent cx="2424787" cy="1613140"/>
            <wp:effectExtent l="0" t="0" r="0" b="635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64002" cy="1639229"/>
                    </a:xfrm>
                    <a:prstGeom prst="rect">
                      <a:avLst/>
                    </a:prstGeom>
                    <a:noFill/>
                    <a:ln>
                      <a:noFill/>
                    </a:ln>
                  </pic:spPr>
                </pic:pic>
              </a:graphicData>
            </a:graphic>
          </wp:inline>
        </w:drawing>
      </w:r>
    </w:p>
    <w:p w14:paraId="4C451AF0" w14:textId="1A7C5D38" w:rsidR="00D20E92" w:rsidRDefault="00D20E92" w:rsidP="00C83700">
      <w:pPr>
        <w:jc w:val="right"/>
        <w:rPr>
          <w:rFonts w:ascii="Times New Roman" w:eastAsia="Calibri" w:hAnsi="Times New Roman" w:cs="Times New Roman"/>
          <w:lang w:eastAsia="lt-LT"/>
        </w:rPr>
      </w:pPr>
      <w:r w:rsidRPr="006D206A">
        <w:rPr>
          <w:rFonts w:ascii="Times New Roman" w:eastAsia="Calibri" w:hAnsi="Times New Roman" w:cs="Times New Roman"/>
          <w:lang w:eastAsia="lt-LT"/>
        </w:rPr>
        <w:t>Konkurso sąlygų priedas Nr.</w:t>
      </w:r>
      <w:r w:rsidR="00C83700">
        <w:rPr>
          <w:rFonts w:ascii="Times New Roman" w:eastAsia="Calibri" w:hAnsi="Times New Roman" w:cs="Times New Roman"/>
          <w:lang w:eastAsia="lt-LT"/>
        </w:rPr>
        <w:t>1</w:t>
      </w:r>
      <w:r w:rsidRPr="006D206A">
        <w:rPr>
          <w:rFonts w:ascii="Times New Roman" w:eastAsia="Calibri" w:hAnsi="Times New Roman" w:cs="Times New Roman"/>
          <w:lang w:eastAsia="lt-LT"/>
        </w:rPr>
        <w:t xml:space="preserve"> </w:t>
      </w:r>
    </w:p>
    <w:p w14:paraId="74CA395D" w14:textId="28AB3CB8" w:rsidR="006B3E8F" w:rsidRPr="00214513" w:rsidRDefault="006B3E8F" w:rsidP="006B3E8F">
      <w:pPr>
        <w:jc w:val="center"/>
        <w:rPr>
          <w:rFonts w:ascii="Times New Roman" w:hAnsi="Times New Roman" w:cs="Times New Roman"/>
          <w:b/>
          <w:bCs/>
          <w:sz w:val="24"/>
          <w:szCs w:val="24"/>
        </w:rPr>
      </w:pPr>
      <w:r w:rsidRPr="00214513">
        <w:rPr>
          <w:rFonts w:ascii="Times New Roman" w:hAnsi="Times New Roman" w:cs="Times New Roman"/>
          <w:b/>
          <w:bCs/>
          <w:sz w:val="24"/>
          <w:szCs w:val="24"/>
        </w:rPr>
        <w:t>TECHNINĖ SPECIFIKACIJA</w:t>
      </w:r>
    </w:p>
    <w:p w14:paraId="19A6ACCD" w14:textId="77777777" w:rsidR="00214513" w:rsidRPr="00F62AFE" w:rsidRDefault="00214513" w:rsidP="00214513">
      <w:pPr>
        <w:tabs>
          <w:tab w:val="left" w:pos="3150"/>
        </w:tabs>
        <w:spacing w:after="0" w:line="276" w:lineRule="auto"/>
        <w:jc w:val="center"/>
        <w:rPr>
          <w:rFonts w:ascii="Times New Roman" w:hAnsi="Times New Roman" w:cs="Times New Roman"/>
          <w:b/>
          <w:caps/>
          <w:sz w:val="24"/>
          <w:szCs w:val="24"/>
        </w:rPr>
      </w:pPr>
      <w:r w:rsidRPr="00F62AFE">
        <w:rPr>
          <w:rFonts w:ascii="Times New Roman" w:hAnsi="Times New Roman" w:cs="Times New Roman"/>
          <w:b/>
          <w:caps/>
          <w:sz w:val="24"/>
          <w:szCs w:val="24"/>
        </w:rPr>
        <w:t>Plonasluoksnės chromatografijos skeneris</w:t>
      </w:r>
    </w:p>
    <w:p w14:paraId="24F9AE76" w14:textId="77777777" w:rsidR="00214513" w:rsidRDefault="00214513" w:rsidP="006B3E8F">
      <w:pPr>
        <w:jc w:val="center"/>
        <w:rPr>
          <w:rFonts w:ascii="Times New Roman" w:hAnsi="Times New Roman" w:cs="Times New Roman"/>
          <w:sz w:val="24"/>
          <w:szCs w:val="24"/>
        </w:rPr>
      </w:pPr>
    </w:p>
    <w:tbl>
      <w:tblPr>
        <w:tblStyle w:val="TableGridLigh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CF39AA" w:rsidRPr="00F37DF7" w14:paraId="0115345C" w14:textId="77777777" w:rsidTr="00677C81">
        <w:tc>
          <w:tcPr>
            <w:tcW w:w="10065" w:type="dxa"/>
            <w:tcBorders>
              <w:top w:val="nil"/>
              <w:left w:val="nil"/>
              <w:bottom w:val="nil"/>
              <w:right w:val="nil"/>
            </w:tcBorders>
          </w:tcPr>
          <w:p w14:paraId="185FD67D" w14:textId="77777777" w:rsidR="00CF39AA" w:rsidRPr="00F37DF7" w:rsidRDefault="00CF39AA" w:rsidP="00CF39AA">
            <w:pPr>
              <w:jc w:val="both"/>
              <w:rPr>
                <w:rFonts w:ascii="Times New Roman" w:eastAsia="Aptos" w:hAnsi="Times New Roman" w:cs="Times New Roman"/>
                <w:b/>
                <w:bCs/>
                <w:lang w:val="lt-LT" w:eastAsia="lt-LT"/>
              </w:rPr>
            </w:pPr>
            <w:r>
              <w:rPr>
                <w:rFonts w:ascii="Times New Roman" w:eastAsia="Aptos" w:hAnsi="Times New Roman" w:cs="Times New Roman"/>
                <w:b/>
                <w:bCs/>
                <w:lang w:val="lt-LT" w:eastAsia="lt-LT"/>
              </w:rPr>
              <w:t xml:space="preserve">1. </w:t>
            </w:r>
            <w:r w:rsidRPr="00F37DF7">
              <w:rPr>
                <w:rFonts w:ascii="Times New Roman" w:eastAsia="Aptos" w:hAnsi="Times New Roman" w:cs="Times New Roman"/>
                <w:b/>
                <w:bCs/>
                <w:lang w:val="lt-LT" w:eastAsia="lt-LT"/>
              </w:rPr>
              <w:t>Bendrieji reikalavimai:</w:t>
            </w:r>
          </w:p>
          <w:p w14:paraId="2FB429AA" w14:textId="77777777" w:rsidR="00CF39AA" w:rsidRPr="00F37DF7" w:rsidRDefault="00CF39AA" w:rsidP="00CF39AA">
            <w:pPr>
              <w:jc w:val="both"/>
              <w:rPr>
                <w:rFonts w:ascii="Times New Roman" w:eastAsia="Aptos" w:hAnsi="Times New Roman" w:cs="Times New Roman"/>
                <w:b/>
                <w:bCs/>
                <w:lang w:val="lt-LT" w:eastAsia="lt-LT"/>
              </w:rPr>
            </w:pPr>
          </w:p>
          <w:p w14:paraId="23B565F5" w14:textId="2DAF37B3" w:rsidR="00CF39AA" w:rsidRPr="00F37DF7" w:rsidRDefault="00CF39AA" w:rsidP="00CF39AA">
            <w:pPr>
              <w:jc w:val="both"/>
              <w:rPr>
                <w:rFonts w:ascii="Times New Roman" w:eastAsia="Aptos" w:hAnsi="Times New Roman" w:cs="Times New Roman"/>
                <w:b/>
                <w:bCs/>
                <w:lang w:val="lt-LT" w:eastAsia="lt-LT"/>
              </w:rPr>
            </w:pPr>
            <w:r w:rsidRPr="00F37DF7">
              <w:rPr>
                <w:rFonts w:ascii="Times New Roman" w:eastAsia="Aptos" w:hAnsi="Times New Roman" w:cs="Times New Roman"/>
                <w:lang w:val="lt-LT"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F37DF7">
              <w:rPr>
                <w:rFonts w:ascii="Times New Roman" w:eastAsia="Aptos" w:hAnsi="Times New Roman" w:cs="Times New Roman"/>
                <w:lang w:val="lt-LT" w:eastAsia="lt-LT"/>
              </w:rPr>
              <w:t>pdf</w:t>
            </w:r>
            <w:proofErr w:type="spellEnd"/>
            <w:r w:rsidRPr="00F37DF7">
              <w:rPr>
                <w:rFonts w:ascii="Times New Roman" w:eastAsia="Aptos" w:hAnsi="Times New Roman" w:cs="Times New Roman"/>
                <w:lang w:val="lt-LT" w:eastAsia="lt-LT"/>
              </w:rPr>
              <w:t xml:space="preserve"> formatu)</w:t>
            </w:r>
            <w:r>
              <w:rPr>
                <w:rFonts w:ascii="Times New Roman" w:eastAsia="Aptos" w:hAnsi="Times New Roman" w:cs="Times New Roman"/>
                <w:lang w:val="lt-LT" w:eastAsia="lt-LT"/>
              </w:rPr>
              <w:t xml:space="preserve"> </w:t>
            </w:r>
            <w:proofErr w:type="spellStart"/>
            <w:r w:rsidRPr="00DB33B0">
              <w:rPr>
                <w:rFonts w:ascii="Times New Roman" w:eastAsia="Calibri" w:hAnsi="Times New Roman" w:cs="Times New Roman"/>
                <w:b/>
                <w:bCs/>
              </w:rPr>
              <w:t>su</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vertimu</w:t>
            </w:r>
            <w:proofErr w:type="spellEnd"/>
            <w:r w:rsidRPr="00DB33B0">
              <w:rPr>
                <w:rFonts w:ascii="Times New Roman" w:eastAsia="Calibri" w:hAnsi="Times New Roman" w:cs="Times New Roman"/>
                <w:b/>
                <w:bCs/>
              </w:rPr>
              <w:t xml:space="preserve"> į </w:t>
            </w:r>
            <w:proofErr w:type="spellStart"/>
            <w:r w:rsidRPr="00DB33B0">
              <w:rPr>
                <w:rFonts w:ascii="Times New Roman" w:eastAsia="Calibri" w:hAnsi="Times New Roman" w:cs="Times New Roman"/>
                <w:b/>
                <w:bCs/>
              </w:rPr>
              <w:t>lietuvių</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kalbą</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Cs/>
              </w:rPr>
              <w:t>kiek</w:t>
            </w:r>
            <w:proofErr w:type="spellEnd"/>
            <w:r w:rsidRPr="00DB33B0">
              <w:rPr>
                <w:rFonts w:ascii="Times New Roman" w:eastAsia="Calibri" w:hAnsi="Times New Roman" w:cs="Times New Roman"/>
                <w:bCs/>
              </w:rPr>
              <w:t xml:space="preserve"> tai </w:t>
            </w:r>
            <w:proofErr w:type="spellStart"/>
            <w:r w:rsidRPr="00DB33B0">
              <w:rPr>
                <w:rFonts w:ascii="Times New Roman" w:eastAsia="Calibri" w:hAnsi="Times New Roman" w:cs="Times New Roman"/>
                <w:bCs/>
              </w:rPr>
              <w:t>susiję</w:t>
            </w:r>
            <w:proofErr w:type="spellEnd"/>
            <w:r w:rsidRPr="00DB33B0">
              <w:rPr>
                <w:rFonts w:ascii="Times New Roman" w:eastAsia="Calibri" w:hAnsi="Times New Roman" w:cs="Times New Roman"/>
                <w:bCs/>
              </w:rPr>
              <w:t xml:space="preserve"> </w:t>
            </w:r>
            <w:proofErr w:type="spellStart"/>
            <w:r w:rsidRPr="00DB33B0">
              <w:rPr>
                <w:rFonts w:ascii="Times New Roman" w:eastAsia="Calibri" w:hAnsi="Times New Roman" w:cs="Times New Roman"/>
                <w:bCs/>
              </w:rPr>
              <w:t>su</w:t>
            </w:r>
            <w:proofErr w:type="spellEnd"/>
            <w:r w:rsidRPr="00DB33B0">
              <w:rPr>
                <w:rFonts w:ascii="Times New Roman" w:eastAsia="Calibri" w:hAnsi="Times New Roman" w:cs="Times New Roman"/>
                <w:bCs/>
              </w:rPr>
              <w:t xml:space="preserve"> </w:t>
            </w:r>
            <w:proofErr w:type="spellStart"/>
            <w:r w:rsidRPr="00DB33B0">
              <w:rPr>
                <w:rFonts w:ascii="Times New Roman" w:eastAsia="Calibri" w:hAnsi="Times New Roman" w:cs="Times New Roman"/>
                <w:bCs/>
              </w:rPr>
              <w:t>atitiktimi</w:t>
            </w:r>
            <w:proofErr w:type="spellEnd"/>
            <w:r w:rsidRPr="00DB33B0">
              <w:rPr>
                <w:rFonts w:ascii="Times New Roman" w:eastAsia="Calibri" w:hAnsi="Times New Roman" w:cs="Times New Roman"/>
                <w:bCs/>
              </w:rPr>
              <w:t xml:space="preserve"> </w:t>
            </w:r>
            <w:proofErr w:type="spellStart"/>
            <w:r w:rsidRPr="00DB33B0">
              <w:rPr>
                <w:rFonts w:ascii="Times New Roman" w:eastAsia="Calibri" w:hAnsi="Times New Roman" w:cs="Times New Roman"/>
                <w:bCs/>
              </w:rPr>
              <w:t>techninės</w:t>
            </w:r>
            <w:proofErr w:type="spellEnd"/>
            <w:r w:rsidRPr="00DB33B0">
              <w:rPr>
                <w:rFonts w:ascii="Times New Roman" w:eastAsia="Calibri" w:hAnsi="Times New Roman" w:cs="Times New Roman"/>
                <w:bCs/>
              </w:rPr>
              <w:t xml:space="preserve"> </w:t>
            </w:r>
            <w:proofErr w:type="spellStart"/>
            <w:r w:rsidRPr="00DB33B0">
              <w:rPr>
                <w:rFonts w:ascii="Times New Roman" w:eastAsia="Calibri" w:hAnsi="Times New Roman" w:cs="Times New Roman"/>
                <w:bCs/>
              </w:rPr>
              <w:t>specifikacijos</w:t>
            </w:r>
            <w:proofErr w:type="spellEnd"/>
            <w:r w:rsidRPr="00DB33B0">
              <w:rPr>
                <w:rFonts w:ascii="Times New Roman" w:eastAsia="Calibri" w:hAnsi="Times New Roman" w:cs="Times New Roman"/>
                <w:bCs/>
              </w:rPr>
              <w:t xml:space="preserve"> </w:t>
            </w:r>
            <w:proofErr w:type="spellStart"/>
            <w:r w:rsidRPr="00DB33B0">
              <w:rPr>
                <w:rFonts w:ascii="Times New Roman" w:eastAsia="Calibri" w:hAnsi="Times New Roman" w:cs="Times New Roman"/>
                <w:bCs/>
              </w:rPr>
              <w:t>reikalavimams</w:t>
            </w:r>
            <w:proofErr w:type="spellEnd"/>
            <w:r w:rsidRPr="00DB33B0">
              <w:rPr>
                <w:rFonts w:ascii="Times New Roman" w:eastAsia="Calibri" w:hAnsi="Times New Roman" w:cs="Times New Roman"/>
                <w:bCs/>
              </w:rPr>
              <w:t xml:space="preserve">). </w:t>
            </w:r>
            <w:proofErr w:type="spellStart"/>
            <w:r w:rsidRPr="00DB33B0">
              <w:rPr>
                <w:rFonts w:ascii="Times New Roman" w:eastAsia="Calibri" w:hAnsi="Times New Roman" w:cs="Times New Roman"/>
                <w:b/>
                <w:bCs/>
              </w:rPr>
              <w:t>Perkančioji</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organizacija</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nereikalauja</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kad</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šių</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dokumentų</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vertimas</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būtų</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patvirtintas</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tiekėjo</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ar</w:t>
            </w:r>
            <w:proofErr w:type="spellEnd"/>
            <w:r w:rsidRPr="00DB33B0">
              <w:rPr>
                <w:rFonts w:ascii="Times New Roman" w:eastAsia="Calibri" w:hAnsi="Times New Roman" w:cs="Times New Roman"/>
                <w:b/>
                <w:bCs/>
              </w:rPr>
              <w:t xml:space="preserve"> jo </w:t>
            </w:r>
            <w:proofErr w:type="spellStart"/>
            <w:r w:rsidRPr="00DB33B0">
              <w:rPr>
                <w:rFonts w:ascii="Times New Roman" w:eastAsia="Calibri" w:hAnsi="Times New Roman" w:cs="Times New Roman"/>
                <w:b/>
                <w:bCs/>
              </w:rPr>
              <w:t>įgalioto</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asmens</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parašu</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arba</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patvirtintas</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vertėjo</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parašu</w:t>
            </w:r>
            <w:proofErr w:type="spellEnd"/>
            <w:r w:rsidRPr="00DB33B0">
              <w:rPr>
                <w:rFonts w:ascii="Times New Roman" w:eastAsia="Calibri" w:hAnsi="Times New Roman" w:cs="Times New Roman"/>
                <w:b/>
                <w:bCs/>
              </w:rPr>
              <w:t xml:space="preserve"> ir </w:t>
            </w:r>
            <w:proofErr w:type="spellStart"/>
            <w:r w:rsidRPr="00DB33B0">
              <w:rPr>
                <w:rFonts w:ascii="Times New Roman" w:eastAsia="Calibri" w:hAnsi="Times New Roman" w:cs="Times New Roman"/>
                <w:b/>
                <w:bCs/>
              </w:rPr>
              <w:t>vertimo</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biuro</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antspaudu</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jei</w:t>
            </w:r>
            <w:proofErr w:type="spellEnd"/>
            <w:r w:rsidRPr="00DB33B0">
              <w:rPr>
                <w:rFonts w:ascii="Times New Roman" w:eastAsia="Calibri" w:hAnsi="Times New Roman" w:cs="Times New Roman"/>
                <w:b/>
                <w:bCs/>
              </w:rPr>
              <w:t xml:space="preserve"> </w:t>
            </w:r>
            <w:proofErr w:type="spellStart"/>
            <w:r w:rsidRPr="00DB33B0">
              <w:rPr>
                <w:rFonts w:ascii="Times New Roman" w:eastAsia="Calibri" w:hAnsi="Times New Roman" w:cs="Times New Roman"/>
                <w:b/>
                <w:bCs/>
              </w:rPr>
              <w:t>turi</w:t>
            </w:r>
            <w:proofErr w:type="spellEnd"/>
            <w:proofErr w:type="gramStart"/>
            <w:r w:rsidRPr="00DB33B0">
              <w:rPr>
                <w:rFonts w:ascii="Times New Roman" w:eastAsia="Calibri" w:hAnsi="Times New Roman" w:cs="Times New Roman"/>
                <w:b/>
                <w:bCs/>
              </w:rPr>
              <w:t>).</w:t>
            </w:r>
            <w:r w:rsidRPr="00F37DF7">
              <w:rPr>
                <w:rFonts w:ascii="Times New Roman" w:eastAsia="Aptos" w:hAnsi="Times New Roman" w:cs="Times New Roman"/>
                <w:lang w:val="lt-LT" w:eastAsia="lt-LT"/>
              </w:rPr>
              <w:t>.</w:t>
            </w:r>
            <w:proofErr w:type="gramEnd"/>
            <w:r w:rsidRPr="00F37DF7">
              <w:rPr>
                <w:rFonts w:ascii="Times New Roman" w:eastAsia="Aptos" w:hAnsi="Times New Roman" w:cs="Times New Roman"/>
                <w:lang w:val="lt-LT" w:eastAsia="lt-LT"/>
              </w:rPr>
              <w:t xml:space="preserve"> </w:t>
            </w:r>
            <w:r w:rsidRPr="00F37DF7">
              <w:rPr>
                <w:rFonts w:ascii="Times New Roman" w:eastAsia="Aptos" w:hAnsi="Times New Roman" w:cs="Times New Roman"/>
                <w:color w:val="EE0000"/>
                <w:lang w:val="lt-LT"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c>
      </w:tr>
      <w:tr w:rsidR="00CF39AA" w:rsidRPr="00F37DF7" w14:paraId="0A67EBD3" w14:textId="77777777" w:rsidTr="00677C81">
        <w:tc>
          <w:tcPr>
            <w:tcW w:w="10065" w:type="dxa"/>
            <w:tcBorders>
              <w:top w:val="nil"/>
              <w:left w:val="nil"/>
              <w:bottom w:val="nil"/>
              <w:right w:val="nil"/>
            </w:tcBorders>
          </w:tcPr>
          <w:p w14:paraId="2586646C" w14:textId="77777777" w:rsidR="00CF39AA" w:rsidRPr="00F37DF7" w:rsidRDefault="00CF39AA" w:rsidP="00CF39AA">
            <w:pPr>
              <w:jc w:val="both"/>
              <w:rPr>
                <w:rFonts w:ascii="Times New Roman" w:eastAsia="Aptos" w:hAnsi="Times New Roman" w:cs="Times New Roman"/>
                <w:lang w:val="lt-LT" w:eastAsia="lt-LT"/>
              </w:rPr>
            </w:pPr>
            <w:r>
              <w:rPr>
                <w:rFonts w:ascii="Times New Roman" w:eastAsia="Aptos" w:hAnsi="Times New Roman" w:cs="Times New Roman"/>
                <w:lang w:val="lt-LT" w:eastAsia="lt-LT"/>
              </w:rPr>
              <w:t>*</w:t>
            </w:r>
            <w:r w:rsidRPr="00F37DF7">
              <w:rPr>
                <w:rFonts w:ascii="Times New Roman" w:eastAsia="Aptos" w:hAnsi="Times New Roman" w:cs="Times New Roman"/>
                <w:lang w:val="lt-LT" w:eastAsia="lt-LT"/>
              </w:rPr>
              <w:t>Netaikoma garantijai.</w:t>
            </w:r>
          </w:p>
          <w:p w14:paraId="2FC74327" w14:textId="77777777" w:rsidR="00CF39AA" w:rsidRPr="00F37DF7" w:rsidRDefault="00CF39AA" w:rsidP="00CF39AA">
            <w:pPr>
              <w:jc w:val="both"/>
              <w:rPr>
                <w:rFonts w:ascii="Times New Roman" w:eastAsia="Aptos" w:hAnsi="Times New Roman" w:cs="Times New Roman"/>
                <w:b/>
                <w:bCs/>
                <w:lang w:val="lt-LT" w:eastAsia="lt-LT"/>
              </w:rPr>
            </w:pPr>
          </w:p>
        </w:tc>
      </w:tr>
    </w:tbl>
    <w:tbl>
      <w:tblPr>
        <w:tblStyle w:val="TableGrid"/>
        <w:tblW w:w="9628" w:type="dxa"/>
        <w:tblLook w:val="04A0" w:firstRow="1" w:lastRow="0" w:firstColumn="1" w:lastColumn="0" w:noHBand="0" w:noVBand="1"/>
      </w:tblPr>
      <w:tblGrid>
        <w:gridCol w:w="659"/>
        <w:gridCol w:w="2394"/>
        <w:gridCol w:w="3564"/>
        <w:gridCol w:w="3011"/>
      </w:tblGrid>
      <w:tr w:rsidR="00AD6D8B" w:rsidRPr="008F6E54" w14:paraId="65445D3E" w14:textId="199A75FB" w:rsidTr="00AD6D8B">
        <w:tc>
          <w:tcPr>
            <w:tcW w:w="659" w:type="dxa"/>
          </w:tcPr>
          <w:p w14:paraId="26F8B2FE" w14:textId="6DA28335" w:rsidR="00AD6D8B" w:rsidRPr="008F6E54" w:rsidRDefault="00AD6D8B" w:rsidP="006B3E8F">
            <w:pPr>
              <w:rPr>
                <w:rFonts w:ascii="Times New Roman" w:hAnsi="Times New Roman" w:cs="Times New Roman"/>
                <w:sz w:val="24"/>
                <w:szCs w:val="24"/>
                <w:lang w:val="lt-LT"/>
              </w:rPr>
            </w:pPr>
            <w:proofErr w:type="spellStart"/>
            <w:r w:rsidRPr="008F6E54">
              <w:rPr>
                <w:rFonts w:ascii="Times New Roman" w:hAnsi="Times New Roman" w:cs="Times New Roman"/>
                <w:b/>
                <w:bCs/>
                <w:sz w:val="24"/>
                <w:szCs w:val="24"/>
                <w:lang w:val="lt-LT"/>
              </w:rPr>
              <w:t>Eil</w:t>
            </w:r>
            <w:proofErr w:type="spellEnd"/>
            <w:r w:rsidRPr="008F6E54">
              <w:rPr>
                <w:rFonts w:ascii="Times New Roman" w:hAnsi="Times New Roman" w:cs="Times New Roman"/>
                <w:b/>
                <w:bCs/>
                <w:sz w:val="24"/>
                <w:szCs w:val="24"/>
                <w:lang w:val="lt-LT"/>
              </w:rPr>
              <w:t xml:space="preserve"> . Nr.</w:t>
            </w:r>
          </w:p>
        </w:tc>
        <w:tc>
          <w:tcPr>
            <w:tcW w:w="2394" w:type="dxa"/>
          </w:tcPr>
          <w:p w14:paraId="38DDD2DD" w14:textId="0E90731B" w:rsidR="00AD6D8B" w:rsidRPr="008F6E54" w:rsidRDefault="00AD6D8B" w:rsidP="006B3E8F">
            <w:pPr>
              <w:rPr>
                <w:rFonts w:ascii="Times New Roman" w:hAnsi="Times New Roman" w:cs="Times New Roman"/>
                <w:sz w:val="24"/>
                <w:szCs w:val="24"/>
                <w:lang w:val="lt-LT"/>
              </w:rPr>
            </w:pPr>
            <w:r w:rsidRPr="008F6E54">
              <w:rPr>
                <w:rFonts w:ascii="Times New Roman" w:hAnsi="Times New Roman" w:cs="Times New Roman"/>
                <w:b/>
                <w:bCs/>
                <w:sz w:val="24"/>
                <w:szCs w:val="24"/>
                <w:lang w:val="lt-LT"/>
              </w:rPr>
              <w:t>Parametras</w:t>
            </w:r>
          </w:p>
        </w:tc>
        <w:tc>
          <w:tcPr>
            <w:tcW w:w="3564" w:type="dxa"/>
          </w:tcPr>
          <w:p w14:paraId="30EF3EAE" w14:textId="569C872F" w:rsidR="00AD6D8B" w:rsidRPr="008F6E54" w:rsidRDefault="00AD6D8B" w:rsidP="006B3E8F">
            <w:pPr>
              <w:rPr>
                <w:rFonts w:ascii="Times New Roman" w:hAnsi="Times New Roman" w:cs="Times New Roman"/>
                <w:sz w:val="24"/>
                <w:szCs w:val="24"/>
                <w:lang w:val="lt-LT"/>
              </w:rPr>
            </w:pPr>
            <w:r w:rsidRPr="008F6E54">
              <w:rPr>
                <w:rFonts w:ascii="Times New Roman" w:hAnsi="Times New Roman" w:cs="Times New Roman"/>
                <w:b/>
                <w:bCs/>
                <w:sz w:val="24"/>
                <w:szCs w:val="24"/>
                <w:lang w:val="lt-LT"/>
              </w:rPr>
              <w:t>Reikalavimai parametrui</w:t>
            </w:r>
          </w:p>
        </w:tc>
        <w:tc>
          <w:tcPr>
            <w:tcW w:w="3011" w:type="dxa"/>
          </w:tcPr>
          <w:p w14:paraId="1790F827" w14:textId="77777777" w:rsidR="002D7256" w:rsidRDefault="002D7256" w:rsidP="002D7256">
            <w:pPr>
              <w:jc w:val="center"/>
              <w:rPr>
                <w:rFonts w:ascii="Times New Roman" w:hAnsi="Times New Roman" w:cs="Times New Roman"/>
                <w:b/>
                <w:bCs/>
                <w:lang w:val="lt-LT"/>
              </w:rPr>
            </w:pPr>
            <w:r w:rsidRPr="005D4AF2">
              <w:rPr>
                <w:rFonts w:ascii="Times New Roman" w:hAnsi="Times New Roman" w:cs="Times New Roman"/>
                <w:b/>
                <w:bCs/>
                <w:lang w:val="lt-LT"/>
              </w:rPr>
              <w:t>Siūlomos parametrų reikšmės</w:t>
            </w:r>
          </w:p>
          <w:p w14:paraId="2F8CA1C6" w14:textId="77777777" w:rsidR="002D7256" w:rsidRDefault="002D7256" w:rsidP="002D7256">
            <w:pPr>
              <w:jc w:val="center"/>
              <w:rPr>
                <w:rFonts w:ascii="Times New Roman" w:hAnsi="Times New Roman" w:cs="Times New Roman"/>
                <w:b/>
                <w:bCs/>
                <w:lang w:val="lt-LT"/>
              </w:rPr>
            </w:pPr>
          </w:p>
          <w:p w14:paraId="4126FCDA" w14:textId="77777777" w:rsidR="002D7256" w:rsidRPr="004E42E7" w:rsidRDefault="002D7256" w:rsidP="002D7256">
            <w:pPr>
              <w:jc w:val="center"/>
              <w:rPr>
                <w:rFonts w:ascii="Times New Roman" w:hAnsi="Times New Roman" w:cs="Times New Roman"/>
                <w:b/>
                <w:bCs/>
                <w:lang w:eastAsia="lt-LT"/>
              </w:rPr>
            </w:pPr>
            <w:r w:rsidRPr="004E42E7">
              <w:rPr>
                <w:rFonts w:ascii="Times New Roman" w:hAnsi="Times New Roman" w:cs="Times New Roman"/>
                <w:b/>
                <w:bCs/>
                <w:lang w:val="sv-SE" w:eastAsia="lt-LT"/>
              </w:rPr>
              <w:t>Tiekėjas pildo kiekvien</w:t>
            </w:r>
            <w:r w:rsidRPr="004E42E7">
              <w:rPr>
                <w:rFonts w:ascii="Times New Roman" w:hAnsi="Times New Roman" w:cs="Times New Roman"/>
                <w:b/>
                <w:bCs/>
                <w:lang w:eastAsia="lt-LT"/>
              </w:rPr>
              <w:t xml:space="preserve">ą </w:t>
            </w:r>
            <w:proofErr w:type="spellStart"/>
            <w:r w:rsidRPr="004E42E7">
              <w:rPr>
                <w:rFonts w:ascii="Times New Roman" w:hAnsi="Times New Roman" w:cs="Times New Roman"/>
                <w:b/>
                <w:bCs/>
                <w:lang w:eastAsia="lt-LT"/>
              </w:rPr>
              <w:t>reikalavimą</w:t>
            </w:r>
            <w:proofErr w:type="spellEnd"/>
            <w:r w:rsidRPr="004E42E7">
              <w:rPr>
                <w:rFonts w:ascii="Times New Roman" w:hAnsi="Times New Roman" w:cs="Times New Roman"/>
                <w:b/>
                <w:bCs/>
                <w:lang w:eastAsia="lt-LT"/>
              </w:rPr>
              <w:t xml:space="preserve"> </w:t>
            </w:r>
            <w:proofErr w:type="spellStart"/>
            <w:r w:rsidRPr="004E42E7">
              <w:rPr>
                <w:rFonts w:ascii="Times New Roman" w:hAnsi="Times New Roman" w:cs="Times New Roman"/>
                <w:b/>
                <w:bCs/>
                <w:lang w:eastAsia="lt-LT"/>
              </w:rPr>
              <w:t>su</w:t>
            </w:r>
            <w:proofErr w:type="spellEnd"/>
            <w:r w:rsidRPr="004E42E7">
              <w:rPr>
                <w:rFonts w:ascii="Times New Roman" w:hAnsi="Times New Roman" w:cs="Times New Roman"/>
                <w:b/>
                <w:bCs/>
                <w:lang w:eastAsia="lt-LT"/>
              </w:rPr>
              <w:t xml:space="preserve"> </w:t>
            </w:r>
            <w:proofErr w:type="spellStart"/>
            <w:r w:rsidRPr="004E42E7">
              <w:rPr>
                <w:rFonts w:ascii="Times New Roman" w:hAnsi="Times New Roman" w:cs="Times New Roman"/>
                <w:b/>
                <w:bCs/>
                <w:lang w:eastAsia="lt-LT"/>
              </w:rPr>
              <w:t>atitinkama</w:t>
            </w:r>
            <w:proofErr w:type="spellEnd"/>
            <w:r w:rsidRPr="004E42E7">
              <w:rPr>
                <w:rFonts w:ascii="Times New Roman" w:hAnsi="Times New Roman" w:cs="Times New Roman"/>
                <w:b/>
                <w:bCs/>
                <w:lang w:eastAsia="lt-LT"/>
              </w:rPr>
              <w:t xml:space="preserve"> </w:t>
            </w:r>
            <w:proofErr w:type="spellStart"/>
            <w:r w:rsidRPr="004E42E7">
              <w:rPr>
                <w:rFonts w:ascii="Times New Roman" w:hAnsi="Times New Roman" w:cs="Times New Roman"/>
                <w:b/>
                <w:bCs/>
                <w:lang w:eastAsia="lt-LT"/>
              </w:rPr>
              <w:t>siūloma</w:t>
            </w:r>
            <w:proofErr w:type="spellEnd"/>
            <w:r w:rsidRPr="004E42E7">
              <w:rPr>
                <w:rFonts w:ascii="Times New Roman" w:hAnsi="Times New Roman" w:cs="Times New Roman"/>
                <w:b/>
                <w:bCs/>
                <w:lang w:eastAsia="lt-LT"/>
              </w:rPr>
              <w:t xml:space="preserve"> </w:t>
            </w:r>
            <w:proofErr w:type="spellStart"/>
            <w:r w:rsidRPr="004E42E7">
              <w:rPr>
                <w:rFonts w:ascii="Times New Roman" w:hAnsi="Times New Roman" w:cs="Times New Roman"/>
                <w:b/>
                <w:bCs/>
                <w:lang w:eastAsia="lt-LT"/>
              </w:rPr>
              <w:t>reikšme</w:t>
            </w:r>
            <w:proofErr w:type="spellEnd"/>
            <w:r w:rsidRPr="004E42E7">
              <w:rPr>
                <w:rFonts w:ascii="Times New Roman" w:hAnsi="Times New Roman" w:cs="Times New Roman"/>
                <w:b/>
                <w:bCs/>
                <w:lang w:eastAsia="lt-LT"/>
              </w:rPr>
              <w:t>.</w:t>
            </w:r>
          </w:p>
          <w:p w14:paraId="0FBEFB75" w14:textId="77777777" w:rsidR="002D7256" w:rsidRDefault="002D7256" w:rsidP="002D7256">
            <w:pPr>
              <w:jc w:val="center"/>
              <w:rPr>
                <w:rFonts w:ascii="Times New Roman" w:hAnsi="Times New Roman" w:cs="Times New Roman"/>
                <w:b/>
                <w:bCs/>
                <w:lang w:val="lt-LT"/>
              </w:rPr>
            </w:pPr>
          </w:p>
          <w:p w14:paraId="2CC17D30" w14:textId="77777777" w:rsidR="002D7256" w:rsidRPr="007F65FA" w:rsidRDefault="002D7256" w:rsidP="007F65FA">
            <w:pPr>
              <w:jc w:val="center"/>
              <w:rPr>
                <w:rFonts w:ascii="Times New Roman" w:hAnsi="Times New Roman" w:cs="Times New Roman"/>
                <w:b/>
                <w:bCs/>
                <w:color w:val="EE0000"/>
                <w:sz w:val="20"/>
                <w:szCs w:val="20"/>
                <w:lang w:val="lt-LT"/>
              </w:rPr>
            </w:pPr>
            <w:r w:rsidRPr="007F65FA">
              <w:rPr>
                <w:rFonts w:ascii="Times New Roman" w:hAnsi="Times New Roman" w:cs="Times New Roman"/>
                <w:b/>
                <w:bCs/>
                <w:color w:val="EE0000"/>
                <w:sz w:val="20"/>
                <w:szCs w:val="20"/>
                <w:lang w:val="lt-LT"/>
              </w:rPr>
              <w:t xml:space="preserve">*Prie kiekvieno reikalavimo pateikiamas  techninę charakteristiką pagrindžiantis dokumentas </w:t>
            </w:r>
            <w:r w:rsidRPr="007F65FA">
              <w:rPr>
                <w:rFonts w:ascii="Times New Roman" w:hAnsi="Times New Roman" w:cs="Times New Roman"/>
                <w:b/>
                <w:bCs/>
                <w:color w:val="EE0000"/>
                <w:sz w:val="20"/>
                <w:szCs w:val="20"/>
                <w:highlight w:val="yellow"/>
                <w:u w:val="single"/>
                <w:lang w:val="lt-LT"/>
              </w:rPr>
              <w:t>....................</w:t>
            </w:r>
            <w:r w:rsidRPr="007F65FA">
              <w:rPr>
                <w:rFonts w:ascii="Times New Roman" w:hAnsi="Times New Roman" w:cs="Times New Roman"/>
                <w:b/>
                <w:bCs/>
                <w:color w:val="EE0000"/>
                <w:sz w:val="20"/>
                <w:szCs w:val="20"/>
                <w:lang w:val="lt-LT"/>
              </w:rPr>
              <w:t xml:space="preserve"> (nurodyti pateikiamą dokumentą), kurio </w:t>
            </w:r>
            <w:r w:rsidRPr="007F65FA">
              <w:rPr>
                <w:rFonts w:ascii="Times New Roman" w:hAnsi="Times New Roman" w:cs="Times New Roman"/>
                <w:b/>
                <w:bCs/>
                <w:color w:val="EE0000"/>
                <w:sz w:val="20"/>
                <w:szCs w:val="20"/>
                <w:highlight w:val="yellow"/>
                <w:u w:val="single"/>
                <w:lang w:val="lt-LT"/>
              </w:rPr>
              <w:t>.........</w:t>
            </w:r>
            <w:r w:rsidRPr="007F65FA">
              <w:rPr>
                <w:rFonts w:ascii="Times New Roman" w:hAnsi="Times New Roman" w:cs="Times New Roman"/>
                <w:b/>
                <w:bCs/>
                <w:color w:val="EE0000"/>
                <w:sz w:val="20"/>
                <w:szCs w:val="20"/>
                <w:lang w:val="lt-LT"/>
              </w:rPr>
              <w:t xml:space="preserve"> (nurodyti) puslapyje pateikta atžyma apie parametro reikšmę</w:t>
            </w:r>
          </w:p>
          <w:p w14:paraId="15EC716F" w14:textId="77777777" w:rsidR="002D7256" w:rsidRPr="007F65FA" w:rsidRDefault="002D7256" w:rsidP="007F65FA">
            <w:pPr>
              <w:jc w:val="center"/>
              <w:rPr>
                <w:rFonts w:ascii="Times New Roman" w:hAnsi="Times New Roman" w:cs="Times New Roman"/>
                <w:b/>
                <w:bCs/>
                <w:sz w:val="20"/>
                <w:szCs w:val="20"/>
                <w:lang w:val="lt-LT"/>
              </w:rPr>
            </w:pPr>
          </w:p>
          <w:p w14:paraId="55ACCFB6" w14:textId="2AC85E61" w:rsidR="00AD6D8B" w:rsidRPr="008F6E54" w:rsidRDefault="002D7256" w:rsidP="007F65FA">
            <w:pPr>
              <w:jc w:val="center"/>
              <w:rPr>
                <w:rFonts w:ascii="Times New Roman" w:hAnsi="Times New Roman" w:cs="Times New Roman"/>
                <w:b/>
                <w:bCs/>
                <w:sz w:val="24"/>
                <w:szCs w:val="24"/>
              </w:rPr>
            </w:pPr>
            <w:r w:rsidRPr="007F65FA">
              <w:rPr>
                <w:rFonts w:ascii="Times New Roman" w:hAnsi="Times New Roman" w:cs="Times New Roman"/>
                <w:b/>
                <w:bCs/>
                <w:color w:val="EE0000"/>
                <w:sz w:val="20"/>
                <w:szCs w:val="20"/>
                <w:lang w:val="lt-LT"/>
              </w:rPr>
              <w:t>(pildo tiekėjas)</w:t>
            </w:r>
          </w:p>
        </w:tc>
      </w:tr>
      <w:tr w:rsidR="00AD6D8B" w:rsidRPr="008F6E54" w14:paraId="15CFF645" w14:textId="6AE436A0" w:rsidTr="00AD6D8B">
        <w:tc>
          <w:tcPr>
            <w:tcW w:w="659" w:type="dxa"/>
          </w:tcPr>
          <w:p w14:paraId="090EE6DB" w14:textId="4DFAEEA4" w:rsidR="00AD6D8B" w:rsidRPr="00AD6D8B" w:rsidRDefault="00AD6D8B" w:rsidP="00CD08BE">
            <w:pPr>
              <w:jc w:val="center"/>
              <w:rPr>
                <w:rFonts w:ascii="Times New Roman" w:hAnsi="Times New Roman" w:cs="Times New Roman"/>
                <w:sz w:val="24"/>
                <w:szCs w:val="24"/>
                <w:lang w:val="lt-LT"/>
              </w:rPr>
            </w:pPr>
            <w:r w:rsidRPr="00AD6D8B">
              <w:rPr>
                <w:rFonts w:ascii="Times New Roman" w:hAnsi="Times New Roman" w:cs="Times New Roman"/>
                <w:sz w:val="24"/>
                <w:szCs w:val="24"/>
                <w:lang w:val="lt-LT"/>
              </w:rPr>
              <w:t>1</w:t>
            </w:r>
          </w:p>
        </w:tc>
        <w:tc>
          <w:tcPr>
            <w:tcW w:w="2394" w:type="dxa"/>
          </w:tcPr>
          <w:p w14:paraId="7A5D77D9" w14:textId="2EA1D7E1" w:rsidR="00AD6D8B" w:rsidRPr="00AD6D8B" w:rsidRDefault="00AD6D8B" w:rsidP="00CD08BE">
            <w:pPr>
              <w:jc w:val="center"/>
              <w:rPr>
                <w:rFonts w:ascii="Times New Roman" w:hAnsi="Times New Roman" w:cs="Times New Roman"/>
                <w:sz w:val="24"/>
                <w:szCs w:val="24"/>
                <w:lang w:val="lt-LT"/>
              </w:rPr>
            </w:pPr>
            <w:r w:rsidRPr="00AD6D8B">
              <w:rPr>
                <w:rFonts w:ascii="Times New Roman" w:hAnsi="Times New Roman" w:cs="Times New Roman"/>
                <w:sz w:val="24"/>
                <w:szCs w:val="24"/>
                <w:lang w:val="lt-LT"/>
              </w:rPr>
              <w:t>2</w:t>
            </w:r>
          </w:p>
        </w:tc>
        <w:tc>
          <w:tcPr>
            <w:tcW w:w="3564" w:type="dxa"/>
          </w:tcPr>
          <w:p w14:paraId="6ECBA6EE" w14:textId="11E3A576" w:rsidR="00AD6D8B" w:rsidRPr="00AD6D8B" w:rsidRDefault="00AD6D8B" w:rsidP="00CD08BE">
            <w:pPr>
              <w:jc w:val="center"/>
              <w:rPr>
                <w:rFonts w:ascii="Times New Roman" w:hAnsi="Times New Roman" w:cs="Times New Roman"/>
                <w:sz w:val="24"/>
                <w:szCs w:val="24"/>
                <w:lang w:val="lt-LT"/>
              </w:rPr>
            </w:pPr>
            <w:r w:rsidRPr="00AD6D8B">
              <w:rPr>
                <w:rFonts w:ascii="Times New Roman" w:hAnsi="Times New Roman" w:cs="Times New Roman"/>
                <w:sz w:val="24"/>
                <w:szCs w:val="24"/>
                <w:lang w:val="lt-LT"/>
              </w:rPr>
              <w:t>3</w:t>
            </w:r>
          </w:p>
        </w:tc>
        <w:tc>
          <w:tcPr>
            <w:tcW w:w="3011" w:type="dxa"/>
          </w:tcPr>
          <w:p w14:paraId="50109913" w14:textId="75024EBD" w:rsidR="00AD6D8B" w:rsidRPr="00AD6D8B" w:rsidRDefault="00AD6D8B" w:rsidP="00CD08BE">
            <w:pPr>
              <w:jc w:val="center"/>
              <w:rPr>
                <w:rFonts w:ascii="Times New Roman" w:hAnsi="Times New Roman" w:cs="Times New Roman"/>
                <w:sz w:val="24"/>
                <w:szCs w:val="24"/>
              </w:rPr>
            </w:pPr>
            <w:r w:rsidRPr="00AD6D8B">
              <w:rPr>
                <w:rFonts w:ascii="Times New Roman" w:hAnsi="Times New Roman" w:cs="Times New Roman"/>
                <w:sz w:val="24"/>
                <w:szCs w:val="24"/>
              </w:rPr>
              <w:t>4</w:t>
            </w:r>
          </w:p>
        </w:tc>
      </w:tr>
      <w:tr w:rsidR="00AD6D8B" w:rsidRPr="008F6E54" w14:paraId="629E89B8" w14:textId="69FF6128" w:rsidTr="00AD6D8B">
        <w:tc>
          <w:tcPr>
            <w:tcW w:w="659" w:type="dxa"/>
          </w:tcPr>
          <w:p w14:paraId="730F8F5A"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2D1B9974" w14:textId="1BBB1489"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Sistemos paskirtis</w:t>
            </w:r>
          </w:p>
        </w:tc>
        <w:tc>
          <w:tcPr>
            <w:tcW w:w="3564" w:type="dxa"/>
          </w:tcPr>
          <w:p w14:paraId="16DACAB0" w14:textId="77777777" w:rsidR="00AD6D8B" w:rsidRPr="008F6E54" w:rsidRDefault="00AD6D8B" w:rsidP="00F4295C">
            <w:pPr>
              <w:rPr>
                <w:rFonts w:ascii="Times New Roman" w:hAnsi="Times New Roman" w:cs="Times New Roman"/>
                <w:sz w:val="24"/>
                <w:szCs w:val="24"/>
                <w:lang w:val="lt-LT"/>
              </w:rPr>
            </w:pPr>
            <w:proofErr w:type="spellStart"/>
            <w:r w:rsidRPr="008F6E54">
              <w:rPr>
                <w:rFonts w:ascii="Times New Roman" w:hAnsi="Times New Roman" w:cs="Times New Roman"/>
                <w:sz w:val="24"/>
                <w:szCs w:val="24"/>
                <w:lang w:val="lt-LT"/>
              </w:rPr>
              <w:t>Denzitometrinių</w:t>
            </w:r>
            <w:proofErr w:type="spellEnd"/>
            <w:r w:rsidRPr="008F6E54">
              <w:rPr>
                <w:rFonts w:ascii="Times New Roman" w:hAnsi="Times New Roman" w:cs="Times New Roman"/>
                <w:sz w:val="24"/>
                <w:szCs w:val="24"/>
                <w:lang w:val="lt-LT"/>
              </w:rPr>
              <w:t xml:space="preserve"> matavimų sistema HPTLC (aukštos skiriamosios gebos plonasluoksnės chromatografijos) </w:t>
            </w:r>
            <w:proofErr w:type="spellStart"/>
            <w:r w:rsidRPr="008F6E54">
              <w:rPr>
                <w:rFonts w:ascii="Times New Roman" w:hAnsi="Times New Roman" w:cs="Times New Roman"/>
                <w:sz w:val="24"/>
                <w:szCs w:val="24"/>
                <w:lang w:val="lt-LT"/>
              </w:rPr>
              <w:t>chromatogramoms</w:t>
            </w:r>
            <w:proofErr w:type="spellEnd"/>
            <w:r w:rsidRPr="008F6E54">
              <w:rPr>
                <w:rFonts w:ascii="Times New Roman" w:hAnsi="Times New Roman" w:cs="Times New Roman"/>
                <w:sz w:val="24"/>
                <w:szCs w:val="24"/>
                <w:lang w:val="lt-LT"/>
              </w:rPr>
              <w:t xml:space="preserve"> analizuoti</w:t>
            </w:r>
          </w:p>
        </w:tc>
        <w:tc>
          <w:tcPr>
            <w:tcW w:w="3011" w:type="dxa"/>
          </w:tcPr>
          <w:p w14:paraId="053F312C" w14:textId="77777777" w:rsidR="00AD6D8B" w:rsidRPr="008F6E54" w:rsidRDefault="00AD6D8B" w:rsidP="00F4295C">
            <w:pPr>
              <w:rPr>
                <w:rFonts w:ascii="Times New Roman" w:hAnsi="Times New Roman" w:cs="Times New Roman"/>
                <w:sz w:val="24"/>
                <w:szCs w:val="24"/>
              </w:rPr>
            </w:pPr>
          </w:p>
        </w:tc>
      </w:tr>
      <w:tr w:rsidR="00AD6D8B" w:rsidRPr="008F6E54" w14:paraId="4B273D9F" w14:textId="120019AF" w:rsidTr="00AD6D8B">
        <w:tc>
          <w:tcPr>
            <w:tcW w:w="659" w:type="dxa"/>
          </w:tcPr>
          <w:p w14:paraId="6614E6E7"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77163221" w14:textId="36FB69C1"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Matavimo režimai</w:t>
            </w:r>
          </w:p>
        </w:tc>
        <w:tc>
          <w:tcPr>
            <w:tcW w:w="3564" w:type="dxa"/>
          </w:tcPr>
          <w:p w14:paraId="298E1779" w14:textId="77777777"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Absorbcija, fluorescencija, spektro skenavimas</w:t>
            </w:r>
          </w:p>
        </w:tc>
        <w:tc>
          <w:tcPr>
            <w:tcW w:w="3011" w:type="dxa"/>
          </w:tcPr>
          <w:p w14:paraId="28E61828" w14:textId="77777777" w:rsidR="00AD6D8B" w:rsidRPr="008F6E54" w:rsidRDefault="00AD6D8B" w:rsidP="00F4295C">
            <w:pPr>
              <w:rPr>
                <w:rFonts w:ascii="Times New Roman" w:hAnsi="Times New Roman" w:cs="Times New Roman"/>
                <w:sz w:val="24"/>
                <w:szCs w:val="24"/>
              </w:rPr>
            </w:pPr>
          </w:p>
        </w:tc>
      </w:tr>
      <w:tr w:rsidR="00AD6D8B" w:rsidRPr="008F6E54" w14:paraId="4FBC0974" w14:textId="6DECD9AB" w:rsidTr="00AD6D8B">
        <w:tc>
          <w:tcPr>
            <w:tcW w:w="659" w:type="dxa"/>
          </w:tcPr>
          <w:p w14:paraId="3AE8D45B"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3B73CD3C" w14:textId="4AEB2B4C"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Plokštelių suderinamumas</w:t>
            </w:r>
          </w:p>
        </w:tc>
        <w:tc>
          <w:tcPr>
            <w:tcW w:w="3564" w:type="dxa"/>
          </w:tcPr>
          <w:p w14:paraId="649553C8" w14:textId="3A7348DB" w:rsidR="00AD6D8B" w:rsidRPr="008F6E54" w:rsidRDefault="00CC4C53" w:rsidP="00F4295C">
            <w:pPr>
              <w:rPr>
                <w:rFonts w:ascii="Times New Roman" w:hAnsi="Times New Roman" w:cs="Times New Roman"/>
                <w:sz w:val="24"/>
                <w:szCs w:val="24"/>
                <w:lang w:val="lt-LT"/>
              </w:rPr>
            </w:pPr>
            <w:r w:rsidRPr="00CC4C53">
              <w:rPr>
                <w:rFonts w:ascii="Times New Roman" w:hAnsi="Times New Roman" w:cs="Times New Roman"/>
                <w:sz w:val="24"/>
                <w:szCs w:val="24"/>
                <w:lang w:val="lt-LT"/>
              </w:rPr>
              <w:t>Sistema turi būti suderinama su HPTLC plokštelėmis, kurių matmenys yra ne mažesni kaip 20 × 20 cm (leistinas nuokrypis ± 5 %)</w:t>
            </w:r>
          </w:p>
        </w:tc>
        <w:tc>
          <w:tcPr>
            <w:tcW w:w="3011" w:type="dxa"/>
          </w:tcPr>
          <w:p w14:paraId="3267642A" w14:textId="77777777" w:rsidR="00AD6D8B" w:rsidRPr="008F6E54" w:rsidRDefault="00AD6D8B" w:rsidP="00F4295C">
            <w:pPr>
              <w:rPr>
                <w:rFonts w:ascii="Times New Roman" w:hAnsi="Times New Roman" w:cs="Times New Roman"/>
                <w:sz w:val="24"/>
                <w:szCs w:val="24"/>
              </w:rPr>
            </w:pPr>
          </w:p>
        </w:tc>
      </w:tr>
      <w:tr w:rsidR="00AD6D8B" w:rsidRPr="008F6E54" w14:paraId="15F00E6C" w14:textId="268D7392" w:rsidTr="00AD6D8B">
        <w:tc>
          <w:tcPr>
            <w:tcW w:w="659" w:type="dxa"/>
          </w:tcPr>
          <w:p w14:paraId="3482DDFA"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7BC39342" w14:textId="1127876B"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Bangos ilgių diapazonas</w:t>
            </w:r>
          </w:p>
        </w:tc>
        <w:tc>
          <w:tcPr>
            <w:tcW w:w="3564" w:type="dxa"/>
          </w:tcPr>
          <w:p w14:paraId="18F54F4D" w14:textId="6D297144"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Ne siaures</w:t>
            </w:r>
            <w:r w:rsidR="005E1D39">
              <w:rPr>
                <w:rFonts w:ascii="Times New Roman" w:hAnsi="Times New Roman" w:cs="Times New Roman"/>
                <w:sz w:val="24"/>
                <w:szCs w:val="24"/>
                <w:lang w:val="lt-LT"/>
              </w:rPr>
              <w:t xml:space="preserve">nėse ribose kaip </w:t>
            </w:r>
            <w:r w:rsidRPr="008F6E54">
              <w:rPr>
                <w:rFonts w:ascii="Times New Roman" w:hAnsi="Times New Roman" w:cs="Times New Roman"/>
                <w:sz w:val="24"/>
                <w:szCs w:val="24"/>
                <w:lang w:val="lt-LT"/>
              </w:rPr>
              <w:t xml:space="preserve"> </w:t>
            </w:r>
            <w:r w:rsidR="005E1D39">
              <w:rPr>
                <w:rFonts w:ascii="Times New Roman" w:hAnsi="Times New Roman" w:cs="Times New Roman"/>
                <w:sz w:val="24"/>
                <w:szCs w:val="24"/>
                <w:lang w:val="lt-LT"/>
              </w:rPr>
              <w:t>nuo</w:t>
            </w:r>
            <w:r w:rsidR="005E1D39" w:rsidRPr="008F6E54">
              <w:rPr>
                <w:rFonts w:ascii="Times New Roman" w:hAnsi="Times New Roman" w:cs="Times New Roman"/>
                <w:sz w:val="24"/>
                <w:szCs w:val="24"/>
                <w:lang w:val="lt-LT"/>
              </w:rPr>
              <w:t xml:space="preserve"> </w:t>
            </w:r>
            <w:r w:rsidRPr="008F6E54">
              <w:rPr>
                <w:rFonts w:ascii="Times New Roman" w:hAnsi="Times New Roman" w:cs="Times New Roman"/>
                <w:sz w:val="24"/>
                <w:szCs w:val="24"/>
                <w:lang w:val="lt-LT"/>
              </w:rPr>
              <w:t>1</w:t>
            </w:r>
            <w:r>
              <w:rPr>
                <w:rFonts w:ascii="Times New Roman" w:hAnsi="Times New Roman" w:cs="Times New Roman"/>
                <w:sz w:val="24"/>
                <w:szCs w:val="24"/>
                <w:lang w:val="lt-LT"/>
              </w:rPr>
              <w:t>90</w:t>
            </w:r>
            <w:r w:rsidRPr="008F6E54">
              <w:rPr>
                <w:rFonts w:ascii="Times New Roman" w:hAnsi="Times New Roman" w:cs="Times New Roman"/>
                <w:sz w:val="24"/>
                <w:szCs w:val="24"/>
                <w:lang w:val="lt-LT"/>
              </w:rPr>
              <w:t>-</w:t>
            </w:r>
            <w:r>
              <w:rPr>
                <w:rFonts w:ascii="Times New Roman" w:hAnsi="Times New Roman" w:cs="Times New Roman"/>
                <w:sz w:val="24"/>
                <w:szCs w:val="24"/>
                <w:lang w:val="lt-LT"/>
              </w:rPr>
              <w:t>8</w:t>
            </w:r>
            <w:r w:rsidRPr="008F6E54">
              <w:rPr>
                <w:rFonts w:ascii="Times New Roman" w:hAnsi="Times New Roman" w:cs="Times New Roman"/>
                <w:sz w:val="24"/>
                <w:szCs w:val="24"/>
                <w:lang w:val="lt-LT"/>
              </w:rPr>
              <w:t>00nm</w:t>
            </w:r>
          </w:p>
        </w:tc>
        <w:tc>
          <w:tcPr>
            <w:tcW w:w="3011" w:type="dxa"/>
          </w:tcPr>
          <w:p w14:paraId="1B97755E" w14:textId="77777777" w:rsidR="00AD6D8B" w:rsidRPr="008F6E54" w:rsidRDefault="00AD6D8B" w:rsidP="00F4295C">
            <w:pPr>
              <w:rPr>
                <w:rFonts w:ascii="Times New Roman" w:hAnsi="Times New Roman" w:cs="Times New Roman"/>
                <w:sz w:val="24"/>
                <w:szCs w:val="24"/>
              </w:rPr>
            </w:pPr>
          </w:p>
        </w:tc>
      </w:tr>
      <w:tr w:rsidR="00AD6D8B" w:rsidRPr="008F6E54" w14:paraId="71BD16F3" w14:textId="2F453B22" w:rsidTr="00AD6D8B">
        <w:tc>
          <w:tcPr>
            <w:tcW w:w="659" w:type="dxa"/>
          </w:tcPr>
          <w:p w14:paraId="2D27B1BC"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356609B8" w14:textId="1B8A8BF3"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Bangos nustatymo tikslumas</w:t>
            </w:r>
          </w:p>
        </w:tc>
        <w:tc>
          <w:tcPr>
            <w:tcW w:w="3564" w:type="dxa"/>
          </w:tcPr>
          <w:p w14:paraId="268FB26F" w14:textId="32B08871"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 xml:space="preserve">Ne prastesnis nei ±1 </w:t>
            </w:r>
            <w:proofErr w:type="spellStart"/>
            <w:r w:rsidRPr="0094234B">
              <w:rPr>
                <w:rFonts w:ascii="Times New Roman" w:hAnsi="Times New Roman" w:cs="Times New Roman"/>
                <w:sz w:val="24"/>
                <w:szCs w:val="24"/>
                <w:lang w:val="lt-LT"/>
              </w:rPr>
              <w:t>nm</w:t>
            </w:r>
            <w:proofErr w:type="spellEnd"/>
          </w:p>
        </w:tc>
        <w:tc>
          <w:tcPr>
            <w:tcW w:w="3011" w:type="dxa"/>
          </w:tcPr>
          <w:p w14:paraId="0DFA5FC5" w14:textId="77777777" w:rsidR="00AD6D8B" w:rsidRPr="0094234B" w:rsidRDefault="00AD6D8B" w:rsidP="00F4295C">
            <w:pPr>
              <w:rPr>
                <w:rFonts w:ascii="Times New Roman" w:hAnsi="Times New Roman" w:cs="Times New Roman"/>
                <w:sz w:val="24"/>
                <w:szCs w:val="24"/>
              </w:rPr>
            </w:pPr>
          </w:p>
        </w:tc>
      </w:tr>
      <w:tr w:rsidR="00AD6D8B" w:rsidRPr="008F6E54" w14:paraId="23CD1135" w14:textId="60B875B4" w:rsidTr="00AD6D8B">
        <w:tc>
          <w:tcPr>
            <w:tcW w:w="659" w:type="dxa"/>
          </w:tcPr>
          <w:p w14:paraId="5EABEECB"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7E26652E" w14:textId="66DA4592"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Bangos ilgio atkuriamumas</w:t>
            </w:r>
          </w:p>
        </w:tc>
        <w:tc>
          <w:tcPr>
            <w:tcW w:w="3564" w:type="dxa"/>
          </w:tcPr>
          <w:p w14:paraId="22048E1F" w14:textId="53EC7D08"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 xml:space="preserve">Ne prastesnis nei ±0,2 </w:t>
            </w:r>
            <w:proofErr w:type="spellStart"/>
            <w:r w:rsidRPr="0094234B">
              <w:rPr>
                <w:rFonts w:ascii="Times New Roman" w:hAnsi="Times New Roman" w:cs="Times New Roman"/>
                <w:sz w:val="24"/>
                <w:szCs w:val="24"/>
                <w:lang w:val="lt-LT"/>
              </w:rPr>
              <w:t>nm</w:t>
            </w:r>
            <w:proofErr w:type="spellEnd"/>
          </w:p>
        </w:tc>
        <w:tc>
          <w:tcPr>
            <w:tcW w:w="3011" w:type="dxa"/>
          </w:tcPr>
          <w:p w14:paraId="1F8862C5" w14:textId="77777777" w:rsidR="00AD6D8B" w:rsidRPr="0094234B" w:rsidRDefault="00AD6D8B" w:rsidP="00F4295C">
            <w:pPr>
              <w:rPr>
                <w:rFonts w:ascii="Times New Roman" w:hAnsi="Times New Roman" w:cs="Times New Roman"/>
                <w:sz w:val="24"/>
                <w:szCs w:val="24"/>
              </w:rPr>
            </w:pPr>
          </w:p>
        </w:tc>
      </w:tr>
      <w:tr w:rsidR="00AD6D8B" w:rsidRPr="008F6E54" w14:paraId="3298AA91" w14:textId="261AC017" w:rsidTr="00AD6D8B">
        <w:tc>
          <w:tcPr>
            <w:tcW w:w="659" w:type="dxa"/>
          </w:tcPr>
          <w:p w14:paraId="3E487E95"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0D19DED8" w14:textId="04F4CC26"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Skenavimo plyšio ilgio nustatymas</w:t>
            </w:r>
          </w:p>
        </w:tc>
        <w:tc>
          <w:tcPr>
            <w:tcW w:w="3564" w:type="dxa"/>
          </w:tcPr>
          <w:p w14:paraId="3486CDF9" w14:textId="44F72E78"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 xml:space="preserve">Ne siauresniame nei </w:t>
            </w:r>
            <w:r w:rsidR="00601217">
              <w:rPr>
                <w:rFonts w:ascii="Times New Roman" w:hAnsi="Times New Roman" w:cs="Times New Roman"/>
                <w:sz w:val="24"/>
                <w:szCs w:val="24"/>
                <w:lang w:val="lt-LT"/>
              </w:rPr>
              <w:t xml:space="preserve"> nuo </w:t>
            </w:r>
            <w:r w:rsidRPr="008F6E54">
              <w:rPr>
                <w:rFonts w:ascii="Times New Roman" w:hAnsi="Times New Roman" w:cs="Times New Roman"/>
                <w:sz w:val="24"/>
                <w:szCs w:val="24"/>
                <w:lang w:val="lt-LT"/>
              </w:rPr>
              <w:t>0,2-12 mm diapazone</w:t>
            </w:r>
          </w:p>
        </w:tc>
        <w:tc>
          <w:tcPr>
            <w:tcW w:w="3011" w:type="dxa"/>
          </w:tcPr>
          <w:p w14:paraId="6B480573" w14:textId="77777777" w:rsidR="00AD6D8B" w:rsidRPr="008F6E54" w:rsidRDefault="00AD6D8B" w:rsidP="00F4295C">
            <w:pPr>
              <w:rPr>
                <w:rFonts w:ascii="Times New Roman" w:hAnsi="Times New Roman" w:cs="Times New Roman"/>
                <w:sz w:val="24"/>
                <w:szCs w:val="24"/>
              </w:rPr>
            </w:pPr>
          </w:p>
        </w:tc>
      </w:tr>
      <w:tr w:rsidR="00AD6D8B" w:rsidRPr="008F6E54" w14:paraId="7A4A2FC0" w14:textId="747E5653" w:rsidTr="00AD6D8B">
        <w:tc>
          <w:tcPr>
            <w:tcW w:w="659" w:type="dxa"/>
          </w:tcPr>
          <w:p w14:paraId="1F055258"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25D43FBD" w14:textId="7E2CFD7B"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Skenavimo plyšio pločio nustatymas</w:t>
            </w:r>
          </w:p>
        </w:tc>
        <w:tc>
          <w:tcPr>
            <w:tcW w:w="3564" w:type="dxa"/>
          </w:tcPr>
          <w:p w14:paraId="5A9DFEF0" w14:textId="0876F46B"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 xml:space="preserve">Reguliuojami skenavimo plyšio matmenys, tinkami skirtingų dydžių </w:t>
            </w:r>
            <w:proofErr w:type="spellStart"/>
            <w:r w:rsidRPr="0094234B">
              <w:rPr>
                <w:rFonts w:ascii="Times New Roman" w:hAnsi="Times New Roman" w:cs="Times New Roman"/>
                <w:sz w:val="24"/>
                <w:szCs w:val="24"/>
                <w:lang w:val="lt-LT"/>
              </w:rPr>
              <w:t>chromatografinių</w:t>
            </w:r>
            <w:proofErr w:type="spellEnd"/>
            <w:r w:rsidRPr="0094234B">
              <w:rPr>
                <w:rFonts w:ascii="Times New Roman" w:hAnsi="Times New Roman" w:cs="Times New Roman"/>
                <w:sz w:val="24"/>
                <w:szCs w:val="24"/>
                <w:lang w:val="lt-LT"/>
              </w:rPr>
              <w:t xml:space="preserve"> zonų analizei</w:t>
            </w:r>
          </w:p>
        </w:tc>
        <w:tc>
          <w:tcPr>
            <w:tcW w:w="3011" w:type="dxa"/>
          </w:tcPr>
          <w:p w14:paraId="2DC2AA4F" w14:textId="77777777" w:rsidR="00AD6D8B" w:rsidRPr="0094234B" w:rsidRDefault="00AD6D8B" w:rsidP="00F4295C">
            <w:pPr>
              <w:rPr>
                <w:rFonts w:ascii="Times New Roman" w:hAnsi="Times New Roman" w:cs="Times New Roman"/>
                <w:sz w:val="24"/>
                <w:szCs w:val="24"/>
              </w:rPr>
            </w:pPr>
          </w:p>
        </w:tc>
      </w:tr>
      <w:tr w:rsidR="00AD6D8B" w:rsidRPr="008F6E54" w14:paraId="2AC189A7" w14:textId="08603A53" w:rsidTr="00AD6D8B">
        <w:tc>
          <w:tcPr>
            <w:tcW w:w="659" w:type="dxa"/>
          </w:tcPr>
          <w:p w14:paraId="43EE6911"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0B16CE8A" w14:textId="2A34BAC9"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Antriniai šviesos filtrai fluorescencinei analizei</w:t>
            </w:r>
          </w:p>
        </w:tc>
        <w:tc>
          <w:tcPr>
            <w:tcW w:w="3564" w:type="dxa"/>
          </w:tcPr>
          <w:p w14:paraId="04FE4C4B" w14:textId="37CAD74E"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Automatinė optinių filtrų arba lygiavertė sistema fluorescencinei analizei</w:t>
            </w:r>
          </w:p>
        </w:tc>
        <w:tc>
          <w:tcPr>
            <w:tcW w:w="3011" w:type="dxa"/>
          </w:tcPr>
          <w:p w14:paraId="6EAA2644" w14:textId="77777777" w:rsidR="00AD6D8B" w:rsidRPr="0094234B" w:rsidRDefault="00AD6D8B" w:rsidP="00F4295C">
            <w:pPr>
              <w:rPr>
                <w:rFonts w:ascii="Times New Roman" w:hAnsi="Times New Roman" w:cs="Times New Roman"/>
                <w:sz w:val="24"/>
                <w:szCs w:val="24"/>
              </w:rPr>
            </w:pPr>
          </w:p>
        </w:tc>
      </w:tr>
      <w:tr w:rsidR="00AD6D8B" w:rsidRPr="008F6E54" w14:paraId="0327AAE7" w14:textId="14FFB60D" w:rsidTr="00AD6D8B">
        <w:tc>
          <w:tcPr>
            <w:tcW w:w="659" w:type="dxa"/>
          </w:tcPr>
          <w:p w14:paraId="68BB72EB"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5DCA8C2E" w14:textId="2C4185EC"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Plokštelių skenavimo greitis</w:t>
            </w:r>
          </w:p>
        </w:tc>
        <w:tc>
          <w:tcPr>
            <w:tcW w:w="3564" w:type="dxa"/>
          </w:tcPr>
          <w:p w14:paraId="3E70A99C" w14:textId="1E816084"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Reguliuojamas</w:t>
            </w:r>
          </w:p>
        </w:tc>
        <w:tc>
          <w:tcPr>
            <w:tcW w:w="3011" w:type="dxa"/>
          </w:tcPr>
          <w:p w14:paraId="30F7D163" w14:textId="77777777" w:rsidR="00AD6D8B" w:rsidRPr="008F6E54" w:rsidRDefault="00AD6D8B" w:rsidP="00F4295C">
            <w:pPr>
              <w:rPr>
                <w:rFonts w:ascii="Times New Roman" w:hAnsi="Times New Roman" w:cs="Times New Roman"/>
                <w:sz w:val="24"/>
                <w:szCs w:val="24"/>
              </w:rPr>
            </w:pPr>
          </w:p>
        </w:tc>
      </w:tr>
      <w:tr w:rsidR="00AD6D8B" w:rsidRPr="008F6E54" w14:paraId="6CDA66FB" w14:textId="3ACC0C49" w:rsidTr="00AD6D8B">
        <w:tc>
          <w:tcPr>
            <w:tcW w:w="659" w:type="dxa"/>
          </w:tcPr>
          <w:p w14:paraId="4C16C4E4"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23D4229B" w14:textId="7A348672"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Valdymas</w:t>
            </w:r>
          </w:p>
        </w:tc>
        <w:tc>
          <w:tcPr>
            <w:tcW w:w="3564" w:type="dxa"/>
          </w:tcPr>
          <w:p w14:paraId="1C40611D" w14:textId="77777777"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Programine įranga</w:t>
            </w:r>
          </w:p>
        </w:tc>
        <w:tc>
          <w:tcPr>
            <w:tcW w:w="3011" w:type="dxa"/>
          </w:tcPr>
          <w:p w14:paraId="41001247" w14:textId="77777777" w:rsidR="00AD6D8B" w:rsidRPr="008F6E54" w:rsidRDefault="00AD6D8B" w:rsidP="00F4295C">
            <w:pPr>
              <w:rPr>
                <w:rFonts w:ascii="Times New Roman" w:hAnsi="Times New Roman" w:cs="Times New Roman"/>
                <w:sz w:val="24"/>
                <w:szCs w:val="24"/>
              </w:rPr>
            </w:pPr>
          </w:p>
        </w:tc>
      </w:tr>
      <w:tr w:rsidR="00AD6D8B" w:rsidRPr="008F6E54" w14:paraId="78371181" w14:textId="3315E50F" w:rsidTr="00AD6D8B">
        <w:tc>
          <w:tcPr>
            <w:tcW w:w="659" w:type="dxa"/>
          </w:tcPr>
          <w:p w14:paraId="3DAED212"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11AD9609" w14:textId="208C33E0"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Kiekybinės analizės funkcijos</w:t>
            </w:r>
          </w:p>
        </w:tc>
        <w:tc>
          <w:tcPr>
            <w:tcW w:w="3564" w:type="dxa"/>
          </w:tcPr>
          <w:p w14:paraId="4B618BA5" w14:textId="158EE235" w:rsidR="00AD6D8B" w:rsidRPr="008F6E54" w:rsidRDefault="00AD6D8B" w:rsidP="00F4295C">
            <w:pPr>
              <w:rPr>
                <w:rFonts w:ascii="Times New Roman" w:hAnsi="Times New Roman" w:cs="Times New Roman"/>
                <w:sz w:val="24"/>
                <w:szCs w:val="24"/>
                <w:lang w:val="lt-LT"/>
              </w:rPr>
            </w:pPr>
            <w:r w:rsidRPr="0094234B">
              <w:rPr>
                <w:rFonts w:ascii="Times New Roman" w:hAnsi="Times New Roman" w:cs="Times New Roman"/>
                <w:sz w:val="24"/>
                <w:szCs w:val="24"/>
                <w:lang w:val="lt-LT"/>
              </w:rPr>
              <w:t xml:space="preserve">Būtina kiekybinės analizės funkcija, galimybė matuoti kiekvieną plokštelę prie skirtingų bangos ilgių, kad kiekviena medžiaga būtų matuojama prie savo absorbcijos maksimumo. Galimybė atlikti </w:t>
            </w:r>
            <w:proofErr w:type="spellStart"/>
            <w:r w:rsidRPr="0094234B">
              <w:rPr>
                <w:rFonts w:ascii="Times New Roman" w:hAnsi="Times New Roman" w:cs="Times New Roman"/>
                <w:sz w:val="24"/>
                <w:szCs w:val="24"/>
                <w:lang w:val="lt-LT"/>
              </w:rPr>
              <w:t>daugiabangę</w:t>
            </w:r>
            <w:proofErr w:type="spellEnd"/>
            <w:r w:rsidRPr="0094234B">
              <w:rPr>
                <w:rFonts w:ascii="Times New Roman" w:hAnsi="Times New Roman" w:cs="Times New Roman"/>
                <w:sz w:val="24"/>
                <w:szCs w:val="24"/>
                <w:lang w:val="lt-LT"/>
              </w:rPr>
              <w:t xml:space="preserve"> analizę vienos analizės metu</w:t>
            </w:r>
            <w:r w:rsidR="00FB5066">
              <w:rPr>
                <w:rFonts w:ascii="Times New Roman" w:hAnsi="Times New Roman" w:cs="Times New Roman"/>
                <w:sz w:val="24"/>
                <w:szCs w:val="24"/>
                <w:lang w:val="lt-LT"/>
              </w:rPr>
              <w:t>.</w:t>
            </w:r>
          </w:p>
        </w:tc>
        <w:tc>
          <w:tcPr>
            <w:tcW w:w="3011" w:type="dxa"/>
          </w:tcPr>
          <w:p w14:paraId="6A012CEA" w14:textId="77777777" w:rsidR="00AD6D8B" w:rsidRPr="0094234B" w:rsidRDefault="00AD6D8B" w:rsidP="00F4295C">
            <w:pPr>
              <w:rPr>
                <w:rFonts w:ascii="Times New Roman" w:hAnsi="Times New Roman" w:cs="Times New Roman"/>
                <w:sz w:val="24"/>
                <w:szCs w:val="24"/>
              </w:rPr>
            </w:pPr>
          </w:p>
        </w:tc>
      </w:tr>
      <w:tr w:rsidR="00AD6D8B" w:rsidRPr="008F6E54" w14:paraId="58B66601" w14:textId="1060AF90" w:rsidTr="00AD6D8B">
        <w:tc>
          <w:tcPr>
            <w:tcW w:w="659" w:type="dxa"/>
          </w:tcPr>
          <w:p w14:paraId="6B0CE1F6" w14:textId="77777777" w:rsidR="00AD6D8B" w:rsidRPr="008F6E54" w:rsidRDefault="00AD6D8B" w:rsidP="006B3E8F">
            <w:pPr>
              <w:pStyle w:val="ListParagraph"/>
              <w:numPr>
                <w:ilvl w:val="0"/>
                <w:numId w:val="1"/>
              </w:numPr>
              <w:ind w:left="447"/>
              <w:rPr>
                <w:rFonts w:ascii="Times New Roman" w:hAnsi="Times New Roman" w:cs="Times New Roman"/>
                <w:sz w:val="24"/>
                <w:szCs w:val="24"/>
                <w:lang w:val="lt-LT"/>
              </w:rPr>
            </w:pPr>
          </w:p>
        </w:tc>
        <w:tc>
          <w:tcPr>
            <w:tcW w:w="2394" w:type="dxa"/>
          </w:tcPr>
          <w:p w14:paraId="73A77686" w14:textId="76BDD121"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 xml:space="preserve">Maitinimas </w:t>
            </w:r>
          </w:p>
        </w:tc>
        <w:tc>
          <w:tcPr>
            <w:tcW w:w="3564" w:type="dxa"/>
          </w:tcPr>
          <w:p w14:paraId="7A7AEBD6" w14:textId="77777777" w:rsidR="00AD6D8B" w:rsidRPr="008F6E54" w:rsidRDefault="00AD6D8B" w:rsidP="00F4295C">
            <w:pPr>
              <w:rPr>
                <w:rFonts w:ascii="Times New Roman" w:hAnsi="Times New Roman" w:cs="Times New Roman"/>
                <w:sz w:val="24"/>
                <w:szCs w:val="24"/>
                <w:lang w:val="lt-LT"/>
              </w:rPr>
            </w:pPr>
            <w:r w:rsidRPr="008F6E54">
              <w:rPr>
                <w:rFonts w:ascii="Times New Roman" w:hAnsi="Times New Roman" w:cs="Times New Roman"/>
                <w:sz w:val="24"/>
                <w:szCs w:val="24"/>
                <w:lang w:val="lt-LT"/>
              </w:rPr>
              <w:t>230V, 50Hz</w:t>
            </w:r>
          </w:p>
        </w:tc>
        <w:tc>
          <w:tcPr>
            <w:tcW w:w="3011" w:type="dxa"/>
          </w:tcPr>
          <w:p w14:paraId="683BF277" w14:textId="77777777" w:rsidR="00AD6D8B" w:rsidRPr="008F6E54" w:rsidRDefault="00AD6D8B" w:rsidP="00F4295C">
            <w:pPr>
              <w:rPr>
                <w:rFonts w:ascii="Times New Roman" w:hAnsi="Times New Roman" w:cs="Times New Roman"/>
                <w:sz w:val="24"/>
                <w:szCs w:val="24"/>
              </w:rPr>
            </w:pPr>
          </w:p>
        </w:tc>
      </w:tr>
      <w:tr w:rsidR="00AD6D8B" w:rsidRPr="008F6E54" w14:paraId="2C133D7E" w14:textId="00F751A0" w:rsidTr="00AD6D8B">
        <w:tc>
          <w:tcPr>
            <w:tcW w:w="659" w:type="dxa"/>
          </w:tcPr>
          <w:p w14:paraId="5F7ED947" w14:textId="597FB895" w:rsidR="00AD6D8B" w:rsidRPr="008F6E54" w:rsidRDefault="00AD6D8B" w:rsidP="00684633">
            <w:pPr>
              <w:pStyle w:val="ListParagraph"/>
              <w:numPr>
                <w:ilvl w:val="0"/>
                <w:numId w:val="1"/>
              </w:numPr>
              <w:ind w:left="447"/>
              <w:rPr>
                <w:rFonts w:ascii="Times New Roman" w:hAnsi="Times New Roman" w:cs="Times New Roman"/>
                <w:sz w:val="24"/>
                <w:szCs w:val="24"/>
                <w:lang w:val="lt-LT"/>
              </w:rPr>
            </w:pPr>
          </w:p>
        </w:tc>
        <w:tc>
          <w:tcPr>
            <w:tcW w:w="2394" w:type="dxa"/>
          </w:tcPr>
          <w:p w14:paraId="2062728E" w14:textId="08AEC543" w:rsidR="00AD6D8B" w:rsidRPr="008F6E54" w:rsidRDefault="00AD6D8B" w:rsidP="00684633">
            <w:pPr>
              <w:rPr>
                <w:rFonts w:ascii="Times New Roman" w:hAnsi="Times New Roman" w:cs="Times New Roman"/>
                <w:sz w:val="24"/>
                <w:szCs w:val="24"/>
                <w:lang w:val="lt-LT"/>
              </w:rPr>
            </w:pPr>
            <w:r w:rsidRPr="008F6E54">
              <w:rPr>
                <w:rFonts w:ascii="Times New Roman" w:hAnsi="Times New Roman" w:cs="Times New Roman"/>
                <w:bCs/>
                <w:snapToGrid w:val="0"/>
                <w:sz w:val="24"/>
                <w:szCs w:val="24"/>
                <w:lang w:val="lt-LT"/>
              </w:rPr>
              <w:t>Garantiniai įsipareigojimai</w:t>
            </w:r>
          </w:p>
        </w:tc>
        <w:tc>
          <w:tcPr>
            <w:tcW w:w="3564" w:type="dxa"/>
          </w:tcPr>
          <w:p w14:paraId="7BD16B6D" w14:textId="33D2460D" w:rsidR="00AD6D8B" w:rsidRPr="008F6E54" w:rsidRDefault="00AD6D8B" w:rsidP="00684633">
            <w:pPr>
              <w:rPr>
                <w:rFonts w:ascii="Times New Roman" w:hAnsi="Times New Roman" w:cs="Times New Roman"/>
                <w:sz w:val="24"/>
                <w:szCs w:val="24"/>
                <w:lang w:val="lt-LT"/>
              </w:rPr>
            </w:pPr>
            <w:r w:rsidRPr="008F6E54">
              <w:rPr>
                <w:rFonts w:ascii="Times New Roman" w:hAnsi="Times New Roman" w:cs="Times New Roman"/>
                <w:bCs/>
                <w:snapToGrid w:val="0"/>
                <w:sz w:val="24"/>
                <w:szCs w:val="24"/>
                <w:lang w:val="lt-LT"/>
              </w:rPr>
              <w:t>Garantijos laikotarpis ne mažiau kaip 12 mėn.</w:t>
            </w:r>
          </w:p>
        </w:tc>
        <w:tc>
          <w:tcPr>
            <w:tcW w:w="3011" w:type="dxa"/>
          </w:tcPr>
          <w:p w14:paraId="2B030C37" w14:textId="77777777" w:rsidR="00AD6D8B" w:rsidRPr="008F6E54" w:rsidRDefault="00AD6D8B" w:rsidP="00684633">
            <w:pPr>
              <w:rPr>
                <w:rFonts w:ascii="Times New Roman" w:hAnsi="Times New Roman" w:cs="Times New Roman"/>
                <w:bCs/>
                <w:snapToGrid w:val="0"/>
                <w:sz w:val="24"/>
                <w:szCs w:val="24"/>
              </w:rPr>
            </w:pPr>
          </w:p>
        </w:tc>
      </w:tr>
      <w:tr w:rsidR="00AD6D8B" w:rsidRPr="008F6E54" w14:paraId="06A7B4CC" w14:textId="477025D3" w:rsidTr="00AD6D8B">
        <w:tc>
          <w:tcPr>
            <w:tcW w:w="659" w:type="dxa"/>
          </w:tcPr>
          <w:p w14:paraId="40D8B963" w14:textId="13D91B8D" w:rsidR="00AD6D8B" w:rsidRPr="008F6E54" w:rsidRDefault="00AD6D8B" w:rsidP="00684633">
            <w:pPr>
              <w:pStyle w:val="ListParagraph"/>
              <w:numPr>
                <w:ilvl w:val="0"/>
                <w:numId w:val="1"/>
              </w:numPr>
              <w:ind w:left="447"/>
              <w:rPr>
                <w:rFonts w:ascii="Times New Roman" w:hAnsi="Times New Roman" w:cs="Times New Roman"/>
                <w:sz w:val="24"/>
                <w:szCs w:val="24"/>
                <w:lang w:val="lt-LT"/>
              </w:rPr>
            </w:pPr>
          </w:p>
        </w:tc>
        <w:tc>
          <w:tcPr>
            <w:tcW w:w="2394" w:type="dxa"/>
          </w:tcPr>
          <w:p w14:paraId="554CF104" w14:textId="46E556C4" w:rsidR="00AD6D8B" w:rsidRPr="008F6E54" w:rsidRDefault="00AD6D8B" w:rsidP="00684633">
            <w:pPr>
              <w:rPr>
                <w:rFonts w:ascii="Times New Roman" w:hAnsi="Times New Roman" w:cs="Times New Roman"/>
                <w:sz w:val="24"/>
                <w:szCs w:val="24"/>
                <w:lang w:val="lt-LT"/>
              </w:rPr>
            </w:pPr>
            <w:r w:rsidRPr="008F6E54">
              <w:rPr>
                <w:rFonts w:ascii="Times New Roman" w:eastAsia="Aptos" w:hAnsi="Times New Roman" w:cs="Times New Roman"/>
                <w:sz w:val="24"/>
                <w:szCs w:val="24"/>
                <w:lang w:val="lt-LT"/>
              </w:rPr>
              <w:t>Papildomi reikalavimai</w:t>
            </w:r>
          </w:p>
        </w:tc>
        <w:tc>
          <w:tcPr>
            <w:tcW w:w="3564" w:type="dxa"/>
          </w:tcPr>
          <w:p w14:paraId="03C70F6F" w14:textId="3250BF68" w:rsidR="00AD6D8B" w:rsidRPr="00CE6398" w:rsidRDefault="00AD6D8B" w:rsidP="00684633">
            <w:pPr>
              <w:contextualSpacing/>
              <w:rPr>
                <w:rFonts w:ascii="Times New Roman" w:eastAsia="Aptos" w:hAnsi="Times New Roman" w:cs="Times New Roman"/>
                <w:sz w:val="24"/>
                <w:szCs w:val="24"/>
                <w:lang w:val="lt-LT"/>
              </w:rPr>
            </w:pPr>
            <w:r w:rsidRPr="008F6E54">
              <w:rPr>
                <w:rFonts w:ascii="Times New Roman" w:eastAsia="Aptos" w:hAnsi="Times New Roman" w:cs="Times New Roman"/>
                <w:sz w:val="24"/>
                <w:szCs w:val="24"/>
                <w:lang w:val="lt-LT"/>
              </w:rPr>
              <w:t>Įranga turi būti nauja, nenaudota, pristatoma originaliame gamykliniame įpakavime</w:t>
            </w:r>
          </w:p>
        </w:tc>
        <w:tc>
          <w:tcPr>
            <w:tcW w:w="3011" w:type="dxa"/>
          </w:tcPr>
          <w:p w14:paraId="3467F3CC" w14:textId="77777777" w:rsidR="00AD6D8B" w:rsidRPr="008F6E54" w:rsidRDefault="00AD6D8B" w:rsidP="00684633">
            <w:pPr>
              <w:contextualSpacing/>
              <w:rPr>
                <w:rFonts w:ascii="Times New Roman" w:eastAsia="Aptos" w:hAnsi="Times New Roman" w:cs="Times New Roman"/>
                <w:sz w:val="24"/>
                <w:szCs w:val="24"/>
              </w:rPr>
            </w:pPr>
          </w:p>
        </w:tc>
      </w:tr>
    </w:tbl>
    <w:p w14:paraId="2D35092B" w14:textId="77777777" w:rsidR="000955EB" w:rsidRPr="00CD6E53" w:rsidRDefault="000955EB" w:rsidP="000955EB">
      <w:pPr>
        <w:spacing w:after="0" w:line="240" w:lineRule="auto"/>
        <w:ind w:firstLine="709"/>
        <w:jc w:val="both"/>
        <w:rPr>
          <w:rFonts w:ascii="Times New Roman" w:eastAsia="Calibri" w:hAnsi="Times New Roman" w:cs="Times New Roman"/>
          <w:i/>
          <w:iCs/>
          <w:sz w:val="20"/>
          <w:szCs w:val="20"/>
        </w:rPr>
      </w:pPr>
      <w:r w:rsidRPr="00CD6E53">
        <w:rPr>
          <w:rFonts w:ascii="Times New Roman" w:eastAsia="Calibri" w:hAnsi="Times New Roman" w:cs="Times New Roman"/>
          <w:i/>
          <w:iCs/>
          <w:sz w:val="20"/>
          <w:szCs w:val="20"/>
        </w:rPr>
        <w:t>Pastabos:</w:t>
      </w:r>
    </w:p>
    <w:p w14:paraId="66AD7A5B" w14:textId="77777777" w:rsidR="000955EB" w:rsidRPr="00CD6E53" w:rsidRDefault="000955EB" w:rsidP="000955EB">
      <w:pPr>
        <w:spacing w:after="0" w:line="240" w:lineRule="auto"/>
        <w:ind w:firstLine="709"/>
        <w:jc w:val="both"/>
        <w:rPr>
          <w:rFonts w:ascii="Times New Roman" w:eastAsia="Calibri" w:hAnsi="Times New Roman" w:cs="Times New Roman"/>
          <w:i/>
          <w:iCs/>
          <w:sz w:val="20"/>
          <w:szCs w:val="20"/>
        </w:rPr>
      </w:pPr>
      <w:r w:rsidRPr="00CD6E53">
        <w:rPr>
          <w:rFonts w:ascii="Times New Roman" w:eastAsia="Calibri" w:hAnsi="Times New Roman" w:cs="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D6E53">
        <w:rPr>
          <w:rFonts w:ascii="Times New Roman" w:eastAsia="Calibri" w:hAnsi="Times New Roman" w:cs="Times New Roman"/>
          <w:sz w:val="20"/>
          <w:szCs w:val="20"/>
        </w:rPr>
        <w:t xml:space="preserve"> </w:t>
      </w:r>
      <w:r w:rsidRPr="00CD6E53">
        <w:rPr>
          <w:rFonts w:ascii="Times New Roman" w:eastAsia="Calibri" w:hAnsi="Times New Roman" w:cs="Times New Roman"/>
          <w:i/>
          <w:iCs/>
          <w:sz w:val="20"/>
          <w:szCs w:val="20"/>
        </w:rPr>
        <w:t>2 proc.</w:t>
      </w:r>
    </w:p>
    <w:p w14:paraId="50447E0C" w14:textId="67858012" w:rsidR="002F4103" w:rsidRDefault="002F4103" w:rsidP="002D7256">
      <w:pPr>
        <w:rPr>
          <w:rFonts w:ascii="Times New Roman" w:hAnsi="Times New Roman" w:cs="Times New Roman"/>
          <w:sz w:val="24"/>
          <w:szCs w:val="24"/>
        </w:rPr>
      </w:pPr>
    </w:p>
    <w:p w14:paraId="26896484" w14:textId="77777777" w:rsidR="00AF31CF" w:rsidRPr="00807B9E" w:rsidRDefault="00AF31CF" w:rsidP="00AF31CF">
      <w:pPr>
        <w:spacing w:after="0" w:line="240" w:lineRule="auto"/>
        <w:ind w:left="360"/>
        <w:rPr>
          <w:rFonts w:ascii="Times New Roman" w:hAnsi="Times New Roman"/>
          <w:b/>
          <w:bCs/>
          <w:color w:val="000000"/>
          <w:sz w:val="24"/>
          <w:szCs w:val="24"/>
          <w:highlight w:val="yellow"/>
          <w:shd w:val="clear" w:color="auto" w:fill="FFFFFF"/>
        </w:rPr>
      </w:pPr>
      <w:r w:rsidRPr="00807B9E">
        <w:rPr>
          <w:rFonts w:ascii="Times New Roman" w:hAnsi="Times New Roman"/>
          <w:b/>
          <w:bCs/>
          <w:color w:val="000000"/>
          <w:sz w:val="24"/>
          <w:szCs w:val="24"/>
          <w:highlight w:val="yellow"/>
          <w:u w:val="single"/>
          <w:shd w:val="clear" w:color="auto" w:fill="FFFFFF"/>
        </w:rPr>
        <w:t>2. Kita informacija:</w:t>
      </w:r>
    </w:p>
    <w:p w14:paraId="7FE1D6EB" w14:textId="77777777" w:rsidR="00AF31CF" w:rsidRPr="00807B9E" w:rsidRDefault="00AF31CF" w:rsidP="00AF31CF">
      <w:pPr>
        <w:jc w:val="both"/>
        <w:rPr>
          <w:rFonts w:ascii="Times New Roman" w:hAnsi="Times New Roman"/>
          <w:color w:val="000000"/>
          <w:sz w:val="24"/>
          <w:szCs w:val="24"/>
          <w:shd w:val="clear" w:color="auto" w:fill="FFFFFF"/>
        </w:rPr>
      </w:pPr>
      <w:r w:rsidRPr="00807B9E">
        <w:rPr>
          <w:rFonts w:ascii="Times New Roman" w:hAnsi="Times New Roman"/>
          <w:color w:val="000000"/>
          <w:sz w:val="24"/>
          <w:szCs w:val="24"/>
          <w:shd w:val="clear" w:color="auto" w:fill="FFFFFF"/>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w:t>
      </w:r>
      <w:r w:rsidRPr="00807B9E">
        <w:rPr>
          <w:rFonts w:ascii="Times New Roman" w:hAnsi="Times New Roman"/>
          <w:color w:val="000000"/>
          <w:sz w:val="24"/>
          <w:szCs w:val="24"/>
          <w:shd w:val="clear" w:color="auto" w:fill="FFFFFF"/>
        </w:rPr>
        <w:lastRenderedPageBreak/>
        <w:t xml:space="preserve">sistemą ir/arba 2011 m. birželio 8 d. Europos Parlamento ir Tarybos direktyvą 2011/65/ES dėl tam tikrų pavojingų medžiagų naudojimo elektros ir elektroninėje įrangoje apribojimo. </w:t>
      </w:r>
      <w:r w:rsidRPr="00807B9E">
        <w:rPr>
          <w:rFonts w:ascii="Times New Roman" w:hAnsi="Times New Roman"/>
          <w:b/>
          <w:bCs/>
          <w:color w:val="000000"/>
          <w:sz w:val="24"/>
          <w:szCs w:val="24"/>
          <w:shd w:val="clear" w:color="auto" w:fill="FFFFFF"/>
        </w:rPr>
        <w:t>Pirkėjas šio reikalavimo atitiktį vertins prekių pristatymo metu.</w:t>
      </w:r>
    </w:p>
    <w:p w14:paraId="15FEF3B4" w14:textId="77777777" w:rsidR="00AF31CF" w:rsidRPr="00807B9E" w:rsidRDefault="00AF31CF" w:rsidP="00AF31CF">
      <w:pPr>
        <w:jc w:val="both"/>
        <w:rPr>
          <w:rFonts w:ascii="Times New Roman" w:hAnsi="Times New Roman"/>
          <w:color w:val="000000"/>
          <w:sz w:val="24"/>
          <w:szCs w:val="24"/>
          <w:u w:val="single"/>
          <w:shd w:val="clear" w:color="auto" w:fill="FFFFFF"/>
        </w:rPr>
      </w:pPr>
      <w:r w:rsidRPr="00807B9E">
        <w:rPr>
          <w:rFonts w:ascii="Times New Roman" w:hAnsi="Times New Roman"/>
          <w:b/>
          <w:bCs/>
          <w:color w:val="000000"/>
          <w:sz w:val="24"/>
          <w:szCs w:val="24"/>
          <w:u w:val="single"/>
          <w:shd w:val="clear" w:color="auto" w:fill="FFFFFF"/>
        </w:rPr>
        <w:t>Tiekėjas Sutarties vykdymo metu kartu su pristatomomis prekėmis privalo pateikti</w:t>
      </w:r>
      <w:r w:rsidRPr="00807B9E">
        <w:rPr>
          <w:rFonts w:ascii="Times New Roman" w:hAnsi="Times New Roman"/>
          <w:color w:val="000000"/>
          <w:sz w:val="24"/>
          <w:szCs w:val="24"/>
          <w:u w:val="single"/>
          <w:shd w:val="clear" w:color="auto" w:fill="FFFFFF"/>
        </w:rPr>
        <w:t>:</w:t>
      </w:r>
    </w:p>
    <w:p w14:paraId="70D7FD74" w14:textId="77777777" w:rsidR="00AF31CF" w:rsidRPr="00807B9E" w:rsidRDefault="00AF31CF" w:rsidP="00AF31CF">
      <w:pPr>
        <w:jc w:val="both"/>
        <w:rPr>
          <w:rFonts w:ascii="Times New Roman" w:hAnsi="Times New Roman"/>
          <w:color w:val="000000"/>
          <w:sz w:val="24"/>
          <w:szCs w:val="24"/>
          <w:shd w:val="clear" w:color="auto" w:fill="FFFFFF"/>
        </w:rPr>
      </w:pPr>
      <w:r w:rsidRPr="00807B9E">
        <w:rPr>
          <w:rFonts w:ascii="Times New Roman" w:hAnsi="Times New Roman"/>
          <w:color w:val="000000"/>
          <w:sz w:val="24"/>
          <w:szCs w:val="24"/>
          <w:shd w:val="clear" w:color="auto" w:fill="FFFFFF"/>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29234CC5" w14:textId="77777777" w:rsidR="00AF31CF" w:rsidRPr="00807B9E" w:rsidRDefault="00AF31CF" w:rsidP="00AF31CF">
      <w:pPr>
        <w:jc w:val="both"/>
        <w:rPr>
          <w:rFonts w:ascii="Times New Roman" w:hAnsi="Times New Roman"/>
          <w:b/>
          <w:bCs/>
          <w:color w:val="000000"/>
          <w:sz w:val="24"/>
          <w:szCs w:val="24"/>
          <w:shd w:val="clear" w:color="auto" w:fill="FFFFFF"/>
        </w:rPr>
      </w:pPr>
      <w:r w:rsidRPr="00807B9E">
        <w:rPr>
          <w:rFonts w:ascii="Times New Roman" w:hAnsi="Times New Roman"/>
          <w:color w:val="000000"/>
          <w:sz w:val="24"/>
          <w:szCs w:val="24"/>
          <w:shd w:val="clear" w:color="auto" w:fill="FFFFFF"/>
        </w:rPr>
        <w:t xml:space="preserve">Jei prekėms pagal Europos Sąjungos teisės aktų reikalavimus nėra privalomas CE ženklinimas – </w:t>
      </w:r>
      <w:r w:rsidRPr="00807B9E">
        <w:rPr>
          <w:rFonts w:ascii="Times New Roman" w:hAnsi="Times New Roman"/>
          <w:b/>
          <w:bCs/>
          <w:color w:val="000000"/>
          <w:sz w:val="24"/>
          <w:szCs w:val="24"/>
          <w:shd w:val="clear" w:color="auto" w:fill="FFFFFF"/>
        </w:rPr>
        <w:t>Tiekėjas laisva rašytine forma turi pagrįsti, kad prekių neprivaloma ženklinti CE ženklu pagal teisės aktų reikalavimus.</w:t>
      </w:r>
    </w:p>
    <w:p w14:paraId="4A44DE55" w14:textId="77777777" w:rsidR="00AF31CF" w:rsidRPr="00807B9E" w:rsidRDefault="00AF31CF" w:rsidP="00AF31CF">
      <w:pPr>
        <w:jc w:val="both"/>
        <w:rPr>
          <w:rFonts w:ascii="Times New Roman" w:hAnsi="Times New Roman"/>
          <w:b/>
          <w:bCs/>
          <w:color w:val="000000"/>
          <w:sz w:val="24"/>
          <w:szCs w:val="24"/>
          <w:shd w:val="clear" w:color="auto" w:fill="FFFFFF"/>
        </w:rPr>
      </w:pPr>
      <w:r w:rsidRPr="00807B9E">
        <w:rPr>
          <w:rFonts w:ascii="Times New Roman" w:hAnsi="Times New Roman"/>
          <w:color w:val="000000"/>
          <w:sz w:val="24"/>
          <w:szCs w:val="24"/>
          <w:shd w:val="clear" w:color="auto" w:fill="FFFFFF"/>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807B9E">
        <w:rPr>
          <w:rFonts w:ascii="Times New Roman" w:hAnsi="Times New Roman"/>
          <w:b/>
          <w:bCs/>
          <w:color w:val="000000"/>
          <w:sz w:val="24"/>
          <w:szCs w:val="24"/>
          <w:shd w:val="clear" w:color="auto" w:fill="FFFFFF"/>
        </w:rPr>
        <w:t>nėra taikomos – tokiu atveju Tiekėjas laisva rašytine forma turi pagrįsti dėl Direktyvų netaikymo.</w:t>
      </w:r>
    </w:p>
    <w:p w14:paraId="546F44D6" w14:textId="77777777" w:rsidR="007F65FA" w:rsidRDefault="007F65FA" w:rsidP="002D7256">
      <w:pPr>
        <w:rPr>
          <w:rFonts w:ascii="Times New Roman" w:hAnsi="Times New Roman" w:cs="Times New Roman"/>
          <w:sz w:val="24"/>
          <w:szCs w:val="24"/>
        </w:rPr>
      </w:pPr>
    </w:p>
    <w:p w14:paraId="2A317A59" w14:textId="6350900C" w:rsidR="008D4820" w:rsidRPr="008C2B6B" w:rsidRDefault="00AF31CF" w:rsidP="008D4820">
      <w:pPr>
        <w:rPr>
          <w:b/>
          <w:bCs/>
          <w:sz w:val="24"/>
          <w:szCs w:val="24"/>
        </w:rPr>
      </w:pPr>
      <w:r>
        <w:rPr>
          <w:rFonts w:ascii="Times New Roman" w:hAnsi="Times New Roman" w:cs="Times New Roman"/>
          <w:b/>
          <w:bCs/>
          <w:sz w:val="24"/>
          <w:szCs w:val="24"/>
        </w:rPr>
        <w:t xml:space="preserve">3. </w:t>
      </w:r>
      <w:r w:rsidR="008D4820" w:rsidRPr="008C2B6B">
        <w:rPr>
          <w:rFonts w:ascii="Times New Roman" w:hAnsi="Times New Roman" w:cs="Times New Roman"/>
          <w:b/>
          <w:bCs/>
          <w:sz w:val="24"/>
          <w:szCs w:val="24"/>
        </w:rPr>
        <w:t>Aplinkos apsaugos kriterijai</w:t>
      </w:r>
    </w:p>
    <w:p w14:paraId="319C792E" w14:textId="2BA46114" w:rsidR="00D232A5" w:rsidRDefault="00D232A5" w:rsidP="0059796F">
      <w:pPr>
        <w:pStyle w:val="NoSpacing"/>
        <w:ind w:right="-1" w:firstLine="720"/>
        <w:jc w:val="both"/>
        <w:rPr>
          <w:rFonts w:ascii="Times New Roman" w:hAnsi="Times New Roman" w:cs="Times New Roman"/>
          <w:sz w:val="24"/>
          <w:szCs w:val="24"/>
        </w:rPr>
      </w:pPr>
      <w:r w:rsidRPr="003F5AF6">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Pr>
          <w:rFonts w:ascii="Times New Roman" w:hAnsi="Times New Roman" w:cs="Times New Roman"/>
          <w:sz w:val="24"/>
          <w:szCs w:val="24"/>
        </w:rPr>
        <w:t xml:space="preserve"> </w:t>
      </w:r>
      <w:r w:rsidRPr="006935EC">
        <w:rPr>
          <w:rFonts w:ascii="Times New Roman" w:hAnsi="Times New Roman" w:cs="Times New Roman"/>
          <w:sz w:val="24"/>
          <w:szCs w:val="24"/>
        </w:rPr>
        <w:t>4.4.4.</w:t>
      </w:r>
      <w:r w:rsidR="007C2301">
        <w:rPr>
          <w:rFonts w:ascii="Times New Roman" w:hAnsi="Times New Roman" w:cs="Times New Roman"/>
          <w:sz w:val="24"/>
          <w:szCs w:val="24"/>
        </w:rPr>
        <w:t>4</w:t>
      </w:r>
      <w:r w:rsidRPr="006935EC">
        <w:rPr>
          <w:rFonts w:ascii="Times New Roman" w:hAnsi="Times New Roman" w:cs="Times New Roman"/>
          <w:sz w:val="24"/>
          <w:szCs w:val="24"/>
        </w:rPr>
        <w:t xml:space="preserve"> papunkčiu</w:t>
      </w:r>
      <w:r>
        <w:rPr>
          <w:rFonts w:ascii="Times New Roman" w:hAnsi="Times New Roman" w:cs="Times New Roman"/>
          <w:sz w:val="24"/>
          <w:szCs w:val="24"/>
        </w:rPr>
        <w:t>:</w:t>
      </w:r>
    </w:p>
    <w:p w14:paraId="634A9F79" w14:textId="6214E28D" w:rsidR="001F4116" w:rsidRPr="001F4116" w:rsidRDefault="001F4116" w:rsidP="0059796F">
      <w:pPr>
        <w:ind w:left="709" w:right="-1"/>
        <w:rPr>
          <w:rFonts w:ascii="Times New Roman" w:hAnsi="Times New Roman" w:cs="Times New Roman"/>
          <w:sz w:val="24"/>
          <w:szCs w:val="24"/>
        </w:rPr>
      </w:pPr>
      <w:r w:rsidRPr="001F4116">
        <w:rPr>
          <w:rFonts w:ascii="Times New Roman" w:hAnsi="Times New Roman" w:cs="Times New Roman"/>
          <w:sz w:val="24"/>
          <w:szCs w:val="24"/>
        </w:rPr>
        <w:t xml:space="preserve">Tiekėjas įsipareigoja apmokyti ne mažiau kaip </w:t>
      </w:r>
      <w:r>
        <w:rPr>
          <w:rFonts w:ascii="Times New Roman" w:hAnsi="Times New Roman" w:cs="Times New Roman"/>
          <w:sz w:val="24"/>
          <w:szCs w:val="24"/>
        </w:rPr>
        <w:t>3</w:t>
      </w:r>
      <w:r w:rsidRPr="001F4116">
        <w:rPr>
          <w:rFonts w:ascii="Times New Roman" w:hAnsi="Times New Roman" w:cs="Times New Roman"/>
          <w:sz w:val="24"/>
          <w:szCs w:val="24"/>
        </w:rPr>
        <w:t xml:space="preserve">  Pirkėjo specialistus (ne mažiau kaip </w:t>
      </w:r>
      <w:r>
        <w:rPr>
          <w:rFonts w:ascii="Times New Roman" w:hAnsi="Times New Roman" w:cs="Times New Roman"/>
          <w:sz w:val="24"/>
          <w:szCs w:val="24"/>
        </w:rPr>
        <w:t>2</w:t>
      </w:r>
      <w:r w:rsidRPr="001F4116">
        <w:rPr>
          <w:rFonts w:ascii="Times New Roman" w:hAnsi="Times New Roman" w:cs="Times New Roman"/>
          <w:sz w:val="24"/>
          <w:szCs w:val="24"/>
        </w:rPr>
        <w:t xml:space="preserve"> val.) efektyviai ir saugiai dirbti su įranga. Mokymų metu turi būti aptarti įrangos ilgaamžiškumo užtikrinimo ir taisyklingos kasdienės priežiūros aspektai, leidžiantys išvengti priešlaikinio įrangos ar jos komponentų nusidėvėjimo, bei energijos vartojimo efektyvumas.</w:t>
      </w:r>
    </w:p>
    <w:p w14:paraId="7ED9FF9A" w14:textId="77777777" w:rsidR="001F4116" w:rsidRPr="008F6E54" w:rsidRDefault="001F4116" w:rsidP="00D232A5">
      <w:pPr>
        <w:ind w:right="-1"/>
        <w:rPr>
          <w:rFonts w:ascii="Times New Roman" w:hAnsi="Times New Roman" w:cs="Times New Roman"/>
          <w:sz w:val="24"/>
          <w:szCs w:val="24"/>
        </w:rPr>
      </w:pPr>
    </w:p>
    <w:sectPr w:rsidR="001F4116" w:rsidRPr="008F6E54" w:rsidSect="00C65A39">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481F"/>
    <w:multiLevelType w:val="hybridMultilevel"/>
    <w:tmpl w:val="1AD4AB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071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F0"/>
    <w:rsid w:val="000755F7"/>
    <w:rsid w:val="00084933"/>
    <w:rsid w:val="000955EB"/>
    <w:rsid w:val="000A0ACF"/>
    <w:rsid w:val="000C1051"/>
    <w:rsid w:val="00143D1F"/>
    <w:rsid w:val="001F4116"/>
    <w:rsid w:val="00214513"/>
    <w:rsid w:val="00260831"/>
    <w:rsid w:val="00286541"/>
    <w:rsid w:val="002D7256"/>
    <w:rsid w:val="002F4103"/>
    <w:rsid w:val="002F6FED"/>
    <w:rsid w:val="003B7FD5"/>
    <w:rsid w:val="003C6BBE"/>
    <w:rsid w:val="004465D2"/>
    <w:rsid w:val="0047594E"/>
    <w:rsid w:val="00486039"/>
    <w:rsid w:val="004C0BF0"/>
    <w:rsid w:val="004C4DE3"/>
    <w:rsid w:val="00595701"/>
    <w:rsid w:val="0059796F"/>
    <w:rsid w:val="005C3DB7"/>
    <w:rsid w:val="005C7AA8"/>
    <w:rsid w:val="005D3BDB"/>
    <w:rsid w:val="005E1D39"/>
    <w:rsid w:val="00601217"/>
    <w:rsid w:val="00621A32"/>
    <w:rsid w:val="0063010D"/>
    <w:rsid w:val="00684633"/>
    <w:rsid w:val="006B3E8F"/>
    <w:rsid w:val="006C5346"/>
    <w:rsid w:val="006D3A0F"/>
    <w:rsid w:val="006E2583"/>
    <w:rsid w:val="006F6062"/>
    <w:rsid w:val="007B1E0C"/>
    <w:rsid w:val="007C2301"/>
    <w:rsid w:val="007F65FA"/>
    <w:rsid w:val="00807B9E"/>
    <w:rsid w:val="00842A97"/>
    <w:rsid w:val="008C2B6B"/>
    <w:rsid w:val="008C42EC"/>
    <w:rsid w:val="008C5D6B"/>
    <w:rsid w:val="008D4820"/>
    <w:rsid w:val="008F24A7"/>
    <w:rsid w:val="008F6E54"/>
    <w:rsid w:val="0094234B"/>
    <w:rsid w:val="00972982"/>
    <w:rsid w:val="009A7AB4"/>
    <w:rsid w:val="009F6D59"/>
    <w:rsid w:val="00A61C44"/>
    <w:rsid w:val="00AA2815"/>
    <w:rsid w:val="00AB7B77"/>
    <w:rsid w:val="00AD6D8B"/>
    <w:rsid w:val="00AE7A6C"/>
    <w:rsid w:val="00AF31CF"/>
    <w:rsid w:val="00BA51DB"/>
    <w:rsid w:val="00BB552F"/>
    <w:rsid w:val="00BF6B12"/>
    <w:rsid w:val="00C13577"/>
    <w:rsid w:val="00C31061"/>
    <w:rsid w:val="00C65A39"/>
    <w:rsid w:val="00C83700"/>
    <w:rsid w:val="00CA5175"/>
    <w:rsid w:val="00CC4C53"/>
    <w:rsid w:val="00CD08BE"/>
    <w:rsid w:val="00CE6398"/>
    <w:rsid w:val="00CF39AA"/>
    <w:rsid w:val="00D1530C"/>
    <w:rsid w:val="00D20E92"/>
    <w:rsid w:val="00D232A5"/>
    <w:rsid w:val="00D667FA"/>
    <w:rsid w:val="00D820EE"/>
    <w:rsid w:val="00D9752B"/>
    <w:rsid w:val="00EC4EEE"/>
    <w:rsid w:val="00F85F78"/>
    <w:rsid w:val="00FB5066"/>
    <w:rsid w:val="00FD4124"/>
    <w:rsid w:val="00FE5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C493"/>
  <w15:chartTrackingRefBased/>
  <w15:docId w15:val="{C78E2959-175E-40FA-B56D-59448F1C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1DB"/>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8F"/>
    <w:pPr>
      <w:ind w:left="720"/>
      <w:contextualSpacing/>
    </w:pPr>
  </w:style>
  <w:style w:type="character" w:styleId="CommentReference">
    <w:name w:val="annotation reference"/>
    <w:basedOn w:val="DefaultParagraphFont"/>
    <w:uiPriority w:val="99"/>
    <w:semiHidden/>
    <w:unhideWhenUsed/>
    <w:rsid w:val="003C6BBE"/>
    <w:rPr>
      <w:sz w:val="16"/>
      <w:szCs w:val="16"/>
    </w:rPr>
  </w:style>
  <w:style w:type="paragraph" w:styleId="CommentText">
    <w:name w:val="annotation text"/>
    <w:basedOn w:val="Normal"/>
    <w:link w:val="CommentTextChar"/>
    <w:uiPriority w:val="99"/>
    <w:unhideWhenUsed/>
    <w:rsid w:val="003C6BBE"/>
    <w:pPr>
      <w:spacing w:line="240" w:lineRule="auto"/>
    </w:pPr>
    <w:rPr>
      <w:sz w:val="20"/>
      <w:szCs w:val="20"/>
    </w:rPr>
  </w:style>
  <w:style w:type="character" w:customStyle="1" w:styleId="CommentTextChar">
    <w:name w:val="Comment Text Char"/>
    <w:basedOn w:val="DefaultParagraphFont"/>
    <w:link w:val="CommentText"/>
    <w:uiPriority w:val="99"/>
    <w:rsid w:val="003C6BBE"/>
    <w:rPr>
      <w:sz w:val="20"/>
      <w:szCs w:val="20"/>
    </w:rPr>
  </w:style>
  <w:style w:type="paragraph" w:styleId="CommentSubject">
    <w:name w:val="annotation subject"/>
    <w:basedOn w:val="CommentText"/>
    <w:next w:val="CommentText"/>
    <w:link w:val="CommentSubjectChar"/>
    <w:uiPriority w:val="99"/>
    <w:semiHidden/>
    <w:unhideWhenUsed/>
    <w:rsid w:val="003C6BBE"/>
    <w:rPr>
      <w:b/>
      <w:bCs/>
    </w:rPr>
  </w:style>
  <w:style w:type="character" w:customStyle="1" w:styleId="CommentSubjectChar">
    <w:name w:val="Comment Subject Char"/>
    <w:basedOn w:val="CommentTextChar"/>
    <w:link w:val="CommentSubject"/>
    <w:uiPriority w:val="99"/>
    <w:semiHidden/>
    <w:rsid w:val="003C6BBE"/>
    <w:rPr>
      <w:b/>
      <w:bCs/>
      <w:sz w:val="20"/>
      <w:szCs w:val="20"/>
    </w:rPr>
  </w:style>
  <w:style w:type="paragraph" w:styleId="Revision">
    <w:name w:val="Revision"/>
    <w:hidden/>
    <w:uiPriority w:val="99"/>
    <w:semiHidden/>
    <w:rsid w:val="003C6BBE"/>
    <w:pPr>
      <w:spacing w:after="0" w:line="240" w:lineRule="auto"/>
    </w:pPr>
  </w:style>
  <w:style w:type="table" w:styleId="TableGridLight">
    <w:name w:val="Grid Table Light"/>
    <w:basedOn w:val="TableNormal"/>
    <w:uiPriority w:val="40"/>
    <w:rsid w:val="000A0ACF"/>
    <w:pPr>
      <w:spacing w:after="0" w:line="240" w:lineRule="auto"/>
    </w:pPr>
    <w:rPr>
      <w:kern w:val="2"/>
      <w:sz w:val="24"/>
      <w:szCs w:val="24"/>
      <w:lang w:val="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5C7AA8"/>
    <w:pPr>
      <w:spacing w:after="200" w:line="276" w:lineRule="auto"/>
    </w:pPr>
    <w:rPr>
      <w:rFonts w:ascii="Times New Roman" w:eastAsiaTheme="minorEastAsia" w:hAnsi="Times New Roman" w:cs="Times New Roman"/>
      <w:sz w:val="24"/>
      <w:szCs w:val="24"/>
      <w:lang w:val="en-US"/>
    </w:rPr>
  </w:style>
  <w:style w:type="paragraph" w:styleId="NoSpacing">
    <w:name w:val="No Spacing"/>
    <w:uiPriority w:val="1"/>
    <w:qFormat/>
    <w:rsid w:val="00D23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4624</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Baliukonienė</dc:creator>
  <cp:keywords/>
  <dc:description/>
  <cp:lastModifiedBy>Virginija Lapaitytė</cp:lastModifiedBy>
  <cp:revision>22</cp:revision>
  <dcterms:created xsi:type="dcterms:W3CDTF">2026-06-12T08:58:00Z</dcterms:created>
  <dcterms:modified xsi:type="dcterms:W3CDTF">2026-07-17T08:27:00Z</dcterms:modified>
</cp:coreProperties>
</file>