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018EC36A" w:rsidR="00441310" w:rsidRPr="00182520" w:rsidRDefault="00306314" w:rsidP="00441310">
      <w:pPr>
        <w:jc w:val="center"/>
        <w:rPr>
          <w:lang w:eastAsia="lt-LT"/>
        </w:rPr>
      </w:pPr>
      <w:r>
        <w:rPr>
          <w:b/>
          <w:lang w:eastAsia="lt-LT"/>
        </w:rPr>
        <w:t>202</w:t>
      </w:r>
      <w:r w:rsidR="00D07926">
        <w:rPr>
          <w:b/>
          <w:lang w:eastAsia="lt-LT"/>
        </w:rPr>
        <w:t>6</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D07926">
        <w:rPr>
          <w:b/>
          <w:lang w:eastAsia="lt-LT"/>
        </w:rPr>
        <w:t>6</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0E00F2B9" w14:textId="56E4E8D2" w:rsidR="007D6924" w:rsidRDefault="005254FC" w:rsidP="00B91D78">
      <w:pPr>
        <w:suppressAutoHyphens/>
        <w:ind w:firstLine="720"/>
        <w:jc w:val="both"/>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vadovaudamosi Lietuvos Respublikos viešųjų pirkimų įstatymu</w:t>
      </w:r>
      <w:r w:rsidR="007D6924">
        <w:t xml:space="preserve"> (toliau – Viešųjų pirkimų įstatymas)</w:t>
      </w:r>
      <w:r w:rsidRPr="00182520">
        <w:t xml:space="preserve">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p>
    <w:p w14:paraId="26B6B600" w14:textId="6EECD053" w:rsidR="00713DA8" w:rsidRPr="00C0454D" w:rsidRDefault="005254FC" w:rsidP="00D410FA">
      <w:pPr>
        <w:suppressAutoHyphens/>
        <w:jc w:val="both"/>
        <w:rPr>
          <w:shd w:val="clear" w:color="auto" w:fill="FFFFFF"/>
          <w:lang w:eastAsia="ar-SA"/>
        </w:rPr>
      </w:pP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1777956F"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7D6924">
              <w:t xml:space="preserve">vieną </w:t>
            </w:r>
            <w:r w:rsidR="00D07926">
              <w:t xml:space="preserve">vnt. </w:t>
            </w:r>
            <w:r w:rsidR="00D410FA">
              <w:t xml:space="preserve">didelį </w:t>
            </w:r>
            <w:r w:rsidR="00D07926">
              <w:rPr>
                <w:color w:val="000000"/>
                <w:lang w:eastAsia="lt-LT"/>
              </w:rPr>
              <w:t xml:space="preserve">skysčių, kraujo šaldytuvą </w:t>
            </w:r>
            <w:r w:rsidRPr="006C57D4">
              <w:rPr>
                <w:lang w:eastAsia="lt-LT"/>
              </w:rPr>
              <w:t xml:space="preserve">(toliau – Prekė), </w:t>
            </w:r>
            <w:r w:rsidR="007D6924" w:rsidRPr="006C57D4">
              <w:rPr>
                <w:lang w:eastAsia="lt-LT"/>
              </w:rPr>
              <w:t>atitinkanč</w:t>
            </w:r>
            <w:r w:rsidR="007D6924">
              <w:rPr>
                <w:lang w:eastAsia="lt-LT"/>
              </w:rPr>
              <w:t>ią</w:t>
            </w:r>
            <w:r w:rsidR="007D6924" w:rsidRPr="006C57D4">
              <w:rPr>
                <w:lang w:eastAsia="lt-LT"/>
              </w:rPr>
              <w:t xml:space="preserve"> </w:t>
            </w:r>
            <w:r w:rsidRPr="006C57D4">
              <w:rPr>
                <w:lang w:eastAsia="lt-LT"/>
              </w:rPr>
              <w:t>Sutarties priede Nr. 1 „Prekių kainininkas ir techninė specifikacij</w:t>
            </w:r>
            <w:r w:rsidR="007D6924">
              <w:rPr>
                <w:lang w:eastAsia="lt-LT"/>
              </w:rPr>
              <w:t>os</w:t>
            </w:r>
            <w:r w:rsidRPr="006C57D4">
              <w:rPr>
                <w:lang w:eastAsia="lt-LT"/>
              </w:rPr>
              <w:t>“ pateiktas technines specifikacijas (toliau – 1 priedas) ir kitus Su</w:t>
            </w:r>
            <w:r w:rsidR="00573C8E">
              <w:rPr>
                <w:lang w:eastAsia="lt-LT"/>
              </w:rPr>
              <w:t>tartyje nurodytus reikalavimus.</w:t>
            </w:r>
          </w:p>
          <w:p w14:paraId="4B70DA40" w14:textId="423D1946"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w:t>
            </w:r>
            <w:r w:rsidR="00D410FA" w:rsidRPr="006C57D4">
              <w:rPr>
                <w:lang w:eastAsia="lt-LT"/>
              </w:rPr>
              <w:t>Prek</w:t>
            </w:r>
            <w:r w:rsidR="00D410FA">
              <w:rPr>
                <w:lang w:eastAsia="lt-LT"/>
              </w:rPr>
              <w:t>ės</w:t>
            </w:r>
            <w:r w:rsidR="00D410FA" w:rsidRPr="006C57D4">
              <w:rPr>
                <w:lang w:eastAsia="lt-LT"/>
              </w:rPr>
              <w:t xml:space="preserve"> </w:t>
            </w:r>
            <w:r w:rsidRPr="006C57D4">
              <w:rPr>
                <w:lang w:eastAsia="lt-LT"/>
              </w:rPr>
              <w:t>kainininkas ir techninė</w:t>
            </w:r>
            <w:r w:rsidR="007D6924">
              <w:rPr>
                <w:lang w:eastAsia="lt-LT"/>
              </w:rPr>
              <w:t>s</w:t>
            </w:r>
            <w:r w:rsidRPr="006C57D4">
              <w:rPr>
                <w:lang w:eastAsia="lt-LT"/>
              </w:rPr>
              <w:t xml:space="preserve"> </w:t>
            </w:r>
            <w:r w:rsidR="007D6924" w:rsidRPr="006C57D4">
              <w:rPr>
                <w:lang w:eastAsia="lt-LT"/>
              </w:rPr>
              <w:t>specifikacij</w:t>
            </w:r>
            <w:r w:rsidR="007D6924">
              <w:rPr>
                <w:lang w:eastAsia="lt-LT"/>
              </w:rPr>
              <w:t>os</w:t>
            </w:r>
            <w:r w:rsidRPr="006C57D4">
              <w:rPr>
                <w:lang w:eastAsia="lt-LT"/>
              </w:rPr>
              <w:t>“ pateiktas technines spe</w:t>
            </w:r>
            <w:r w:rsidR="00C97465">
              <w:rPr>
                <w:lang w:eastAsia="lt-LT"/>
              </w:rPr>
              <w:t xml:space="preserve">cifikacijas </w:t>
            </w:r>
            <w:r w:rsidR="00D410FA">
              <w:rPr>
                <w:lang w:eastAsia="lt-LT"/>
              </w:rPr>
              <w:t>atitinkančią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59136BFA" w:rsidR="00605E5F" w:rsidRDefault="00605E5F" w:rsidP="005254FC">
            <w:r w:rsidRPr="004C1DC9">
              <w:t xml:space="preserve">2.1. </w:t>
            </w:r>
            <w:r>
              <w:t xml:space="preserve">Sutarties maksimali kaina </w:t>
            </w:r>
            <w:r w:rsidR="00FF0679">
              <w:t>–</w:t>
            </w:r>
            <w:r>
              <w:t xml:space="preserve"> </w:t>
            </w:r>
            <w:r w:rsidR="00D07926">
              <w:t>4</w:t>
            </w:r>
            <w:r w:rsidR="00854966">
              <w:t>5000,00</w:t>
            </w:r>
            <w:r w:rsidR="00BC1C9F">
              <w:t xml:space="preserve"> </w:t>
            </w:r>
            <w:r w:rsidR="005254FC" w:rsidRPr="006B7A84">
              <w:t xml:space="preserve">Eur </w:t>
            </w:r>
            <w:r w:rsidR="005254FC" w:rsidRPr="007F0513">
              <w:t>su PVM (</w:t>
            </w:r>
            <w:r w:rsidR="00D07926">
              <w:t>keturiasdešimt penki tūkstančių Eur.</w:t>
            </w:r>
            <w:r w:rsidR="00D07926" w:rsidRPr="00003865">
              <w:t>, 00 cnt.</w:t>
            </w:r>
            <w:r w:rsidR="005254FC" w:rsidRPr="00003865">
              <w:t>).</w:t>
            </w:r>
          </w:p>
          <w:p w14:paraId="1D9B4A1A" w14:textId="0D8F0140" w:rsidR="001979E2" w:rsidRPr="002C3E9F" w:rsidRDefault="001979E2" w:rsidP="005254FC">
            <w:r w:rsidRPr="001979E2">
              <w:t>2.2</w:t>
            </w:r>
            <w:r w:rsidR="007D6924">
              <w:t>.</w:t>
            </w:r>
            <w:r w:rsidRPr="001979E2">
              <w:t xml:space="preserve"> </w:t>
            </w:r>
            <w:r w:rsidR="00D410FA" w:rsidRPr="001979E2">
              <w:t>Prek</w:t>
            </w:r>
            <w:r w:rsidR="00D410FA">
              <w:t>ės</w:t>
            </w:r>
            <w:r w:rsidR="00D410FA" w:rsidRPr="001979E2">
              <w:t xml:space="preserve"> įkaini</w:t>
            </w:r>
            <w:r w:rsidR="00D410FA">
              <w:t>s</w:t>
            </w:r>
            <w:r w:rsidR="00D410FA" w:rsidRPr="001979E2">
              <w:t xml:space="preserve"> </w:t>
            </w:r>
            <w:r w:rsidRPr="001979E2">
              <w:t xml:space="preserve">eurais </w:t>
            </w:r>
            <w:r w:rsidR="00D410FA" w:rsidRPr="001979E2">
              <w:t>nurodyt</w:t>
            </w:r>
            <w:r w:rsidR="00D410FA">
              <w:t>as</w:t>
            </w:r>
            <w:r w:rsidR="00D410FA" w:rsidRPr="001979E2">
              <w:t xml:space="preserve"> </w:t>
            </w:r>
            <w:proofErr w:type="spellStart"/>
            <w:r w:rsidRPr="001979E2">
              <w:t>nurodytas</w:t>
            </w:r>
            <w:proofErr w:type="spellEnd"/>
            <w:r w:rsidRPr="001979E2">
              <w:t xml:space="preserve"> Sutarties priede Nr. 1.</w:t>
            </w:r>
          </w:p>
          <w:p w14:paraId="0CA599E7" w14:textId="4DE96616" w:rsidR="006C57D4" w:rsidRDefault="001979E2" w:rsidP="00573C8E">
            <w:pPr>
              <w:jc w:val="both"/>
            </w:pPr>
            <w:r>
              <w:t>2.3</w:t>
            </w:r>
            <w:r w:rsidR="006C57D4" w:rsidRPr="006C57D4">
              <w:t xml:space="preserve">. Sutarčiai taikoma fiksuotų įkainių kainodara. </w:t>
            </w:r>
            <w:r w:rsidR="00D410FA" w:rsidRPr="006C57D4">
              <w:t>Prek</w:t>
            </w:r>
            <w:r w:rsidR="00D410FA">
              <w:t>ės</w:t>
            </w:r>
            <w:r w:rsidR="00B91D78">
              <w:t xml:space="preserve"> </w:t>
            </w:r>
            <w:r w:rsidR="00D410FA" w:rsidRPr="006C57D4">
              <w:t>įkaini</w:t>
            </w:r>
            <w:r w:rsidR="00D410FA">
              <w:t>s</w:t>
            </w:r>
            <w:r w:rsidR="00D410FA" w:rsidRPr="006C57D4">
              <w:t xml:space="preserve"> nurodyt</w:t>
            </w:r>
            <w:r w:rsidR="00D410FA">
              <w:t>as</w:t>
            </w:r>
            <w:r w:rsidR="00D410FA" w:rsidRPr="006C57D4">
              <w:t xml:space="preserve"> </w:t>
            </w:r>
            <w:r w:rsidR="006C57D4" w:rsidRPr="006C57D4">
              <w:t xml:space="preserve">Sutarties 1 priede. </w:t>
            </w:r>
            <w:r w:rsidR="00D410FA" w:rsidRPr="006C57D4">
              <w:t>Prek</w:t>
            </w:r>
            <w:r w:rsidR="00D410FA">
              <w:t>ės</w:t>
            </w:r>
            <w:r w:rsidR="00D410FA" w:rsidRPr="006C57D4">
              <w:t xml:space="preserve"> įkaini</w:t>
            </w:r>
            <w:r w:rsidR="00D410FA">
              <w:t>s</w:t>
            </w:r>
            <w:r w:rsidR="00D410FA" w:rsidRPr="006C57D4">
              <w:t xml:space="preserve"> nekeičiam</w:t>
            </w:r>
            <w:r w:rsidR="00D410FA">
              <w:t>as</w:t>
            </w:r>
            <w:r w:rsidR="00D410FA" w:rsidRPr="006C57D4">
              <w:t xml:space="preserve"> </w:t>
            </w:r>
            <w:r w:rsidR="006C57D4" w:rsidRPr="006C57D4">
              <w:t>visą Sutarties galiojimo laiką. Peržiūros atvejis numatytas Sutarties bendrosi</w:t>
            </w:r>
            <w:r w:rsidR="00573C8E">
              <w:t>os dalies 2.2 ir 2.3 punktuose.</w:t>
            </w:r>
          </w:p>
          <w:p w14:paraId="550F030E" w14:textId="5E7E2449" w:rsidR="00713DA8" w:rsidRDefault="001979E2" w:rsidP="00573C8E">
            <w:pPr>
              <w:jc w:val="both"/>
            </w:pPr>
            <w:r>
              <w:t>2.4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w:t>
            </w:r>
            <w:r w:rsidR="00D410FA" w:rsidRPr="006C57D4">
              <w:t>Prek</w:t>
            </w:r>
            <w:r w:rsidR="00D410FA">
              <w:t>ės</w:t>
            </w:r>
            <w:r w:rsidR="00D410FA" w:rsidRPr="006C57D4">
              <w:t xml:space="preserve"> </w:t>
            </w:r>
            <w:r w:rsidR="006C57D4" w:rsidRPr="006C57D4">
              <w:t xml:space="preserve">įkainius privalo įskaičiuoti visas su </w:t>
            </w:r>
            <w:r w:rsidR="00D410FA" w:rsidRPr="006C57D4">
              <w:t>Prek</w:t>
            </w:r>
            <w:r w:rsidR="00D410FA">
              <w:t>ės</w:t>
            </w:r>
            <w:r w:rsidR="00D410FA" w:rsidRPr="006C57D4">
              <w:t xml:space="preserve"> </w:t>
            </w:r>
            <w:r w:rsidR="006C57D4" w:rsidRPr="006C57D4">
              <w:t>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2842DE49" w:rsidR="00061A83" w:rsidRPr="00182520" w:rsidRDefault="005254FC" w:rsidP="00573C8E">
            <w:pPr>
              <w:jc w:val="both"/>
            </w:pPr>
            <w:r>
              <w:t>3.1</w:t>
            </w:r>
            <w:r w:rsidR="00061A83" w:rsidRPr="00182520">
              <w:t xml:space="preserve">. </w:t>
            </w:r>
            <w:r w:rsidR="00D410FA" w:rsidRPr="00182520">
              <w:t>Prek</w:t>
            </w:r>
            <w:r w:rsidR="00D410FA">
              <w:t>ės</w:t>
            </w:r>
            <w:r w:rsidR="00D410FA" w:rsidRPr="00182520">
              <w:t xml:space="preserve"> </w:t>
            </w:r>
            <w:r w:rsidR="00061A83" w:rsidRPr="00182520">
              <w:t xml:space="preserve">pristatymo vieta – </w:t>
            </w:r>
            <w:r w:rsidR="0067026A" w:rsidRPr="00182520">
              <w:t>Vaidoto g. 209, Kaunas.</w:t>
            </w:r>
          </w:p>
          <w:p w14:paraId="0401B185" w14:textId="2856613A" w:rsidR="005254FC" w:rsidRDefault="00061A83" w:rsidP="00573C8E">
            <w:pPr>
              <w:jc w:val="both"/>
              <w:rPr>
                <w:lang w:eastAsia="lt-LT"/>
              </w:rPr>
            </w:pPr>
            <w:r w:rsidRPr="00182520">
              <w:t>3</w:t>
            </w:r>
            <w:r w:rsidR="005254FC">
              <w:t>.2</w:t>
            </w:r>
            <w:r w:rsidRPr="00182520">
              <w:t xml:space="preserve">. </w:t>
            </w:r>
            <w:r w:rsidR="005254FC" w:rsidRPr="00985819">
              <w:rPr>
                <w:lang w:eastAsia="lt-LT"/>
              </w:rPr>
              <w:t xml:space="preserve">Sutarties </w:t>
            </w:r>
            <w:r w:rsidR="00985819">
              <w:t xml:space="preserve">pasirašymas ir yra </w:t>
            </w:r>
            <w:r w:rsidR="00D410FA">
              <w:t xml:space="preserve">prekės </w:t>
            </w:r>
            <w:r w:rsidR="00985819">
              <w:t>užsakymas</w:t>
            </w:r>
            <w:r w:rsidR="005254FC" w:rsidRPr="00182520">
              <w:rPr>
                <w:lang w:eastAsia="lt-LT"/>
              </w:rPr>
              <w:t>.</w:t>
            </w:r>
          </w:p>
          <w:p w14:paraId="4F0A1E6A" w14:textId="7942046F" w:rsidR="006C57D4" w:rsidRPr="006C57D4" w:rsidRDefault="005254FC" w:rsidP="00573C8E">
            <w:pPr>
              <w:jc w:val="both"/>
              <w:rPr>
                <w:lang w:eastAsia="lt-LT"/>
              </w:rPr>
            </w:pPr>
            <w:r>
              <w:rPr>
                <w:lang w:eastAsia="lt-LT"/>
              </w:rPr>
              <w:t>3.3</w:t>
            </w:r>
            <w:r w:rsidR="006C57D4" w:rsidRPr="006C57D4">
              <w:rPr>
                <w:lang w:eastAsia="lt-LT"/>
              </w:rPr>
              <w:t xml:space="preserve">. </w:t>
            </w:r>
            <w:r w:rsidR="00D410FA" w:rsidRPr="006C57D4">
              <w:rPr>
                <w:b/>
                <w:lang w:eastAsia="lt-LT"/>
              </w:rPr>
              <w:t>Prek</w:t>
            </w:r>
            <w:r w:rsidR="00D410FA">
              <w:rPr>
                <w:b/>
                <w:lang w:eastAsia="lt-LT"/>
              </w:rPr>
              <w:t>ės</w:t>
            </w:r>
            <w:r w:rsidR="00D410FA" w:rsidRPr="006C57D4">
              <w:rPr>
                <w:b/>
                <w:lang w:eastAsia="lt-LT"/>
              </w:rPr>
              <w:t xml:space="preserve"> </w:t>
            </w:r>
            <w:r w:rsidR="006C57D4" w:rsidRPr="006C57D4">
              <w:rPr>
                <w:b/>
                <w:lang w:eastAsia="lt-LT"/>
              </w:rPr>
              <w:t>pristatymo terminas</w:t>
            </w:r>
            <w:r>
              <w:rPr>
                <w:lang w:eastAsia="lt-LT"/>
              </w:rPr>
              <w:t xml:space="preserve"> – </w:t>
            </w:r>
            <w:r w:rsidR="00985819" w:rsidRPr="00985819">
              <w:rPr>
                <w:b/>
                <w:lang w:eastAsia="lt-LT"/>
              </w:rPr>
              <w:t>Prekė</w:t>
            </w:r>
            <w:r w:rsidR="00985819">
              <w:rPr>
                <w:lang w:eastAsia="lt-LT"/>
              </w:rPr>
              <w:t xml:space="preserve"> </w:t>
            </w:r>
            <w:r w:rsidR="00985819" w:rsidRPr="00985819">
              <w:rPr>
                <w:lang w:eastAsia="lt-LT"/>
              </w:rPr>
              <w:t xml:space="preserve">turi būti </w:t>
            </w:r>
            <w:r w:rsidR="00D410FA" w:rsidRPr="00985819">
              <w:rPr>
                <w:lang w:eastAsia="lt-LT"/>
              </w:rPr>
              <w:t>pristatyt</w:t>
            </w:r>
            <w:r w:rsidR="00D410FA">
              <w:rPr>
                <w:lang w:eastAsia="lt-LT"/>
              </w:rPr>
              <w:t>a</w:t>
            </w:r>
            <w:r w:rsidR="00D410FA" w:rsidRPr="00985819">
              <w:rPr>
                <w:lang w:eastAsia="lt-LT"/>
              </w:rPr>
              <w:t xml:space="preserve"> </w:t>
            </w:r>
            <w:r w:rsidR="00985819" w:rsidRPr="00985819">
              <w:rPr>
                <w:lang w:eastAsia="lt-LT"/>
              </w:rPr>
              <w:t>ne vėliau kaip iki 202</w:t>
            </w:r>
            <w:r w:rsidR="00D07926">
              <w:rPr>
                <w:lang w:eastAsia="lt-LT"/>
              </w:rPr>
              <w:t>6</w:t>
            </w:r>
            <w:r w:rsidR="00985819" w:rsidRPr="00985819">
              <w:rPr>
                <w:lang w:eastAsia="lt-LT"/>
              </w:rPr>
              <w:t xml:space="preserve"> m. </w:t>
            </w:r>
            <w:r w:rsidR="00985819">
              <w:rPr>
                <w:lang w:eastAsia="lt-LT"/>
              </w:rPr>
              <w:t>gruodžio 1</w:t>
            </w:r>
            <w:r w:rsidR="00985819" w:rsidRPr="00985819">
              <w:rPr>
                <w:lang w:eastAsia="lt-LT"/>
              </w:rPr>
              <w:t xml:space="preserve"> d nuo Sutarties įsigaliojimo</w:t>
            </w:r>
            <w:r w:rsidR="006C57D4" w:rsidRPr="006C57D4">
              <w:rPr>
                <w:lang w:eastAsia="lt-LT"/>
              </w:rPr>
              <w:t xml:space="preserve">. </w:t>
            </w:r>
          </w:p>
          <w:p w14:paraId="523DBAC6" w14:textId="49C27EE4" w:rsidR="006C57D4" w:rsidRPr="006C57D4" w:rsidRDefault="005254FC" w:rsidP="00573C8E">
            <w:pPr>
              <w:jc w:val="both"/>
              <w:rPr>
                <w:lang w:eastAsia="lt-LT"/>
              </w:rPr>
            </w:pPr>
            <w:r>
              <w:rPr>
                <w:lang w:eastAsia="lt-LT"/>
              </w:rPr>
              <w:t>3.4</w:t>
            </w:r>
            <w:r w:rsidR="006C57D4" w:rsidRPr="006C57D4">
              <w:rPr>
                <w:lang w:eastAsia="lt-LT"/>
              </w:rPr>
              <w:t xml:space="preserve">. </w:t>
            </w:r>
            <w:r w:rsidR="00D410FA" w:rsidRPr="006C57D4">
              <w:rPr>
                <w:b/>
                <w:lang w:eastAsia="lt-LT"/>
              </w:rPr>
              <w:t>Prek</w:t>
            </w:r>
            <w:r w:rsidR="00D410FA">
              <w:rPr>
                <w:b/>
                <w:lang w:eastAsia="lt-LT"/>
              </w:rPr>
              <w:t>ės</w:t>
            </w:r>
            <w:r w:rsidR="00D410FA" w:rsidRPr="006C57D4">
              <w:rPr>
                <w:b/>
                <w:lang w:eastAsia="lt-LT"/>
              </w:rPr>
              <w:t xml:space="preserve"> </w:t>
            </w:r>
            <w:r w:rsidR="006C57D4" w:rsidRPr="006C57D4">
              <w:rPr>
                <w:b/>
                <w:lang w:eastAsia="lt-LT"/>
              </w:rPr>
              <w:t>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w:t>
            </w:r>
            <w:r w:rsidR="00D410FA" w:rsidRPr="006C57D4">
              <w:rPr>
                <w:lang w:eastAsia="lt-LT"/>
              </w:rPr>
              <w:t>Prek</w:t>
            </w:r>
            <w:r w:rsidR="00D410FA">
              <w:rPr>
                <w:lang w:eastAsia="lt-LT"/>
              </w:rPr>
              <w:t>ę</w:t>
            </w:r>
            <w:r w:rsidR="00D410FA" w:rsidRPr="006C57D4">
              <w:rPr>
                <w:lang w:eastAsia="lt-LT"/>
              </w:rPr>
              <w:t xml:space="preserve"> </w:t>
            </w:r>
            <w:r w:rsidR="006C57D4" w:rsidRPr="006C57D4">
              <w:rPr>
                <w:lang w:eastAsia="lt-LT"/>
              </w:rPr>
              <w:t xml:space="preserve">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458AD5C2"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D410FA" w:rsidRPr="006C57D4">
              <w:rPr>
                <w:lang w:eastAsia="lt-LT"/>
              </w:rPr>
              <w:t>Prek</w:t>
            </w:r>
            <w:r w:rsidR="00D410FA">
              <w:rPr>
                <w:lang w:eastAsia="lt-LT"/>
              </w:rPr>
              <w:t>ę</w:t>
            </w:r>
            <w:r w:rsidR="00D410FA" w:rsidRPr="006C57D4">
              <w:rPr>
                <w:lang w:eastAsia="lt-LT"/>
              </w:rPr>
              <w:t xml:space="preserve"> </w:t>
            </w:r>
            <w:r w:rsidR="006C57D4" w:rsidRPr="006C57D4">
              <w:rPr>
                <w:lang w:eastAsia="lt-LT"/>
              </w:rPr>
              <w:t>pristato savo sąskaita ir rizika.</w:t>
            </w:r>
          </w:p>
          <w:p w14:paraId="21675F65" w14:textId="48FAA518" w:rsidR="00A77550" w:rsidRDefault="00AA3352" w:rsidP="00573C8E">
            <w:pPr>
              <w:pStyle w:val="ListParagraph"/>
              <w:tabs>
                <w:tab w:val="left" w:pos="851"/>
              </w:tabs>
              <w:ind w:left="0"/>
              <w:jc w:val="both"/>
              <w:rPr>
                <w:lang w:eastAsia="lt-LT"/>
              </w:rPr>
            </w:pPr>
            <w:r>
              <w:rPr>
                <w:lang w:eastAsia="lt-LT"/>
              </w:rPr>
              <w:t>3.6</w:t>
            </w:r>
            <w:r w:rsidR="001979E2">
              <w:rPr>
                <w:lang w:eastAsia="lt-LT"/>
              </w:rPr>
              <w:t>.</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A422AF"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4EA63F65" w14:textId="0156F21E" w:rsidR="001A2EE3" w:rsidRDefault="001A2EE3" w:rsidP="00573C8E">
            <w:pPr>
              <w:pStyle w:val="ListParagraph"/>
              <w:tabs>
                <w:tab w:val="left" w:pos="851"/>
              </w:tabs>
              <w:ind w:left="0"/>
              <w:jc w:val="both"/>
              <w:rPr>
                <w:lang w:eastAsia="lt-LT"/>
              </w:rPr>
            </w:pPr>
            <w:r>
              <w:rPr>
                <w:lang w:eastAsia="lt-LT"/>
              </w:rPr>
              <w:lastRenderedPageBreak/>
              <w:t xml:space="preserve">3.7. </w:t>
            </w:r>
            <w:r w:rsidRPr="0042770A">
              <w:rPr>
                <w:b/>
                <w:bCs/>
                <w:lang w:eastAsia="lt-LT"/>
              </w:rPr>
              <w:t>Pirkėjui</w:t>
            </w:r>
            <w:r w:rsidRPr="001A2EE3">
              <w:rPr>
                <w:lang w:eastAsia="lt-LT"/>
              </w:rPr>
              <w:t xml:space="preserve"> pareikalavus, </w:t>
            </w:r>
            <w:r w:rsidRPr="0042770A">
              <w:rPr>
                <w:b/>
                <w:bCs/>
                <w:lang w:eastAsia="lt-LT"/>
              </w:rPr>
              <w:t>Pardavėjas</w:t>
            </w:r>
            <w:r w:rsidRPr="001A2EE3">
              <w:rPr>
                <w:lang w:eastAsia="lt-LT"/>
              </w:rPr>
              <w:t xml:space="preserve"> privalo per 5 (penkias) dienas nemokamai pateikti dokumentus, pagrindžiančius Prekės techninius parametrus, kodifikavimui reikalingą papildomą techninę dokumentaciją</w:t>
            </w:r>
            <w:r>
              <w:rPr>
                <w:lang w:eastAsia="lt-LT"/>
              </w:rPr>
              <w:t>, naudojimosi instrukciją</w:t>
            </w:r>
            <w:r w:rsidRPr="001A2EE3">
              <w:rPr>
                <w:lang w:eastAsia="lt-LT"/>
              </w:rPr>
              <w:t xml:space="preserve"> ar kitus su Prekėmis susijusius dokumentus.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18E2AA4" w14:textId="7B425085" w:rsidR="00441310" w:rsidRPr="00182520" w:rsidRDefault="00DC7194" w:rsidP="00441310">
            <w:pPr>
              <w:jc w:val="both"/>
              <w:rPr>
                <w:lang w:eastAsia="lt-LT"/>
              </w:rPr>
            </w:pPr>
            <w:r w:rsidRPr="00182520">
              <w:rPr>
                <w:lang w:eastAsia="lt-LT"/>
              </w:rPr>
              <w:t xml:space="preserve">4.1. </w:t>
            </w:r>
            <w:r w:rsidR="001E65A3" w:rsidRPr="001E65A3">
              <w:rPr>
                <w:b/>
                <w:lang w:eastAsia="lt-LT"/>
              </w:rPr>
              <w:t xml:space="preserve">Mokėtojas </w:t>
            </w:r>
            <w:r w:rsidR="001E65A3" w:rsidRPr="001E65A3">
              <w:rPr>
                <w:lang w:eastAsia="lt-LT"/>
              </w:rPr>
              <w:t xml:space="preserve">su </w:t>
            </w:r>
            <w:r w:rsidR="001E65A3" w:rsidRPr="001E65A3">
              <w:rPr>
                <w:b/>
                <w:lang w:eastAsia="lt-LT"/>
              </w:rPr>
              <w:t xml:space="preserve">Pardavėju </w:t>
            </w:r>
            <w:r w:rsidR="001E65A3" w:rsidRPr="001E65A3">
              <w:rPr>
                <w:lang w:eastAsia="lt-LT"/>
              </w:rPr>
              <w:t>atsiskaito Sutarties bendrosios dalies 4.1 papunktyje nustatyta tvarka.</w:t>
            </w:r>
          </w:p>
          <w:p w14:paraId="6606987D" w14:textId="63579872" w:rsidR="00D17271" w:rsidRPr="00182520" w:rsidRDefault="00441310" w:rsidP="002C3E9F">
            <w:r w:rsidRPr="00182520">
              <w:rPr>
                <w:lang w:eastAsia="lt-LT"/>
              </w:rPr>
              <w:t>4.2</w:t>
            </w:r>
            <w:r w:rsidR="00DF3826">
              <w:t xml:space="preserve"> </w:t>
            </w:r>
            <w:r w:rsidR="00DF3826" w:rsidRPr="00DF3826">
              <w:rPr>
                <w:lang w:eastAsia="lt-LT"/>
              </w:rPr>
              <w:t>Avanso mokėjimas nenumat</w:t>
            </w:r>
            <w:r w:rsidR="001E65A3">
              <w:rPr>
                <w:lang w:eastAsia="lt-LT"/>
              </w:rPr>
              <w:t>omas.</w:t>
            </w:r>
          </w:p>
          <w:p w14:paraId="2614D51E" w14:textId="72524093" w:rsidR="00713DA8" w:rsidRPr="00182520" w:rsidRDefault="00261E64" w:rsidP="002240E0">
            <w:pPr>
              <w:jc w:val="both"/>
            </w:pPr>
            <w:r w:rsidRPr="00182520">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34B823F4" w:rsidR="00605E5F" w:rsidRDefault="00605E5F" w:rsidP="00605E5F">
            <w:pPr>
              <w:jc w:val="both"/>
            </w:pPr>
            <w:r>
              <w:t>5.1.</w:t>
            </w:r>
            <w:r>
              <w:rPr>
                <w:b/>
              </w:rPr>
              <w:t xml:space="preserve"> </w:t>
            </w:r>
            <w:r w:rsidRPr="00182520">
              <w:rPr>
                <w:b/>
              </w:rPr>
              <w:t>Pardavėjui</w:t>
            </w:r>
            <w:r w:rsidRPr="00182520">
              <w:t xml:space="preserve"> vėluojant </w:t>
            </w:r>
            <w:r w:rsidR="005254FC">
              <w:t xml:space="preserve">pristatyti </w:t>
            </w:r>
            <w:r w:rsidR="00D410FA">
              <w:t xml:space="preserve">Prekę </w:t>
            </w:r>
            <w:r w:rsidR="005254FC">
              <w:t xml:space="preserve">daugiau kaip </w:t>
            </w:r>
            <w:r w:rsidR="00854966">
              <w:t>1</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43687BCF" w14:textId="3967E573" w:rsidR="00894BBF" w:rsidRPr="00182520" w:rsidRDefault="001979E2" w:rsidP="00605E5F">
            <w:pPr>
              <w:jc w:val="both"/>
            </w:pPr>
            <w:r>
              <w:t>5.2.</w:t>
            </w:r>
            <w:r w:rsidR="00894BBF">
              <w:t xml:space="preserve">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rsidR="00894BBF">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7482707" w:rsidR="00441310" w:rsidRDefault="00100B3D">
            <w:pPr>
              <w:jc w:val="both"/>
              <w:rPr>
                <w:lang w:eastAsia="lt-LT"/>
              </w:rPr>
            </w:pPr>
            <w:r w:rsidRPr="00182520">
              <w:rPr>
                <w:lang w:eastAsia="lt-LT"/>
              </w:rPr>
              <w:t xml:space="preserve">6.1. </w:t>
            </w:r>
            <w:r w:rsidR="00D410FA" w:rsidRPr="00182520">
              <w:rPr>
                <w:lang w:eastAsia="lt-LT"/>
              </w:rPr>
              <w:t>Prek</w:t>
            </w:r>
            <w:r w:rsidR="00D410FA">
              <w:rPr>
                <w:lang w:eastAsia="lt-LT"/>
              </w:rPr>
              <w:t>ės</w:t>
            </w:r>
            <w:r w:rsidR="00D410FA" w:rsidRPr="00182520">
              <w:rPr>
                <w:lang w:eastAsia="lt-LT"/>
              </w:rPr>
              <w:t xml:space="preserve"> </w:t>
            </w:r>
            <w:r w:rsidR="00441310" w:rsidRPr="00182520">
              <w:rPr>
                <w:lang w:eastAsia="lt-LT"/>
              </w:rPr>
              <w:t xml:space="preserve">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204E415C" w:rsidR="006C57D4" w:rsidRDefault="006C57D4">
            <w:pPr>
              <w:jc w:val="both"/>
            </w:pPr>
            <w:r>
              <w:t xml:space="preserve">6.2. Prekė turi būti </w:t>
            </w:r>
            <w:r w:rsidR="00D410FA">
              <w:t>nauja</w:t>
            </w:r>
            <w:r>
              <w:t>.</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070E626D"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w:t>
            </w:r>
            <w:r w:rsidR="00D410FA" w:rsidRPr="00ED35A8">
              <w:rPr>
                <w:lang w:eastAsia="lt-LT"/>
              </w:rPr>
              <w:t>prek</w:t>
            </w:r>
            <w:r w:rsidR="00D410FA">
              <w:rPr>
                <w:lang w:eastAsia="lt-LT"/>
              </w:rPr>
              <w:t>ei</w:t>
            </w:r>
            <w:r w:rsidR="00D410FA" w:rsidRPr="00ED35A8">
              <w:rPr>
                <w:lang w:eastAsia="lt-LT"/>
              </w:rPr>
              <w:t xml:space="preserve"> </w:t>
            </w:r>
            <w:r w:rsidR="00DF3826" w:rsidRPr="00ED35A8">
              <w:rPr>
                <w:lang w:eastAsia="lt-LT"/>
              </w:rPr>
              <w:t xml:space="preserve">gamintojo nustatytą garantinį terminą, tačiau šis terminas negali būti trumpesnis </w:t>
            </w:r>
            <w:r w:rsidR="00940C4C">
              <w:rPr>
                <w:lang w:eastAsia="lt-LT"/>
              </w:rPr>
              <w:t xml:space="preserve">nei </w:t>
            </w:r>
            <w:r w:rsidR="00BF7694">
              <w:rPr>
                <w:lang w:eastAsia="lt-LT"/>
              </w:rPr>
              <w:t>12</w:t>
            </w:r>
            <w:r w:rsidR="00DF3826" w:rsidRPr="00F76AFD">
              <w:rPr>
                <w:lang w:eastAsia="lt-LT"/>
              </w:rPr>
              <w:t xml:space="preserve"> mėn</w:t>
            </w:r>
            <w:r w:rsidR="00DF3826" w:rsidRPr="00ED35A8">
              <w:rPr>
                <w:lang w:eastAsia="lt-LT"/>
              </w:rPr>
              <w:t xml:space="preserve">. nuo </w:t>
            </w:r>
            <w:r w:rsidR="00D410FA" w:rsidRPr="00ED35A8">
              <w:rPr>
                <w:lang w:eastAsia="lt-LT"/>
              </w:rPr>
              <w:t>prek</w:t>
            </w:r>
            <w:r w:rsidR="00D410FA">
              <w:rPr>
                <w:lang w:eastAsia="lt-LT"/>
              </w:rPr>
              <w:t>ės</w:t>
            </w:r>
            <w:r w:rsidR="00D410FA" w:rsidRPr="00ED35A8">
              <w:rPr>
                <w:lang w:eastAsia="lt-LT"/>
              </w:rPr>
              <w:t xml:space="preserve"> </w:t>
            </w:r>
            <w:r w:rsidR="00DF3826" w:rsidRPr="00ED35A8">
              <w:rPr>
                <w:lang w:eastAsia="lt-LT"/>
              </w:rPr>
              <w:t>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663B7B59" w:rsidR="00DF3826" w:rsidRPr="00441310" w:rsidRDefault="001979E2" w:rsidP="00DF3826">
            <w:pPr>
              <w:jc w:val="both"/>
              <w:rPr>
                <w:lang w:eastAsia="lt-LT"/>
              </w:rPr>
            </w:pPr>
            <w:r>
              <w:rPr>
                <w:lang w:eastAsia="lt-LT"/>
              </w:rPr>
              <w:t>9.2</w:t>
            </w:r>
            <w:r w:rsidR="00DF3826" w:rsidRPr="00441310">
              <w:rPr>
                <w:lang w:eastAsia="lt-LT"/>
              </w:rPr>
              <w:t xml:space="preserve">. Sutarties bendrosios dalies 11.1 punkte nurodytų Šalių iš anksto sutartų minimalių nuostolių dydis yra – 0,1 </w:t>
            </w:r>
            <w:r w:rsidR="00DF3826" w:rsidRPr="00441310">
              <w:rPr>
                <w:lang w:val="en-US"/>
              </w:rPr>
              <w:t>%</w:t>
            </w:r>
            <w:r w:rsidR="00DF3826">
              <w:rPr>
                <w:lang w:val="en-US"/>
              </w:rPr>
              <w:t xml:space="preserve"> </w:t>
            </w:r>
            <w:r w:rsidR="00DF3826">
              <w:rPr>
                <w:lang w:eastAsia="lt-LT"/>
              </w:rPr>
              <w:t>nuo nepristatytų prekių</w:t>
            </w:r>
            <w:r w:rsidR="00DF3826" w:rsidRPr="00441310">
              <w:rPr>
                <w:lang w:eastAsia="lt-LT"/>
              </w:rPr>
              <w:t xml:space="preserve"> kainos be PVM už kiekvieną uždelstą dieną</w:t>
            </w:r>
            <w:r w:rsidR="00DF3826">
              <w:rPr>
                <w:lang w:eastAsia="lt-LT"/>
              </w:rPr>
              <w:t>.</w:t>
            </w:r>
          </w:p>
          <w:p w14:paraId="0B017623" w14:textId="7160708B" w:rsidR="00DF3826" w:rsidRPr="00441310" w:rsidRDefault="001979E2" w:rsidP="00DF3826">
            <w:pPr>
              <w:jc w:val="both"/>
              <w:rPr>
                <w:lang w:eastAsia="lt-LT"/>
              </w:rPr>
            </w:pPr>
            <w:r>
              <w:rPr>
                <w:lang w:eastAsia="lt-LT"/>
              </w:rPr>
              <w:t>9.3</w:t>
            </w:r>
            <w:r w:rsidR="00DF3826" w:rsidRPr="00441310">
              <w:rPr>
                <w:lang w:eastAsia="lt-LT"/>
              </w:rPr>
              <w:t xml:space="preserve">. Sutarties bendrosios dalies 11.2 punkte nurodytų Šalių iš anksto sutartų minimalių nuostolių dydis yra – </w:t>
            </w:r>
            <w:r w:rsidRPr="00441310">
              <w:rPr>
                <w:lang w:eastAsia="lt-LT"/>
              </w:rPr>
              <w:t xml:space="preserve">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521DE35F" w14:textId="0258E885" w:rsidR="00DF3826" w:rsidRPr="00441310" w:rsidRDefault="00DF3826" w:rsidP="00DF3826">
            <w:pPr>
              <w:jc w:val="both"/>
              <w:rPr>
                <w:lang w:eastAsia="lt-LT"/>
              </w:rPr>
            </w:pPr>
            <w:r w:rsidRPr="00441310">
              <w:rPr>
                <w:lang w:eastAsia="lt-LT"/>
              </w:rPr>
              <w:t>9.</w:t>
            </w:r>
            <w:r w:rsidR="001979E2">
              <w:rPr>
                <w:lang w:eastAsia="lt-LT"/>
              </w:rPr>
              <w:t>4</w:t>
            </w:r>
            <w:r w:rsidRPr="00441310">
              <w:rPr>
                <w:lang w:eastAsia="lt-LT"/>
              </w:rPr>
              <w:t xml:space="preserve">.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49051FF8" w:rsidR="00DF3826" w:rsidRPr="00441310" w:rsidRDefault="001979E2"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3758F4DC" w:rsidR="00DF3826" w:rsidRDefault="001979E2"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1EBF1F8E" w:rsidR="005254FC" w:rsidRPr="00F338E5" w:rsidRDefault="001979E2" w:rsidP="005254FC">
            <w:pPr>
              <w:jc w:val="both"/>
              <w:rPr>
                <w:rFonts w:eastAsia="SimSun"/>
                <w:color w:val="FF0000"/>
                <w:lang w:val="en-US" w:eastAsia="zh-CN"/>
              </w:rPr>
            </w:pPr>
            <w:r>
              <w:t>9.7</w:t>
            </w:r>
            <w:r w:rsidR="00197661">
              <w:t xml:space="preserve">. </w:t>
            </w:r>
            <w:r w:rsidR="00197661">
              <w:rPr>
                <w:b/>
              </w:rPr>
              <w:t>Pardavėjo</w:t>
            </w:r>
            <w:r w:rsidR="00197661">
              <w:t xml:space="preserve"> atstovas (ai) –</w:t>
            </w:r>
            <w:r w:rsidR="00EF1A91">
              <w:t>el. paštas</w:t>
            </w:r>
            <w:r w:rsidR="005254FC" w:rsidRPr="007F0513">
              <w:rPr>
                <w:rFonts w:eastAsia="SimSun"/>
                <w:lang w:val="en-US" w:eastAsia="zh-CN"/>
              </w:rPr>
              <w:t>, tel. nr.</w:t>
            </w:r>
          </w:p>
          <w:p w14:paraId="00E65C2B" w14:textId="735EEFC1" w:rsidR="00197661" w:rsidRPr="00C97465" w:rsidRDefault="00197661" w:rsidP="00DF3826">
            <w:pPr>
              <w:jc w:val="both"/>
              <w:rPr>
                <w:color w:val="70AD47"/>
                <w:lang w:val="en-US"/>
              </w:rPr>
            </w:pPr>
            <w:r>
              <w:t>9.</w:t>
            </w:r>
            <w:r w:rsidR="001979E2">
              <w:t>8</w:t>
            </w:r>
            <w:r>
              <w:t xml:space="preserve">. </w:t>
            </w:r>
            <w:r>
              <w:rPr>
                <w:b/>
              </w:rPr>
              <w:t>Pirkėjo</w:t>
            </w:r>
            <w:r>
              <w:t xml:space="preserve"> atstovas (ai</w:t>
            </w:r>
            <w:r w:rsidRPr="007B1498">
              <w:t xml:space="preserve">) – </w:t>
            </w:r>
            <w:r w:rsidR="00D07926" w:rsidRPr="00D07926">
              <w:t>Viktorija</w:t>
            </w:r>
            <w:r w:rsidR="00C97465" w:rsidRPr="00D07926">
              <w:t xml:space="preserve"> el. paštas </w:t>
            </w:r>
            <w:r w:rsidR="00D07926" w:rsidRPr="00D07926">
              <w:t>viktorija804@mil.lt</w:t>
            </w:r>
            <w:r w:rsidR="00BF7694" w:rsidRPr="00D07926">
              <w:rPr>
                <w:rFonts w:eastAsia="SimSun"/>
                <w:lang w:eastAsia="zh-CN"/>
              </w:rPr>
              <w:t>. Nr. 0</w:t>
            </w:r>
            <w:r w:rsidR="00C97465" w:rsidRPr="00D07926">
              <w:rPr>
                <w:rFonts w:eastAsia="SimSun"/>
                <w:lang w:eastAsia="zh-CN"/>
              </w:rPr>
              <w:t xml:space="preserve"> 680 672</w:t>
            </w:r>
            <w:r w:rsidR="00D07926" w:rsidRPr="00D07926">
              <w:rPr>
                <w:rFonts w:eastAsia="SimSun"/>
                <w:lang w:eastAsia="zh-CN"/>
              </w:rPr>
              <w:t>05</w:t>
            </w:r>
            <w:r w:rsidR="00573C8E" w:rsidRPr="00D07926">
              <w:rPr>
                <w:rFonts w:eastAsia="SimSun"/>
                <w:lang w:eastAsia="zh-CN"/>
              </w:rPr>
              <w:t>.</w:t>
            </w:r>
          </w:p>
          <w:p w14:paraId="3914C222" w14:textId="09FBA890" w:rsidR="00AC4CC7" w:rsidRPr="00182520" w:rsidRDefault="00FA1586" w:rsidP="00985819">
            <w:pPr>
              <w:jc w:val="both"/>
              <w:rPr>
                <w:lang w:eastAsia="lt-LT"/>
              </w:rPr>
            </w:pPr>
            <w:r>
              <w:rPr>
                <w:lang w:eastAsia="lt-LT"/>
              </w:rPr>
              <w:t>9.</w:t>
            </w:r>
            <w:r w:rsidR="001979E2">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w:t>
            </w:r>
            <w:r w:rsidR="00D410FA" w:rsidRPr="00441310">
              <w:rPr>
                <w:lang w:eastAsia="lt-LT"/>
              </w:rPr>
              <w:t>Prek</w:t>
            </w:r>
            <w:r w:rsidR="00D410FA">
              <w:rPr>
                <w:lang w:eastAsia="lt-LT"/>
              </w:rPr>
              <w:t>ės</w:t>
            </w:r>
            <w:r w:rsidR="00D410FA" w:rsidRPr="00441310">
              <w:rPr>
                <w:lang w:eastAsia="lt-LT"/>
              </w:rPr>
              <w:t xml:space="preserve"> </w:t>
            </w:r>
            <w:r w:rsidR="00DF3826" w:rsidRPr="00441310">
              <w:rPr>
                <w:lang w:eastAsia="lt-LT"/>
              </w:rPr>
              <w:t>kainininkas i</w:t>
            </w:r>
            <w:r w:rsidR="00AC4CC7">
              <w:rPr>
                <w:lang w:eastAsia="lt-LT"/>
              </w:rPr>
              <w:t>r techninė</w:t>
            </w:r>
            <w:r w:rsidR="007D6924">
              <w:rPr>
                <w:lang w:eastAsia="lt-LT"/>
              </w:rPr>
              <w:t>s</w:t>
            </w:r>
            <w:r w:rsidR="00AC4CC7">
              <w:rPr>
                <w:lang w:eastAsia="lt-LT"/>
              </w:rPr>
              <w:t xml:space="preserve"> </w:t>
            </w:r>
            <w:r w:rsidR="007D6924">
              <w:rPr>
                <w:lang w:eastAsia="lt-LT"/>
              </w:rPr>
              <w:t>specifikacijos</w:t>
            </w:r>
            <w:r w:rsidR="00AC4CC7">
              <w:rPr>
                <w:lang w:eastAsia="lt-LT"/>
              </w:rPr>
              <w:t>“</w:t>
            </w:r>
            <w:r w:rsidR="00985819">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1EDECD87" w:rsidR="00605E5F" w:rsidRPr="00182520" w:rsidRDefault="00605E5F" w:rsidP="00605E5F">
            <w:pPr>
              <w:jc w:val="both"/>
            </w:pPr>
            <w:r w:rsidRPr="00182520">
              <w:rPr>
                <w:bCs/>
              </w:rPr>
              <w:t xml:space="preserve">10.1. </w:t>
            </w:r>
            <w:r w:rsidRPr="00182520">
              <w:t xml:space="preserve">Sutartis galioja iki </w:t>
            </w:r>
            <w:r w:rsidRPr="001A373E">
              <w:t>202</w:t>
            </w:r>
            <w:r w:rsidR="00D07926">
              <w:t>6</w:t>
            </w:r>
            <w:r w:rsidRPr="001A373E">
              <w:t xml:space="preserve"> m. </w:t>
            </w:r>
            <w:r w:rsidR="00C97465" w:rsidRPr="00C0454D">
              <w:t>gruodžio</w:t>
            </w:r>
            <w:r w:rsidR="00985819">
              <w:t xml:space="preserve"> 1</w:t>
            </w:r>
            <w:r w:rsidR="00A90FF9" w:rsidRPr="00C0454D">
              <w:t xml:space="preserve"> </w:t>
            </w:r>
            <w:r w:rsidRPr="001A373E">
              <w:t>d.</w:t>
            </w:r>
            <w:r w:rsidRPr="001A373E">
              <w:rPr>
                <w:bCs/>
              </w:rPr>
              <w:t xml:space="preserve"> 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lastRenderedPageBreak/>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(-ai)/subteikėjas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)/subteikėju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(-ai)/subteikėjas (ai) atitinka visus subtiekėjui (-</w:t>
      </w:r>
      <w:proofErr w:type="spellStart"/>
      <w:r w:rsidRPr="00DF7CFE">
        <w:rPr>
          <w:lang w:eastAsia="lt-LT"/>
        </w:rPr>
        <w:t>ams</w:t>
      </w:r>
      <w:proofErr w:type="spellEnd"/>
      <w:r w:rsidRPr="00DF7CFE">
        <w:rPr>
          <w:lang w:eastAsia="lt-LT"/>
        </w:rPr>
        <w:t>)/subteikėjui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w:t>
      </w:r>
      <w:proofErr w:type="spellStart"/>
      <w:r w:rsidRPr="00DF7CFE">
        <w:rPr>
          <w:color w:val="000000"/>
          <w:lang w:eastAsia="lt-LT"/>
        </w:rPr>
        <w:t>ais</w:t>
      </w:r>
      <w:proofErr w:type="spellEnd"/>
      <w:r w:rsidRPr="00DF7CFE">
        <w:rPr>
          <w:color w:val="000000"/>
          <w:lang w:eastAsia="lt-LT"/>
        </w:rPr>
        <w:t>)/ subteikėju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0A8FFE81" w:rsidR="00605E5F" w:rsidRPr="00182520" w:rsidRDefault="00605E5F" w:rsidP="00605E5F">
      <w:pPr>
        <w:tabs>
          <w:tab w:val="left" w:pos="6850"/>
        </w:tabs>
        <w:jc w:val="center"/>
        <w:rPr>
          <w:b/>
        </w:rPr>
      </w:pPr>
      <w:r w:rsidRPr="00182520">
        <w:rPr>
          <w:b/>
        </w:rPr>
        <w:t>PREKIŲ PIRK</w:t>
      </w:r>
      <w:r w:rsidR="00480094">
        <w:rPr>
          <w:b/>
        </w:rPr>
        <w:t>IMO-PARDAVIMO SUTARTIS Nr. SR-2</w:t>
      </w:r>
      <w:r w:rsidR="00D07926">
        <w:rPr>
          <w:b/>
        </w:rPr>
        <w:t>6</w:t>
      </w:r>
      <w:r w:rsidRPr="00182520">
        <w:rPr>
          <w:b/>
        </w:rPr>
        <w:t>/</w:t>
      </w:r>
    </w:p>
    <w:p w14:paraId="276F4FB4" w14:textId="52B4EEF3"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D07926">
        <w:rPr>
          <w:b/>
        </w:rPr>
        <w:t>6</w:t>
      </w:r>
      <w:r w:rsidR="00480094">
        <w:rPr>
          <w:b/>
        </w:rPr>
        <w:t>-</w:t>
      </w:r>
    </w:p>
    <w:p w14:paraId="74517751" w14:textId="167E47B3" w:rsidR="00605E5F" w:rsidRPr="00182520" w:rsidRDefault="00605E5F" w:rsidP="00605E5F">
      <w:pPr>
        <w:jc w:val="center"/>
      </w:pPr>
      <w:r w:rsidRPr="00182520">
        <w:rPr>
          <w:b/>
        </w:rPr>
        <w:t xml:space="preserve">Priedas Nr. 1 </w:t>
      </w:r>
      <w:r w:rsidRPr="00182520">
        <w:t>„</w:t>
      </w:r>
      <w:r w:rsidR="00D410FA" w:rsidRPr="00182520">
        <w:t>Prek</w:t>
      </w:r>
      <w:r w:rsidR="00D410FA">
        <w:t>ės</w:t>
      </w:r>
      <w:r w:rsidR="00D410FA" w:rsidRPr="00182520">
        <w:t xml:space="preserve"> </w:t>
      </w:r>
      <w:r w:rsidRPr="00182520">
        <w:t>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850"/>
        <w:gridCol w:w="1134"/>
        <w:gridCol w:w="1701"/>
        <w:gridCol w:w="1843"/>
      </w:tblGrid>
      <w:tr w:rsidR="00BF7694" w:rsidRPr="00182520" w14:paraId="25B46B0E" w14:textId="77777777" w:rsidTr="00D07926">
        <w:tc>
          <w:tcPr>
            <w:tcW w:w="709" w:type="dxa"/>
            <w:vAlign w:val="center"/>
          </w:tcPr>
          <w:p w14:paraId="6F3CB36A" w14:textId="77777777" w:rsidR="00BF7694" w:rsidRPr="00530019" w:rsidRDefault="00BF7694" w:rsidP="006B1376">
            <w:pPr>
              <w:jc w:val="center"/>
              <w:rPr>
                <w:sz w:val="20"/>
                <w:szCs w:val="20"/>
              </w:rPr>
            </w:pPr>
            <w:r w:rsidRPr="00530019">
              <w:rPr>
                <w:sz w:val="20"/>
                <w:szCs w:val="20"/>
              </w:rPr>
              <w:t>Eil. Nr.</w:t>
            </w:r>
          </w:p>
        </w:tc>
        <w:tc>
          <w:tcPr>
            <w:tcW w:w="4253" w:type="dxa"/>
            <w:vAlign w:val="center"/>
          </w:tcPr>
          <w:p w14:paraId="06BBD0D6" w14:textId="0AFA12AD" w:rsidR="00BF7694" w:rsidRPr="00182520" w:rsidRDefault="00BF7694" w:rsidP="00515BAE">
            <w:pPr>
              <w:jc w:val="center"/>
            </w:pPr>
            <w:r w:rsidRPr="00182520">
              <w:t>Prekės pavadinimas</w:t>
            </w:r>
            <w:r>
              <w:t xml:space="preserve"> (</w:t>
            </w:r>
            <w:r w:rsidRPr="00515BAE">
              <w:rPr>
                <w:lang w:eastAsia="lt-LT"/>
              </w:rPr>
              <w:t>Modelis</w:t>
            </w:r>
            <w:r>
              <w:t>)</w:t>
            </w:r>
          </w:p>
        </w:tc>
        <w:tc>
          <w:tcPr>
            <w:tcW w:w="850" w:type="dxa"/>
            <w:vAlign w:val="center"/>
          </w:tcPr>
          <w:p w14:paraId="4465F6F1" w14:textId="77777777" w:rsidR="00BF7694" w:rsidRPr="00182520" w:rsidRDefault="00BF7694" w:rsidP="006B1376">
            <w:pPr>
              <w:jc w:val="center"/>
            </w:pPr>
            <w:r w:rsidRPr="00182520">
              <w:t>Mat. vnt.</w:t>
            </w:r>
          </w:p>
        </w:tc>
        <w:tc>
          <w:tcPr>
            <w:tcW w:w="1134" w:type="dxa"/>
            <w:vAlign w:val="center"/>
          </w:tcPr>
          <w:p w14:paraId="16BF62E1" w14:textId="77777777" w:rsidR="00BF7694" w:rsidRPr="00182520" w:rsidRDefault="00BF7694" w:rsidP="006B1376">
            <w:pPr>
              <w:jc w:val="center"/>
            </w:pPr>
            <w:r>
              <w:t>Kiekis</w:t>
            </w:r>
          </w:p>
        </w:tc>
        <w:tc>
          <w:tcPr>
            <w:tcW w:w="1701" w:type="dxa"/>
            <w:vAlign w:val="center"/>
          </w:tcPr>
          <w:p w14:paraId="474117B9" w14:textId="77777777" w:rsidR="00BF7694" w:rsidRPr="00182520" w:rsidRDefault="00BF7694" w:rsidP="006B1376">
            <w:pPr>
              <w:jc w:val="center"/>
            </w:pPr>
            <w:r w:rsidRPr="00182520">
              <w:t>Vieneto kaina Eur (su PVM)</w:t>
            </w:r>
          </w:p>
        </w:tc>
        <w:tc>
          <w:tcPr>
            <w:tcW w:w="1843" w:type="dxa"/>
            <w:vAlign w:val="center"/>
          </w:tcPr>
          <w:p w14:paraId="2737E0B6" w14:textId="77777777" w:rsidR="00BF7694" w:rsidRPr="00182520" w:rsidRDefault="00BF7694" w:rsidP="006B1376">
            <w:pPr>
              <w:jc w:val="center"/>
            </w:pPr>
            <w:r w:rsidRPr="00182520">
              <w:t>Suma Eur (su PVM)</w:t>
            </w:r>
          </w:p>
        </w:tc>
      </w:tr>
      <w:tr w:rsidR="00BF7694" w:rsidRPr="00182520" w14:paraId="0A7483EA" w14:textId="77777777" w:rsidTr="00D07926">
        <w:tc>
          <w:tcPr>
            <w:tcW w:w="709" w:type="dxa"/>
            <w:vAlign w:val="center"/>
          </w:tcPr>
          <w:p w14:paraId="157BAFC3" w14:textId="77777777" w:rsidR="00BF7694" w:rsidRPr="00EF1A91" w:rsidRDefault="00BF7694" w:rsidP="006B1376">
            <w:pPr>
              <w:jc w:val="center"/>
            </w:pPr>
            <w:r w:rsidRPr="00EF1A91">
              <w:t>1</w:t>
            </w:r>
          </w:p>
        </w:tc>
        <w:tc>
          <w:tcPr>
            <w:tcW w:w="4253" w:type="dxa"/>
            <w:vAlign w:val="center"/>
          </w:tcPr>
          <w:p w14:paraId="45127DBE" w14:textId="77777777" w:rsidR="00BF7694" w:rsidRPr="00182520" w:rsidRDefault="00BF7694" w:rsidP="006B1376">
            <w:pPr>
              <w:jc w:val="center"/>
            </w:pPr>
            <w:r>
              <w:t>2</w:t>
            </w:r>
          </w:p>
        </w:tc>
        <w:tc>
          <w:tcPr>
            <w:tcW w:w="850" w:type="dxa"/>
            <w:vAlign w:val="center"/>
          </w:tcPr>
          <w:p w14:paraId="4001A0C5" w14:textId="0B9D68E8" w:rsidR="00BF7694" w:rsidRPr="0042770A" w:rsidRDefault="001A2EE3" w:rsidP="001A2EE3">
            <w:pPr>
              <w:jc w:val="center"/>
              <w:rPr>
                <w:lang w:val="en-US"/>
              </w:rPr>
            </w:pPr>
            <w:r>
              <w:rPr>
                <w:lang w:val="en-US"/>
              </w:rPr>
              <w:t>3</w:t>
            </w:r>
          </w:p>
        </w:tc>
        <w:tc>
          <w:tcPr>
            <w:tcW w:w="1134" w:type="dxa"/>
            <w:vAlign w:val="center"/>
          </w:tcPr>
          <w:p w14:paraId="19816BED" w14:textId="30CE314C" w:rsidR="00BF7694" w:rsidRDefault="001A2EE3" w:rsidP="006B1376">
            <w:pPr>
              <w:jc w:val="center"/>
            </w:pPr>
            <w:r>
              <w:t>4</w:t>
            </w:r>
          </w:p>
        </w:tc>
        <w:tc>
          <w:tcPr>
            <w:tcW w:w="1701" w:type="dxa"/>
          </w:tcPr>
          <w:p w14:paraId="15162C15" w14:textId="7146001B" w:rsidR="00BF7694" w:rsidRPr="00182520" w:rsidRDefault="001A2EE3" w:rsidP="006B1376">
            <w:pPr>
              <w:jc w:val="center"/>
            </w:pPr>
            <w:r>
              <w:t>5</w:t>
            </w:r>
          </w:p>
        </w:tc>
        <w:tc>
          <w:tcPr>
            <w:tcW w:w="1843" w:type="dxa"/>
          </w:tcPr>
          <w:p w14:paraId="0EA5D1F6" w14:textId="257F014C" w:rsidR="00BF7694" w:rsidRPr="00182520" w:rsidRDefault="001A2EE3" w:rsidP="006B1376">
            <w:pPr>
              <w:jc w:val="center"/>
            </w:pPr>
            <w:r>
              <w:t>6</w:t>
            </w:r>
          </w:p>
        </w:tc>
      </w:tr>
      <w:tr w:rsidR="00BF7694" w:rsidRPr="00182520" w14:paraId="415E19EE" w14:textId="77777777" w:rsidTr="00D07926">
        <w:trPr>
          <w:trHeight w:val="601"/>
        </w:trPr>
        <w:tc>
          <w:tcPr>
            <w:tcW w:w="709" w:type="dxa"/>
            <w:tcBorders>
              <w:top w:val="single" w:sz="4" w:space="0" w:color="auto"/>
              <w:left w:val="single" w:sz="4" w:space="0" w:color="auto"/>
              <w:bottom w:val="single" w:sz="4" w:space="0" w:color="auto"/>
              <w:right w:val="single" w:sz="4" w:space="0" w:color="auto"/>
            </w:tcBorders>
            <w:vAlign w:val="center"/>
          </w:tcPr>
          <w:p w14:paraId="32F56EAB" w14:textId="77777777" w:rsidR="00BF7694" w:rsidRPr="00182520" w:rsidRDefault="00BF7694" w:rsidP="00E0654F">
            <w:pPr>
              <w:spacing w:after="120"/>
              <w:jc w:val="center"/>
            </w:pPr>
            <w:r w:rsidRPr="00182520">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79C82172" w:rsidR="00BF7694" w:rsidRDefault="00D07926" w:rsidP="00E0654F">
            <w:pPr>
              <w:rPr>
                <w:color w:val="000000"/>
                <w:lang w:eastAsia="lt-LT"/>
              </w:rPr>
            </w:pPr>
            <w:r>
              <w:t>Skysčių, kraujo šaldytuvas didelis</w:t>
            </w:r>
          </w:p>
        </w:tc>
        <w:tc>
          <w:tcPr>
            <w:tcW w:w="850" w:type="dxa"/>
            <w:vAlign w:val="center"/>
          </w:tcPr>
          <w:p w14:paraId="4A3B9EDA" w14:textId="30859306" w:rsidR="00BF7694" w:rsidRPr="002B06F7" w:rsidRDefault="00BF7694" w:rsidP="00E0654F">
            <w:pPr>
              <w:jc w:val="center"/>
              <w:rPr>
                <w:color w:val="FF0000"/>
              </w:rPr>
            </w:pPr>
            <w:r>
              <w:t>v</w:t>
            </w:r>
            <w:r w:rsidRPr="00684D1F">
              <w:t>nt.</w:t>
            </w:r>
          </w:p>
        </w:tc>
        <w:tc>
          <w:tcPr>
            <w:tcW w:w="1134" w:type="dxa"/>
            <w:tcBorders>
              <w:top w:val="single" w:sz="4" w:space="0" w:color="auto"/>
              <w:left w:val="single" w:sz="4" w:space="0" w:color="auto"/>
              <w:bottom w:val="single" w:sz="4" w:space="0" w:color="auto"/>
              <w:right w:val="single" w:sz="4" w:space="0" w:color="auto"/>
            </w:tcBorders>
            <w:vAlign w:val="center"/>
          </w:tcPr>
          <w:p w14:paraId="6C49DEE5" w14:textId="023FBC38" w:rsidR="00BF7694" w:rsidRPr="00182520" w:rsidRDefault="00BF7694" w:rsidP="00E0654F">
            <w:pPr>
              <w:jc w:val="center"/>
            </w:pPr>
            <w: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BF7694" w:rsidRPr="00630209" w:rsidRDefault="00BF7694" w:rsidP="00E0654F">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E8BB9A7" w14:textId="47280C53" w:rsidR="00BF7694" w:rsidRPr="00630209" w:rsidRDefault="00BF7694" w:rsidP="00E0654F">
            <w:pPr>
              <w:jc w:val="center"/>
            </w:pPr>
          </w:p>
        </w:tc>
      </w:tr>
      <w:tr w:rsidR="00BF7694" w:rsidRPr="00182520" w14:paraId="29E9AA51" w14:textId="77777777" w:rsidTr="00D07926">
        <w:trPr>
          <w:trHeight w:val="348"/>
        </w:trPr>
        <w:tc>
          <w:tcPr>
            <w:tcW w:w="4962" w:type="dxa"/>
            <w:gridSpan w:val="2"/>
            <w:tcBorders>
              <w:top w:val="single" w:sz="4" w:space="0" w:color="auto"/>
              <w:left w:val="single" w:sz="4" w:space="0" w:color="auto"/>
              <w:bottom w:val="single" w:sz="4" w:space="0" w:color="auto"/>
              <w:right w:val="single" w:sz="4" w:space="0" w:color="auto"/>
            </w:tcBorders>
            <w:vAlign w:val="center"/>
          </w:tcPr>
          <w:p w14:paraId="45996DF1" w14:textId="77777777" w:rsidR="00BF7694" w:rsidRDefault="00BF7694" w:rsidP="00E0654F">
            <w:pPr>
              <w:jc w:val="right"/>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1A76E7A" w14:textId="22BC445E" w:rsidR="00BF7694" w:rsidRDefault="00BF7694" w:rsidP="00E0654F">
            <w:pPr>
              <w:jc w:val="right"/>
            </w:pPr>
            <w:r>
              <w:t>Viso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F45F58B" w14:textId="67033C5C" w:rsidR="00BF7694" w:rsidRPr="003A41C1" w:rsidRDefault="00BF7694" w:rsidP="00E0654F">
            <w:pPr>
              <w:jc w:val="center"/>
              <w:rPr>
                <w:b/>
              </w:rPr>
            </w:pPr>
          </w:p>
        </w:tc>
      </w:tr>
    </w:tbl>
    <w:p w14:paraId="00231563" w14:textId="08A763DB" w:rsidR="00BF7694" w:rsidRDefault="00BF7694" w:rsidP="00FA1586">
      <w:pPr>
        <w:ind w:left="142"/>
      </w:pPr>
    </w:p>
    <w:p w14:paraId="12443919" w14:textId="77777777" w:rsidR="00D07926" w:rsidRDefault="00D07926" w:rsidP="00D07926">
      <w:pPr>
        <w:jc w:val="center"/>
        <w:rPr>
          <w:b/>
          <w:bCs/>
          <w:lang w:eastAsia="lt-LT"/>
        </w:rPr>
      </w:pPr>
      <w:r w:rsidRPr="00250BF9">
        <w:rPr>
          <w:b/>
          <w:bCs/>
        </w:rPr>
        <w:t>SKYSČIŲ, KRAUJO ŠALDYTUVO, DIDELIO</w:t>
      </w:r>
      <w:r w:rsidRPr="00250BF9">
        <w:t xml:space="preserve"> </w:t>
      </w:r>
      <w:r w:rsidRPr="00250BF9">
        <w:rPr>
          <w:b/>
          <w:bCs/>
          <w:lang w:eastAsia="lt-LT"/>
        </w:rPr>
        <w:t>TECHNINĖ SPECIFIKACIJA</w:t>
      </w:r>
    </w:p>
    <w:p w14:paraId="0EE26F62" w14:textId="77777777" w:rsidR="007F4B5E" w:rsidRDefault="007F4B5E" w:rsidP="00FA1586">
      <w:pPr>
        <w:ind w:left="142"/>
      </w:pPr>
    </w:p>
    <w:tbl>
      <w:tblPr>
        <w:tblW w:w="10490" w:type="dxa"/>
        <w:tblInd w:w="-5" w:type="dxa"/>
        <w:tblLayout w:type="fixed"/>
        <w:tblLook w:val="0000" w:firstRow="0" w:lastRow="0" w:firstColumn="0" w:lastColumn="0" w:noHBand="0" w:noVBand="0"/>
      </w:tblPr>
      <w:tblGrid>
        <w:gridCol w:w="680"/>
        <w:gridCol w:w="2694"/>
        <w:gridCol w:w="7116"/>
      </w:tblGrid>
      <w:tr w:rsidR="00D07926" w:rsidRPr="00EB2C99" w14:paraId="3999A2E2"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46D01064" w14:textId="77777777" w:rsidR="00D07926" w:rsidRPr="00EB2C99" w:rsidRDefault="00D07926" w:rsidP="00A52395">
            <w:pPr>
              <w:ind w:left="23"/>
              <w:jc w:val="center"/>
              <w:rPr>
                <w:b/>
                <w:bCs/>
              </w:rPr>
            </w:pPr>
            <w:r w:rsidRPr="00EB2C99">
              <w:rPr>
                <w:b/>
                <w:bCs/>
              </w:rPr>
              <w:t>1.</w:t>
            </w:r>
          </w:p>
        </w:tc>
        <w:tc>
          <w:tcPr>
            <w:tcW w:w="9810" w:type="dxa"/>
            <w:gridSpan w:val="2"/>
            <w:tcBorders>
              <w:top w:val="single" w:sz="4" w:space="0" w:color="auto"/>
              <w:left w:val="single" w:sz="4" w:space="0" w:color="auto"/>
              <w:bottom w:val="single" w:sz="4" w:space="0" w:color="auto"/>
              <w:right w:val="single" w:sz="4" w:space="0" w:color="auto"/>
            </w:tcBorders>
          </w:tcPr>
          <w:p w14:paraId="37119BFA" w14:textId="77777777" w:rsidR="00D07926" w:rsidRPr="00EB2C99" w:rsidRDefault="00D07926" w:rsidP="00A52395">
            <w:pPr>
              <w:rPr>
                <w:b/>
              </w:rPr>
            </w:pPr>
            <w:r w:rsidRPr="00EB2C99">
              <w:rPr>
                <w:b/>
              </w:rPr>
              <w:t>Pirkimo objekto paskirtis</w:t>
            </w:r>
          </w:p>
        </w:tc>
      </w:tr>
      <w:tr w:rsidR="00D07926" w:rsidRPr="00EB2C99" w14:paraId="0D05DAA0"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560A8281" w14:textId="77777777" w:rsidR="00D07926" w:rsidRPr="00EB2C99" w:rsidRDefault="00D07926" w:rsidP="00A52395">
            <w:pPr>
              <w:ind w:left="23"/>
              <w:jc w:val="center"/>
              <w:rPr>
                <w:bCs/>
              </w:rPr>
            </w:pPr>
            <w:r w:rsidRPr="00EB2C99">
              <w:rPr>
                <w:bCs/>
              </w:rPr>
              <w:t>1.1</w:t>
            </w:r>
          </w:p>
        </w:tc>
        <w:tc>
          <w:tcPr>
            <w:tcW w:w="9810" w:type="dxa"/>
            <w:gridSpan w:val="2"/>
            <w:tcBorders>
              <w:top w:val="single" w:sz="4" w:space="0" w:color="auto"/>
              <w:left w:val="single" w:sz="4" w:space="0" w:color="auto"/>
              <w:bottom w:val="single" w:sz="4" w:space="0" w:color="auto"/>
              <w:right w:val="single" w:sz="4" w:space="0" w:color="auto"/>
            </w:tcBorders>
          </w:tcPr>
          <w:p w14:paraId="6C3D76DD" w14:textId="77777777" w:rsidR="00D07926" w:rsidRPr="00EB2C99" w:rsidRDefault="00D07926" w:rsidP="00A52395">
            <w:r w:rsidRPr="00EB2C99">
              <w:t xml:space="preserve">Įrenginys, užtikrinantis nuolatinį kraujo produktų, vakcinų ir kontroliuojamos temperatūros vaistų aušinimą. </w:t>
            </w:r>
          </w:p>
        </w:tc>
      </w:tr>
      <w:tr w:rsidR="00D07926" w:rsidRPr="00EB2C99" w14:paraId="571CA048"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34A0D39D" w14:textId="77777777" w:rsidR="00D07926" w:rsidRPr="00EB2C99" w:rsidRDefault="00D07926" w:rsidP="00A52395">
            <w:pPr>
              <w:jc w:val="center"/>
              <w:rPr>
                <w:b/>
                <w:bCs/>
              </w:rPr>
            </w:pPr>
            <w:r w:rsidRPr="00EB2C99">
              <w:rPr>
                <w:b/>
                <w:bCs/>
              </w:rPr>
              <w:t>2.</w:t>
            </w:r>
          </w:p>
        </w:tc>
        <w:tc>
          <w:tcPr>
            <w:tcW w:w="9810" w:type="dxa"/>
            <w:gridSpan w:val="2"/>
            <w:tcBorders>
              <w:top w:val="single" w:sz="4" w:space="0" w:color="auto"/>
              <w:left w:val="single" w:sz="4" w:space="0" w:color="auto"/>
              <w:bottom w:val="single" w:sz="4" w:space="0" w:color="auto"/>
              <w:right w:val="single" w:sz="4" w:space="0" w:color="auto"/>
            </w:tcBorders>
          </w:tcPr>
          <w:p w14:paraId="18E2FD50" w14:textId="77777777" w:rsidR="00D07926" w:rsidRPr="00EB2C99" w:rsidRDefault="00D07926" w:rsidP="00A52395">
            <w:pPr>
              <w:keepNext/>
              <w:outlineLvl w:val="0"/>
              <w:rPr>
                <w:b/>
                <w:bCs/>
              </w:rPr>
            </w:pPr>
            <w:r w:rsidRPr="00EB2C99">
              <w:rPr>
                <w:b/>
                <w:bCs/>
              </w:rPr>
              <w:t>Bendrieji reikalavimai</w:t>
            </w:r>
          </w:p>
        </w:tc>
      </w:tr>
      <w:tr w:rsidR="00D07926" w:rsidRPr="00EB2C99" w14:paraId="0F423D8D"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003DC92B" w14:textId="77777777" w:rsidR="00D07926" w:rsidRPr="00EB2C99" w:rsidRDefault="00D07926" w:rsidP="00A52395">
            <w:pPr>
              <w:tabs>
                <w:tab w:val="left" w:pos="57"/>
                <w:tab w:val="left" w:pos="175"/>
              </w:tabs>
              <w:jc w:val="center"/>
              <w:rPr>
                <w:bCs/>
              </w:rPr>
            </w:pPr>
            <w:r w:rsidRPr="00EB2C99">
              <w:rPr>
                <w:bCs/>
              </w:rPr>
              <w:t>2.1</w:t>
            </w:r>
          </w:p>
        </w:tc>
        <w:tc>
          <w:tcPr>
            <w:tcW w:w="9810" w:type="dxa"/>
            <w:gridSpan w:val="2"/>
            <w:tcBorders>
              <w:top w:val="single" w:sz="4" w:space="0" w:color="auto"/>
              <w:left w:val="single" w:sz="4" w:space="0" w:color="auto"/>
              <w:bottom w:val="single" w:sz="4" w:space="0" w:color="auto"/>
              <w:right w:val="single" w:sz="4" w:space="0" w:color="auto"/>
            </w:tcBorders>
          </w:tcPr>
          <w:p w14:paraId="5D5B3662" w14:textId="77777777" w:rsidR="00D07926" w:rsidRPr="00EB2C99" w:rsidRDefault="00D07926" w:rsidP="00A52395">
            <w:pPr>
              <w:keepNext/>
              <w:ind w:left="34"/>
              <w:outlineLvl w:val="0"/>
              <w:rPr>
                <w:b/>
                <w:bCs/>
              </w:rPr>
            </w:pPr>
            <w:r w:rsidRPr="00EB2C99">
              <w:t xml:space="preserve">Prekės, kurios priskiriamos medicinos prietaisų I klasei, </w:t>
            </w:r>
            <w:proofErr w:type="spellStart"/>
            <w:r w:rsidRPr="00EB2C99">
              <w:t>IIa</w:t>
            </w:r>
            <w:proofErr w:type="spellEnd"/>
            <w:r w:rsidRPr="00EB2C99">
              <w:t xml:space="preserve">, </w:t>
            </w:r>
            <w:proofErr w:type="spellStart"/>
            <w:r w:rsidRPr="00EB2C99">
              <w:t>IIb</w:t>
            </w:r>
            <w:proofErr w:type="spellEnd"/>
            <w:r w:rsidRPr="00EB2C99">
              <w:t xml:space="preserve"> bei III klasei, turi atitikti Europos Parlamento ir Tarybos reglamento (ES) 2017/745 „Dėl medicinos priemonių“ reikalavimus. </w:t>
            </w:r>
          </w:p>
        </w:tc>
      </w:tr>
      <w:tr w:rsidR="00D07926" w:rsidRPr="00EB2C99" w14:paraId="212B1FA2"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7B3FF3F4" w14:textId="77777777" w:rsidR="00D07926" w:rsidRPr="00EB2C99" w:rsidRDefault="00D07926" w:rsidP="00A52395">
            <w:pPr>
              <w:tabs>
                <w:tab w:val="left" w:pos="57"/>
                <w:tab w:val="left" w:pos="175"/>
              </w:tabs>
              <w:jc w:val="center"/>
              <w:rPr>
                <w:bCs/>
              </w:rPr>
            </w:pPr>
            <w:r w:rsidRPr="00EB2C99">
              <w:rPr>
                <w:bCs/>
              </w:rPr>
              <w:t>2.2</w:t>
            </w:r>
          </w:p>
        </w:tc>
        <w:tc>
          <w:tcPr>
            <w:tcW w:w="9810" w:type="dxa"/>
            <w:gridSpan w:val="2"/>
            <w:tcBorders>
              <w:top w:val="single" w:sz="4" w:space="0" w:color="auto"/>
              <w:left w:val="single" w:sz="4" w:space="0" w:color="auto"/>
              <w:bottom w:val="single" w:sz="4" w:space="0" w:color="auto"/>
              <w:right w:val="single" w:sz="4" w:space="0" w:color="auto"/>
            </w:tcBorders>
          </w:tcPr>
          <w:p w14:paraId="5F7EDE83" w14:textId="77777777" w:rsidR="00D07926" w:rsidRPr="00EB2C99" w:rsidRDefault="00D07926" w:rsidP="00A52395">
            <w:pPr>
              <w:keepNext/>
              <w:ind w:left="34"/>
              <w:outlineLvl w:val="0"/>
            </w:pPr>
            <w:r w:rsidRPr="00EB2C99">
              <w:t xml:space="preserve">Prekės privalo atitikti 3 dalyje nurodytus techninės specifikacijos reikalavimus. </w:t>
            </w:r>
          </w:p>
        </w:tc>
      </w:tr>
      <w:tr w:rsidR="00D07926" w:rsidRPr="00EB2C99" w14:paraId="14A54DE3"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0E694DBD" w14:textId="77777777" w:rsidR="00D07926" w:rsidRPr="00EB2C99" w:rsidRDefault="00D07926" w:rsidP="00A52395">
            <w:pPr>
              <w:tabs>
                <w:tab w:val="left" w:pos="57"/>
                <w:tab w:val="left" w:pos="175"/>
              </w:tabs>
              <w:jc w:val="center"/>
              <w:rPr>
                <w:bCs/>
              </w:rPr>
            </w:pPr>
            <w:r w:rsidRPr="00EB2C99">
              <w:rPr>
                <w:bCs/>
              </w:rPr>
              <w:t>2.3</w:t>
            </w:r>
          </w:p>
        </w:tc>
        <w:tc>
          <w:tcPr>
            <w:tcW w:w="9810" w:type="dxa"/>
            <w:gridSpan w:val="2"/>
            <w:tcBorders>
              <w:top w:val="single" w:sz="4" w:space="0" w:color="auto"/>
              <w:left w:val="single" w:sz="4" w:space="0" w:color="auto"/>
              <w:bottom w:val="single" w:sz="4" w:space="0" w:color="auto"/>
              <w:right w:val="single" w:sz="4" w:space="0" w:color="auto"/>
            </w:tcBorders>
          </w:tcPr>
          <w:p w14:paraId="78D814DD" w14:textId="77777777" w:rsidR="00D07926" w:rsidRPr="00EB2C99" w:rsidRDefault="00D07926" w:rsidP="00A52395">
            <w:pPr>
              <w:keepNext/>
              <w:ind w:left="34"/>
              <w:outlineLvl w:val="0"/>
            </w:pPr>
            <w:r w:rsidRPr="00EB2C99">
              <w:t>Įrangos dokumentai turi būti anglų arba lietuvių kalba. Gamintojo interneto svetainėje tvarkyklių ir dokumentų paieška turi būti pateikiama anglų arba lietuvių kalba. Naudojant šaldytuvą vartotojo vadovas nebus imamas kartu su įranga, o paliekamas centralizuotoje saugojimo vietoje, todėl turi būti galimybė sprendžiant iškilusias problemas naudotis gamintojo interneto svetaine. Užrašai ant įrenginių ir jų dalių turi būti anglų arba lietuvių kalba.</w:t>
            </w:r>
          </w:p>
        </w:tc>
      </w:tr>
      <w:tr w:rsidR="00D07926" w:rsidRPr="00EB2C99" w14:paraId="7066A847"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24A9AAA6" w14:textId="77777777" w:rsidR="00D07926" w:rsidRPr="00EB2C99" w:rsidRDefault="00D07926" w:rsidP="00A52395">
            <w:pPr>
              <w:tabs>
                <w:tab w:val="left" w:pos="57"/>
                <w:tab w:val="left" w:pos="175"/>
              </w:tabs>
              <w:jc w:val="center"/>
              <w:rPr>
                <w:bCs/>
              </w:rPr>
            </w:pPr>
            <w:r w:rsidRPr="00EB2C99">
              <w:rPr>
                <w:bCs/>
              </w:rPr>
              <w:t>2.4</w:t>
            </w:r>
          </w:p>
        </w:tc>
        <w:tc>
          <w:tcPr>
            <w:tcW w:w="9810" w:type="dxa"/>
            <w:gridSpan w:val="2"/>
            <w:tcBorders>
              <w:top w:val="single" w:sz="4" w:space="0" w:color="auto"/>
              <w:left w:val="single" w:sz="4" w:space="0" w:color="auto"/>
              <w:bottom w:val="single" w:sz="4" w:space="0" w:color="auto"/>
              <w:right w:val="single" w:sz="4" w:space="0" w:color="auto"/>
            </w:tcBorders>
          </w:tcPr>
          <w:p w14:paraId="1C046A17" w14:textId="77777777" w:rsidR="00D07926" w:rsidRPr="00EB2C99" w:rsidRDefault="00D07926" w:rsidP="00A52395">
            <w:pPr>
              <w:keepNext/>
              <w:outlineLvl w:val="0"/>
            </w:pPr>
            <w:r w:rsidRPr="00EB2C99">
              <w:t xml:space="preserve">Jeigu siūlomų įsigyti prekių gamintojas yra ne iš ES narių, tiekėjas privalo nurodyti informaciją apie įgaliotąjį atstovą, kuris registruotas ES šalyje. </w:t>
            </w:r>
          </w:p>
        </w:tc>
      </w:tr>
      <w:tr w:rsidR="00D07926" w:rsidRPr="00EB2C99" w14:paraId="1FA5CBFB"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2D52A747" w14:textId="77777777" w:rsidR="00D07926" w:rsidRPr="00EB2C99" w:rsidRDefault="00D07926" w:rsidP="00A52395">
            <w:pPr>
              <w:jc w:val="center"/>
              <w:rPr>
                <w:b/>
                <w:bCs/>
              </w:rPr>
            </w:pPr>
            <w:r w:rsidRPr="00EB2C99">
              <w:rPr>
                <w:b/>
                <w:bCs/>
              </w:rPr>
              <w:t>3.</w:t>
            </w:r>
          </w:p>
        </w:tc>
        <w:tc>
          <w:tcPr>
            <w:tcW w:w="9810" w:type="dxa"/>
            <w:gridSpan w:val="2"/>
            <w:tcBorders>
              <w:top w:val="single" w:sz="4" w:space="0" w:color="auto"/>
              <w:left w:val="single" w:sz="4" w:space="0" w:color="auto"/>
              <w:bottom w:val="single" w:sz="4" w:space="0" w:color="auto"/>
              <w:right w:val="single" w:sz="4" w:space="0" w:color="auto"/>
            </w:tcBorders>
          </w:tcPr>
          <w:p w14:paraId="56E80F74" w14:textId="77777777" w:rsidR="00D07926" w:rsidRPr="00EB2C99" w:rsidRDefault="00D07926" w:rsidP="00A52395">
            <w:pPr>
              <w:rPr>
                <w:b/>
                <w:bCs/>
              </w:rPr>
            </w:pPr>
            <w:r w:rsidRPr="00EB2C99">
              <w:rPr>
                <w:b/>
              </w:rPr>
              <w:t>Nešiojamojo aktyvaus šaldymo kraujo ir vakcinų šaldytuvo (48 vienetų talpos)</w:t>
            </w:r>
            <w:r w:rsidRPr="00EB2C99">
              <w:rPr>
                <w:b/>
                <w:bCs/>
              </w:rPr>
              <w:t xml:space="preserve"> techninė specifikacija</w:t>
            </w:r>
          </w:p>
        </w:tc>
      </w:tr>
      <w:tr w:rsidR="00D07926" w:rsidRPr="00EB2C99" w14:paraId="0A04BA6C"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368F12CF" w14:textId="77777777" w:rsidR="00D07926" w:rsidRPr="00EB2C99" w:rsidRDefault="00D07926" w:rsidP="00A52395">
            <w:pPr>
              <w:tabs>
                <w:tab w:val="decimal" w:pos="175"/>
              </w:tabs>
              <w:jc w:val="center"/>
              <w:rPr>
                <w:bCs/>
              </w:rPr>
            </w:pPr>
            <w:r w:rsidRPr="00EB2C99">
              <w:rPr>
                <w:bCs/>
              </w:rPr>
              <w:t>3.1</w:t>
            </w:r>
          </w:p>
        </w:tc>
        <w:tc>
          <w:tcPr>
            <w:tcW w:w="2694" w:type="dxa"/>
            <w:tcBorders>
              <w:top w:val="single" w:sz="4" w:space="0" w:color="auto"/>
              <w:left w:val="single" w:sz="4" w:space="0" w:color="auto"/>
              <w:bottom w:val="single" w:sz="4" w:space="0" w:color="auto"/>
              <w:right w:val="single" w:sz="4" w:space="0" w:color="auto"/>
            </w:tcBorders>
          </w:tcPr>
          <w:p w14:paraId="29D152A3" w14:textId="77777777" w:rsidR="00D07926" w:rsidRPr="00EB2C99" w:rsidRDefault="00D07926" w:rsidP="00A52395">
            <w:pPr>
              <w:keepNext/>
              <w:jc w:val="center"/>
              <w:outlineLvl w:val="0"/>
            </w:pPr>
            <w:r w:rsidRPr="00EB2C99">
              <w:t>Pavadinimas</w:t>
            </w:r>
          </w:p>
        </w:tc>
        <w:tc>
          <w:tcPr>
            <w:tcW w:w="7116" w:type="dxa"/>
            <w:tcBorders>
              <w:top w:val="single" w:sz="4" w:space="0" w:color="auto"/>
              <w:left w:val="single" w:sz="4" w:space="0" w:color="auto"/>
              <w:bottom w:val="single" w:sz="4" w:space="0" w:color="auto"/>
              <w:right w:val="single" w:sz="4" w:space="0" w:color="auto"/>
            </w:tcBorders>
          </w:tcPr>
          <w:p w14:paraId="5E5BFCF9" w14:textId="77777777" w:rsidR="00D07926" w:rsidRPr="00EB2C99" w:rsidRDefault="00D07926" w:rsidP="00A52395">
            <w:pPr>
              <w:jc w:val="center"/>
            </w:pPr>
            <w:r w:rsidRPr="00EB2C99">
              <w:t>Specifikacija</w:t>
            </w:r>
          </w:p>
        </w:tc>
      </w:tr>
      <w:tr w:rsidR="00D07926" w:rsidRPr="00EB2C99" w14:paraId="2F93FC0A"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72706C2A" w14:textId="77777777" w:rsidR="00D07926" w:rsidRPr="00EB2C99" w:rsidRDefault="00D07926" w:rsidP="00A52395">
            <w:pPr>
              <w:tabs>
                <w:tab w:val="decimal" w:pos="175"/>
              </w:tabs>
              <w:jc w:val="center"/>
              <w:rPr>
                <w:bCs/>
              </w:rPr>
            </w:pPr>
            <w:r w:rsidRPr="00EB2C99">
              <w:rPr>
                <w:bCs/>
              </w:rPr>
              <w:t>3.2</w:t>
            </w:r>
          </w:p>
        </w:tc>
        <w:tc>
          <w:tcPr>
            <w:tcW w:w="2694" w:type="dxa"/>
            <w:tcBorders>
              <w:top w:val="single" w:sz="4" w:space="0" w:color="auto"/>
              <w:left w:val="single" w:sz="4" w:space="0" w:color="auto"/>
              <w:bottom w:val="single" w:sz="4" w:space="0" w:color="auto"/>
              <w:right w:val="single" w:sz="4" w:space="0" w:color="auto"/>
            </w:tcBorders>
          </w:tcPr>
          <w:p w14:paraId="5DF28A88" w14:textId="77777777" w:rsidR="00D07926" w:rsidRPr="00EB2C99" w:rsidRDefault="00D07926" w:rsidP="00A52395">
            <w:pPr>
              <w:jc w:val="center"/>
            </w:pPr>
          </w:p>
        </w:tc>
        <w:tc>
          <w:tcPr>
            <w:tcW w:w="7116" w:type="dxa"/>
            <w:tcBorders>
              <w:top w:val="single" w:sz="4" w:space="0" w:color="auto"/>
              <w:left w:val="single" w:sz="4" w:space="0" w:color="auto"/>
              <w:bottom w:val="single" w:sz="4" w:space="0" w:color="auto"/>
              <w:right w:val="single" w:sz="4" w:space="0" w:color="auto"/>
            </w:tcBorders>
          </w:tcPr>
          <w:p w14:paraId="3CB9663D" w14:textId="77777777" w:rsidR="00D07926" w:rsidRPr="00EB2C99" w:rsidRDefault="00D07926" w:rsidP="00A52395">
            <w:pPr>
              <w:jc w:val="center"/>
            </w:pPr>
            <w:r w:rsidRPr="00EB2C99">
              <w:t>Įrenginys, užtikrinantis nuolatinį kraujo produktų, vakcinų ir kontroliuojamos temperatūros vaistų aušinimą</w:t>
            </w:r>
          </w:p>
        </w:tc>
      </w:tr>
      <w:tr w:rsidR="00D07926" w:rsidRPr="00EB2C99" w14:paraId="0532E91B"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5B38E938" w14:textId="77777777" w:rsidR="00D07926" w:rsidRPr="00EB2C99" w:rsidRDefault="00D07926" w:rsidP="00A52395">
            <w:pPr>
              <w:tabs>
                <w:tab w:val="decimal" w:pos="175"/>
              </w:tabs>
              <w:jc w:val="center"/>
              <w:rPr>
                <w:bCs/>
              </w:rPr>
            </w:pPr>
            <w:r w:rsidRPr="00EB2C99">
              <w:rPr>
                <w:bCs/>
              </w:rPr>
              <w:t>3.3</w:t>
            </w:r>
          </w:p>
        </w:tc>
        <w:tc>
          <w:tcPr>
            <w:tcW w:w="2694" w:type="dxa"/>
            <w:tcBorders>
              <w:top w:val="single" w:sz="4" w:space="0" w:color="auto"/>
              <w:left w:val="single" w:sz="4" w:space="0" w:color="auto"/>
              <w:bottom w:val="single" w:sz="4" w:space="0" w:color="auto"/>
              <w:right w:val="single" w:sz="4" w:space="0" w:color="auto"/>
            </w:tcBorders>
          </w:tcPr>
          <w:p w14:paraId="3157DE2A" w14:textId="77777777" w:rsidR="00D07926" w:rsidRPr="00EB2C99" w:rsidRDefault="00D07926" w:rsidP="00A52395">
            <w:r w:rsidRPr="00EB2C99">
              <w:t>Svoris</w:t>
            </w:r>
          </w:p>
        </w:tc>
        <w:tc>
          <w:tcPr>
            <w:tcW w:w="7116" w:type="dxa"/>
            <w:tcBorders>
              <w:top w:val="single" w:sz="4" w:space="0" w:color="auto"/>
              <w:left w:val="single" w:sz="4" w:space="0" w:color="auto"/>
              <w:bottom w:val="single" w:sz="4" w:space="0" w:color="auto"/>
              <w:right w:val="single" w:sz="4" w:space="0" w:color="auto"/>
            </w:tcBorders>
          </w:tcPr>
          <w:p w14:paraId="12F2BC6A" w14:textId="77777777" w:rsidR="00D07926" w:rsidRPr="00EB2C99" w:rsidRDefault="00D07926" w:rsidP="00A52395">
            <w:r w:rsidRPr="00EB2C99">
              <w:t>Su baterija ne daugiau kaip 45±1 kg, be sudėtų kraujo produktų</w:t>
            </w:r>
          </w:p>
        </w:tc>
      </w:tr>
      <w:tr w:rsidR="00D07926" w:rsidRPr="00EB2C99" w14:paraId="2AFB1D90"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0D2565F0" w14:textId="77777777" w:rsidR="00D07926" w:rsidRPr="00EB2C99" w:rsidRDefault="00D07926" w:rsidP="00A52395">
            <w:pPr>
              <w:tabs>
                <w:tab w:val="decimal" w:pos="175"/>
              </w:tabs>
              <w:jc w:val="center"/>
              <w:rPr>
                <w:bCs/>
              </w:rPr>
            </w:pPr>
            <w:r w:rsidRPr="00EB2C99">
              <w:rPr>
                <w:bCs/>
              </w:rPr>
              <w:t>3.4</w:t>
            </w:r>
          </w:p>
        </w:tc>
        <w:tc>
          <w:tcPr>
            <w:tcW w:w="2694" w:type="dxa"/>
            <w:tcBorders>
              <w:top w:val="single" w:sz="4" w:space="0" w:color="auto"/>
              <w:left w:val="single" w:sz="4" w:space="0" w:color="auto"/>
              <w:bottom w:val="single" w:sz="4" w:space="0" w:color="auto"/>
              <w:right w:val="single" w:sz="4" w:space="0" w:color="auto"/>
            </w:tcBorders>
          </w:tcPr>
          <w:p w14:paraId="6EC45358" w14:textId="77777777" w:rsidR="00D07926" w:rsidRPr="00EB2C99" w:rsidRDefault="00D07926" w:rsidP="00A52395">
            <w:r w:rsidRPr="00EB2C99">
              <w:t>Matmenys, ne didesni nei</w:t>
            </w:r>
          </w:p>
        </w:tc>
        <w:tc>
          <w:tcPr>
            <w:tcW w:w="7116" w:type="dxa"/>
            <w:tcBorders>
              <w:top w:val="single" w:sz="4" w:space="0" w:color="auto"/>
              <w:left w:val="single" w:sz="4" w:space="0" w:color="auto"/>
              <w:bottom w:val="single" w:sz="4" w:space="0" w:color="auto"/>
              <w:right w:val="single" w:sz="4" w:space="0" w:color="auto"/>
            </w:tcBorders>
          </w:tcPr>
          <w:p w14:paraId="7CBE48C8" w14:textId="77777777" w:rsidR="00D07926" w:rsidRPr="00EB2C99" w:rsidRDefault="00D07926" w:rsidP="00A52395">
            <w:r w:rsidRPr="00EB2C99">
              <w:t>Plotis 550±10 mm × aukštis 600±10 mm × gylis 620±10 mm</w:t>
            </w:r>
          </w:p>
        </w:tc>
      </w:tr>
      <w:tr w:rsidR="00D07926" w:rsidRPr="00EB2C99" w14:paraId="4ABFB204"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7EA9EF5B" w14:textId="77777777" w:rsidR="00D07926" w:rsidRPr="00EB2C99" w:rsidRDefault="00D07926" w:rsidP="00A52395">
            <w:pPr>
              <w:tabs>
                <w:tab w:val="decimal" w:pos="175"/>
              </w:tabs>
              <w:jc w:val="center"/>
              <w:rPr>
                <w:bCs/>
              </w:rPr>
            </w:pPr>
            <w:r w:rsidRPr="00EB2C99">
              <w:rPr>
                <w:bCs/>
              </w:rPr>
              <w:t>3.5</w:t>
            </w:r>
          </w:p>
        </w:tc>
        <w:tc>
          <w:tcPr>
            <w:tcW w:w="2694" w:type="dxa"/>
            <w:tcBorders>
              <w:top w:val="single" w:sz="4" w:space="0" w:color="auto"/>
              <w:left w:val="single" w:sz="4" w:space="0" w:color="auto"/>
              <w:bottom w:val="single" w:sz="4" w:space="0" w:color="auto"/>
              <w:right w:val="single" w:sz="4" w:space="0" w:color="auto"/>
            </w:tcBorders>
          </w:tcPr>
          <w:p w14:paraId="5850724A" w14:textId="77777777" w:rsidR="00D07926" w:rsidRPr="00EB2C99" w:rsidRDefault="00D07926" w:rsidP="00A52395">
            <w:r w:rsidRPr="00EB2C99">
              <w:t>Kraujo vienetų talpa</w:t>
            </w:r>
          </w:p>
        </w:tc>
        <w:tc>
          <w:tcPr>
            <w:tcW w:w="7116" w:type="dxa"/>
            <w:tcBorders>
              <w:top w:val="single" w:sz="4" w:space="0" w:color="auto"/>
              <w:left w:val="single" w:sz="4" w:space="0" w:color="auto"/>
              <w:bottom w:val="single" w:sz="4" w:space="0" w:color="auto"/>
              <w:right w:val="single" w:sz="4" w:space="0" w:color="auto"/>
            </w:tcBorders>
          </w:tcPr>
          <w:p w14:paraId="213D6105" w14:textId="77777777" w:rsidR="00D07926" w:rsidRPr="00EB2C99" w:rsidRDefault="00D07926" w:rsidP="00A52395">
            <w:r w:rsidRPr="00EB2C99">
              <w:t>Ne mažiau kaip 48×450 ml maišelių</w:t>
            </w:r>
          </w:p>
        </w:tc>
      </w:tr>
      <w:tr w:rsidR="00D07926" w:rsidRPr="00EB2C99" w14:paraId="1EF97E27"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371D1BF2" w14:textId="77777777" w:rsidR="00D07926" w:rsidRPr="00EB2C99" w:rsidRDefault="00D07926" w:rsidP="00A52395">
            <w:pPr>
              <w:tabs>
                <w:tab w:val="decimal" w:pos="175"/>
              </w:tabs>
              <w:jc w:val="center"/>
              <w:rPr>
                <w:bCs/>
              </w:rPr>
            </w:pPr>
            <w:r w:rsidRPr="00EB2C99">
              <w:rPr>
                <w:bCs/>
              </w:rPr>
              <w:t>3.6</w:t>
            </w:r>
          </w:p>
        </w:tc>
        <w:tc>
          <w:tcPr>
            <w:tcW w:w="2694" w:type="dxa"/>
            <w:tcBorders>
              <w:top w:val="single" w:sz="4" w:space="0" w:color="auto"/>
              <w:left w:val="single" w:sz="4" w:space="0" w:color="auto"/>
              <w:bottom w:val="single" w:sz="4" w:space="0" w:color="auto"/>
              <w:right w:val="single" w:sz="4" w:space="0" w:color="auto"/>
            </w:tcBorders>
          </w:tcPr>
          <w:p w14:paraId="72C5DA3E" w14:textId="77777777" w:rsidR="00D07926" w:rsidRPr="00EB2C99" w:rsidRDefault="00D07926" w:rsidP="00A52395">
            <w:r w:rsidRPr="00EB2C99">
              <w:t>Aparatas pritaikytas darbui ligoninės viduje, lauke, sraigtasparnyje ir GMP automobilyje</w:t>
            </w:r>
          </w:p>
        </w:tc>
        <w:tc>
          <w:tcPr>
            <w:tcW w:w="7116" w:type="dxa"/>
            <w:tcBorders>
              <w:top w:val="single" w:sz="4" w:space="0" w:color="auto"/>
              <w:left w:val="single" w:sz="4" w:space="0" w:color="auto"/>
              <w:bottom w:val="single" w:sz="4" w:space="0" w:color="auto"/>
              <w:right w:val="single" w:sz="4" w:space="0" w:color="auto"/>
            </w:tcBorders>
          </w:tcPr>
          <w:p w14:paraId="2B5279BB" w14:textId="77777777" w:rsidR="00D07926" w:rsidRPr="00EB2C99" w:rsidRDefault="00D07926" w:rsidP="00A52395">
            <w:r w:rsidRPr="00EB2C99">
              <w:t>1. Turi atitikti IEC 61010-1 standartą „Temperatūra ir drėgmė“.</w:t>
            </w:r>
          </w:p>
          <w:p w14:paraId="1614C27E" w14:textId="77777777" w:rsidR="00D07926" w:rsidRPr="00EB2C99" w:rsidRDefault="00D07926" w:rsidP="00A52395">
            <w:r w:rsidRPr="00EB2C99">
              <w:t xml:space="preserve">2. Turi atitikti IP66 standartą „Apsauga nuo patekimo“ ir NEMA 4X „Atsparus vandeniui“. </w:t>
            </w:r>
          </w:p>
          <w:p w14:paraId="35762128" w14:textId="77777777" w:rsidR="00D07926" w:rsidRPr="00EB2C99" w:rsidRDefault="00D07926" w:rsidP="00A52395">
            <w:r w:rsidRPr="00EB2C99">
              <w:t xml:space="preserve">3. Turi atitikti EMC EN 55011 CISPR 11 A klasė. </w:t>
            </w:r>
          </w:p>
          <w:p w14:paraId="0FE2DD04" w14:textId="77777777" w:rsidR="00D07926" w:rsidRPr="00EB2C99" w:rsidRDefault="00D07926" w:rsidP="00A52395">
            <w:r w:rsidRPr="00EB2C99">
              <w:t>4. Turi atitikti UL/IEC 61010-2-11 „Šaldymo sauga“.</w:t>
            </w:r>
          </w:p>
          <w:p w14:paraId="0D45A1FF" w14:textId="77777777" w:rsidR="00D07926" w:rsidRPr="00EB2C99" w:rsidRDefault="00D07926" w:rsidP="00A52395">
            <w:r w:rsidRPr="00EB2C99">
              <w:t>5. Turi atitikti UL/ IEC 61010-2-10 „Šildytuvo sauga“.</w:t>
            </w:r>
          </w:p>
          <w:p w14:paraId="43646850" w14:textId="77777777" w:rsidR="00D07926" w:rsidRPr="00EB2C99" w:rsidRDefault="00D07926" w:rsidP="00A52395">
            <w:r w:rsidRPr="00EB2C99">
              <w:t>6. Turi atitikti AABB kraujo bankų ir perpylimo paslaugų standartus.</w:t>
            </w:r>
          </w:p>
          <w:p w14:paraId="7E029322" w14:textId="77777777" w:rsidR="00D07926" w:rsidRPr="00EB2C99" w:rsidRDefault="00D07926" w:rsidP="00A52395">
            <w:r w:rsidRPr="00EB2C99">
              <w:t>7. Turi atitikti „</w:t>
            </w:r>
            <w:proofErr w:type="spellStart"/>
            <w:r w:rsidRPr="00EB2C99">
              <w:t>Helicopter</w:t>
            </w:r>
            <w:proofErr w:type="spellEnd"/>
            <w:r w:rsidRPr="00EB2C99">
              <w:t xml:space="preserve"> </w:t>
            </w:r>
            <w:proofErr w:type="spellStart"/>
            <w:r w:rsidRPr="00EB2C99">
              <w:t>Air</w:t>
            </w:r>
            <w:proofErr w:type="spellEnd"/>
            <w:r w:rsidRPr="00EB2C99">
              <w:t xml:space="preserve"> </w:t>
            </w:r>
            <w:proofErr w:type="spellStart"/>
            <w:r w:rsidRPr="00EB2C99">
              <w:t>Ambulance</w:t>
            </w:r>
            <w:proofErr w:type="spellEnd"/>
            <w:r w:rsidRPr="00EB2C99">
              <w:t>“ (HAA) įrangos reikalavimus dėl smūgio / vibracijos ir radijo trukdžių.</w:t>
            </w:r>
          </w:p>
          <w:p w14:paraId="43D389E5" w14:textId="77777777" w:rsidR="00D07926" w:rsidRPr="00EB2C99" w:rsidRDefault="00D07926" w:rsidP="00A52395">
            <w:r w:rsidRPr="00EB2C99">
              <w:t>8. Temperatūra palaikoma bet kurioje įrenginio padėtyje, automatiškai valdomas aktyvus aušinimas (apvertus, pasukus ant šono ir t. t.).</w:t>
            </w:r>
          </w:p>
          <w:p w14:paraId="255DEA7D" w14:textId="77777777" w:rsidR="00D07926" w:rsidRPr="00EB2C99" w:rsidRDefault="00D07926" w:rsidP="00A52395">
            <w:r w:rsidRPr="00EB2C99">
              <w:t xml:space="preserve">9. Skyriaus šildymas ir vėsinimas užtikrina stabilią temperatūrą bet kokiomis sąlygomis. </w:t>
            </w:r>
          </w:p>
        </w:tc>
      </w:tr>
      <w:tr w:rsidR="00D07926" w:rsidRPr="00EB2C99" w14:paraId="74502D66"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64694F3E" w14:textId="77777777" w:rsidR="00D07926" w:rsidRPr="00EB2C99" w:rsidRDefault="00D07926" w:rsidP="00A52395">
            <w:pPr>
              <w:tabs>
                <w:tab w:val="decimal" w:pos="175"/>
              </w:tabs>
              <w:jc w:val="center"/>
              <w:rPr>
                <w:bCs/>
              </w:rPr>
            </w:pPr>
            <w:r w:rsidRPr="00EB2C99">
              <w:rPr>
                <w:bCs/>
              </w:rPr>
              <w:t>3.7</w:t>
            </w:r>
          </w:p>
        </w:tc>
        <w:tc>
          <w:tcPr>
            <w:tcW w:w="2694" w:type="dxa"/>
            <w:tcBorders>
              <w:top w:val="single" w:sz="4" w:space="0" w:color="auto"/>
              <w:left w:val="single" w:sz="4" w:space="0" w:color="auto"/>
              <w:bottom w:val="single" w:sz="4" w:space="0" w:color="auto"/>
              <w:right w:val="single" w:sz="4" w:space="0" w:color="auto"/>
            </w:tcBorders>
          </w:tcPr>
          <w:p w14:paraId="3711FCC1" w14:textId="77777777" w:rsidR="00D07926" w:rsidRPr="00EB2C99" w:rsidRDefault="00D07926" w:rsidP="00A52395">
            <w:r w:rsidRPr="00EB2C99">
              <w:t>Temperatūros diapazonai</w:t>
            </w:r>
          </w:p>
        </w:tc>
        <w:tc>
          <w:tcPr>
            <w:tcW w:w="7116" w:type="dxa"/>
            <w:tcBorders>
              <w:top w:val="single" w:sz="4" w:space="0" w:color="auto"/>
              <w:left w:val="single" w:sz="4" w:space="0" w:color="auto"/>
              <w:bottom w:val="single" w:sz="4" w:space="0" w:color="auto"/>
              <w:right w:val="single" w:sz="4" w:space="0" w:color="auto"/>
            </w:tcBorders>
          </w:tcPr>
          <w:p w14:paraId="481A3BEC" w14:textId="77777777" w:rsidR="00D07926" w:rsidRPr="00EB2C99" w:rsidRDefault="00D07926" w:rsidP="00A52395">
            <w:r w:rsidRPr="00EB2C99">
              <w:t>1. Darbo aplinkos temperatūra ne siauresnių ribų kaip nuo      –32±1 ℃ iki +50±1 ℃.</w:t>
            </w:r>
          </w:p>
          <w:p w14:paraId="3179B556" w14:textId="77777777" w:rsidR="00D07926" w:rsidRPr="00EB2C99" w:rsidRDefault="00D07926" w:rsidP="00A52395">
            <w:r w:rsidRPr="00EB2C99">
              <w:t xml:space="preserve">2. Minimalus akumuliatoriaus įkrovimo diapazonas ne siauresnių ribų, kaip nuo –10±1 ℃ iki +40±1 ℃. </w:t>
            </w:r>
          </w:p>
          <w:p w14:paraId="252E6D99" w14:textId="77777777" w:rsidR="00D07926" w:rsidRPr="00EB2C99" w:rsidRDefault="00D07926" w:rsidP="00A52395">
            <w:r w:rsidRPr="00EB2C99">
              <w:t xml:space="preserve">3. Sandėliavimas nuo –32±1 ℃ iki +60±1 ℃. </w:t>
            </w:r>
          </w:p>
          <w:p w14:paraId="012F59C2" w14:textId="77777777" w:rsidR="00D07926" w:rsidRPr="00EB2C99" w:rsidRDefault="00D07926" w:rsidP="00A52395">
            <w:r w:rsidRPr="00EB2C99">
              <w:t>4. Kraujo vienetų talpos temperatūra +4,5±0,8 ℃, turi išlaikyti ne mažiau kaip 240±1 val. kai aplinkos temperatūra +24 ℃.</w:t>
            </w:r>
          </w:p>
          <w:p w14:paraId="10930C6B" w14:textId="77777777" w:rsidR="00D07926" w:rsidRPr="00EB2C99" w:rsidRDefault="00D07926" w:rsidP="00A52395">
            <w:r w:rsidRPr="00EB2C99">
              <w:t xml:space="preserve">5. Turi turėti šaldymo funkciją, gebėtų pasiekti ne aukštesnę nei –23±1 ºC. </w:t>
            </w:r>
          </w:p>
        </w:tc>
      </w:tr>
      <w:tr w:rsidR="00D07926" w:rsidRPr="00EB2C99" w14:paraId="055C1B03"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42EAA72A" w14:textId="77777777" w:rsidR="00D07926" w:rsidRPr="00EB2C99" w:rsidRDefault="00D07926" w:rsidP="00A52395">
            <w:pPr>
              <w:tabs>
                <w:tab w:val="decimal" w:pos="175"/>
              </w:tabs>
              <w:jc w:val="center"/>
              <w:rPr>
                <w:bCs/>
              </w:rPr>
            </w:pPr>
            <w:r w:rsidRPr="00EB2C99">
              <w:rPr>
                <w:bCs/>
              </w:rPr>
              <w:t>3.8</w:t>
            </w:r>
          </w:p>
        </w:tc>
        <w:tc>
          <w:tcPr>
            <w:tcW w:w="2694" w:type="dxa"/>
            <w:tcBorders>
              <w:top w:val="single" w:sz="4" w:space="0" w:color="auto"/>
              <w:left w:val="single" w:sz="4" w:space="0" w:color="auto"/>
              <w:bottom w:val="single" w:sz="4" w:space="0" w:color="auto"/>
              <w:right w:val="single" w:sz="4" w:space="0" w:color="auto"/>
            </w:tcBorders>
          </w:tcPr>
          <w:p w14:paraId="3F1BD74A" w14:textId="77777777" w:rsidR="00D07926" w:rsidRPr="00EB2C99" w:rsidRDefault="00D07926" w:rsidP="00A52395">
            <w:r w:rsidRPr="00EB2C99">
              <w:t>Korpusas ir konstrukcija</w:t>
            </w:r>
          </w:p>
        </w:tc>
        <w:tc>
          <w:tcPr>
            <w:tcW w:w="7116" w:type="dxa"/>
            <w:tcBorders>
              <w:top w:val="single" w:sz="4" w:space="0" w:color="auto"/>
              <w:left w:val="single" w:sz="4" w:space="0" w:color="auto"/>
              <w:bottom w:val="single" w:sz="4" w:space="0" w:color="auto"/>
              <w:right w:val="single" w:sz="4" w:space="0" w:color="auto"/>
            </w:tcBorders>
          </w:tcPr>
          <w:p w14:paraId="2A1F1457" w14:textId="77777777" w:rsidR="00D07926" w:rsidRPr="00EB2C99" w:rsidRDefault="00D07926" w:rsidP="00A52395">
            <w:r w:rsidRPr="00EB2C99">
              <w:t>Įrenginio korpusas ir konstrukcija turi atitikti ne žemesnius kaip IP66 ir MIL-STD-810H (arba lygiaverčius) atsparumo smūgiams, vibracijai ir korozijai standartus. Fizinė įrenginio anatomija (</w:t>
            </w:r>
            <w:r w:rsidRPr="00EB2C99">
              <w:rPr>
                <w:rStyle w:val="t286pc"/>
              </w:rPr>
              <w:t>užlenkiamos rankenos nešimui, integruoti ratai bei ištraukiama rankena traukimui</w:t>
            </w:r>
            <w:r w:rsidRPr="00EB2C99">
              <w:t>), užtikrinanti mobilumą ekstremaliomis sąlygomis.</w:t>
            </w:r>
          </w:p>
        </w:tc>
      </w:tr>
      <w:tr w:rsidR="00D07926" w:rsidRPr="00EB2C99" w14:paraId="46ACC0AE"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3984E78E" w14:textId="77777777" w:rsidR="00D07926" w:rsidRPr="00EB2C99" w:rsidRDefault="00D07926" w:rsidP="00A52395">
            <w:pPr>
              <w:tabs>
                <w:tab w:val="decimal" w:pos="175"/>
              </w:tabs>
              <w:jc w:val="center"/>
              <w:rPr>
                <w:bCs/>
              </w:rPr>
            </w:pPr>
            <w:r w:rsidRPr="00EB2C99">
              <w:rPr>
                <w:bCs/>
              </w:rPr>
              <w:t>3.9</w:t>
            </w:r>
          </w:p>
        </w:tc>
        <w:tc>
          <w:tcPr>
            <w:tcW w:w="2694" w:type="dxa"/>
            <w:tcBorders>
              <w:top w:val="single" w:sz="4" w:space="0" w:color="auto"/>
              <w:left w:val="single" w:sz="4" w:space="0" w:color="auto"/>
              <w:bottom w:val="single" w:sz="4" w:space="0" w:color="auto"/>
              <w:right w:val="single" w:sz="4" w:space="0" w:color="auto"/>
            </w:tcBorders>
          </w:tcPr>
          <w:p w14:paraId="3AB40588" w14:textId="77777777" w:rsidR="00D07926" w:rsidRPr="00EB2C99" w:rsidRDefault="00D07926" w:rsidP="00A52395">
            <w:r w:rsidRPr="00EB2C99">
              <w:t>Maitinimo šaltinis</w:t>
            </w:r>
          </w:p>
        </w:tc>
        <w:tc>
          <w:tcPr>
            <w:tcW w:w="7116" w:type="dxa"/>
            <w:tcBorders>
              <w:top w:val="single" w:sz="4" w:space="0" w:color="auto"/>
              <w:left w:val="single" w:sz="4" w:space="0" w:color="auto"/>
              <w:bottom w:val="single" w:sz="4" w:space="0" w:color="auto"/>
              <w:right w:val="single" w:sz="4" w:space="0" w:color="auto"/>
            </w:tcBorders>
          </w:tcPr>
          <w:p w14:paraId="27450F2B" w14:textId="77777777" w:rsidR="00D07926" w:rsidRPr="00EB2C99" w:rsidRDefault="00D07926" w:rsidP="00A52395">
            <w:r w:rsidRPr="00EB2C99">
              <w:t>1. Išimamoji, standartinė karinė MIL-PRF-32383/ BB-2590/U baterija.</w:t>
            </w:r>
          </w:p>
          <w:p w14:paraId="1F63B984" w14:textId="77777777" w:rsidR="00D07926" w:rsidRPr="00EB2C99" w:rsidRDefault="00D07926" w:rsidP="00A52395">
            <w:r w:rsidRPr="00EB2C99">
              <w:t xml:space="preserve">2. Pilnai pakrautos baterijos naudojimo laikas ne trumpesnis nei 10 dienų. </w:t>
            </w:r>
          </w:p>
          <w:p w14:paraId="4FD0CF13" w14:textId="77777777" w:rsidR="00D07926" w:rsidRPr="00EB2C99" w:rsidRDefault="00D07926" w:rsidP="00A52395">
            <w:r w:rsidRPr="00EB2C99">
              <w:t xml:space="preserve">3. Vidinis kroviklis įkrauna akumuliatorių ir taip pat išlaiko vidinės talpos temperatūrą. </w:t>
            </w:r>
          </w:p>
          <w:p w14:paraId="18A4E8BE" w14:textId="77777777" w:rsidR="00D07926" w:rsidRPr="00EB2C99" w:rsidRDefault="00D07926" w:rsidP="00A52395">
            <w:r w:rsidRPr="00EB2C99">
              <w:t xml:space="preserve">4. Išmanioji baterija įkraunama per 4±1 val. </w:t>
            </w:r>
          </w:p>
          <w:p w14:paraId="09817687" w14:textId="77777777" w:rsidR="00D07926" w:rsidRPr="00EB2C99" w:rsidRDefault="00D07926" w:rsidP="00A52395">
            <w:r w:rsidRPr="00EB2C99">
              <w:t>5. Darbinės įtampos – nuo 100 iki 240 VAC (50/60 Hz) arba 20,0–31,0 VDC.</w:t>
            </w:r>
          </w:p>
        </w:tc>
      </w:tr>
      <w:tr w:rsidR="00D07926" w:rsidRPr="00EB2C99" w14:paraId="282DAB53"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6C68B06B" w14:textId="77777777" w:rsidR="00D07926" w:rsidRPr="00EB2C99" w:rsidRDefault="00D07926" w:rsidP="00A52395">
            <w:pPr>
              <w:tabs>
                <w:tab w:val="decimal" w:pos="175"/>
              </w:tabs>
              <w:jc w:val="center"/>
              <w:rPr>
                <w:bCs/>
              </w:rPr>
            </w:pPr>
            <w:r w:rsidRPr="00EB2C99">
              <w:rPr>
                <w:bCs/>
              </w:rPr>
              <w:t>3.10</w:t>
            </w:r>
          </w:p>
        </w:tc>
        <w:tc>
          <w:tcPr>
            <w:tcW w:w="2694" w:type="dxa"/>
            <w:tcBorders>
              <w:top w:val="single" w:sz="4" w:space="0" w:color="auto"/>
              <w:left w:val="single" w:sz="4" w:space="0" w:color="auto"/>
              <w:bottom w:val="single" w:sz="4" w:space="0" w:color="auto"/>
              <w:right w:val="single" w:sz="4" w:space="0" w:color="auto"/>
            </w:tcBorders>
          </w:tcPr>
          <w:p w14:paraId="0744F794" w14:textId="77777777" w:rsidR="00D07926" w:rsidRPr="00EB2C99" w:rsidRDefault="00D07926" w:rsidP="00A52395">
            <w:r w:rsidRPr="00EB2C99">
              <w:t>Duomenų saugojimas ir sąsaja</w:t>
            </w:r>
          </w:p>
        </w:tc>
        <w:tc>
          <w:tcPr>
            <w:tcW w:w="7116" w:type="dxa"/>
            <w:tcBorders>
              <w:top w:val="single" w:sz="4" w:space="0" w:color="auto"/>
              <w:left w:val="single" w:sz="4" w:space="0" w:color="auto"/>
              <w:bottom w:val="single" w:sz="4" w:space="0" w:color="auto"/>
              <w:right w:val="single" w:sz="4" w:space="0" w:color="auto"/>
            </w:tcBorders>
          </w:tcPr>
          <w:p w14:paraId="7BDAA23B" w14:textId="77777777" w:rsidR="00D07926" w:rsidRPr="00EB2C99" w:rsidRDefault="00D07926" w:rsidP="00A52395">
            <w:r w:rsidRPr="00EB2C99">
              <w:t xml:space="preserve">1. Temperatūros užrašymo dažnis – ne rečiau kaip kas          15 min. su ±0,5 ℃ paklaida. </w:t>
            </w:r>
          </w:p>
          <w:p w14:paraId="0D8EBDDA" w14:textId="77777777" w:rsidR="00D07926" w:rsidRPr="00EB2C99" w:rsidRDefault="00D07926" w:rsidP="00A52395">
            <w:r w:rsidRPr="00EB2C99">
              <w:t xml:space="preserve">2. Temperatūros užrašymo atmintis ne mažiau kaip 72 dienos. </w:t>
            </w:r>
          </w:p>
          <w:p w14:paraId="381616F5" w14:textId="77777777" w:rsidR="00D07926" w:rsidRPr="00EB2C99" w:rsidRDefault="00D07926" w:rsidP="00A52395">
            <w:r w:rsidRPr="00EB2C99">
              <w:t xml:space="preserve">3. Turi turėti NIST </w:t>
            </w:r>
            <w:proofErr w:type="spellStart"/>
            <w:r w:rsidRPr="00EB2C99">
              <w:t>kalibracijos</w:t>
            </w:r>
            <w:proofErr w:type="spellEnd"/>
            <w:r w:rsidRPr="00EB2C99">
              <w:t xml:space="preserve"> standartą arba lygiavertį. </w:t>
            </w:r>
          </w:p>
          <w:p w14:paraId="427B88C6" w14:textId="77777777" w:rsidR="00D07926" w:rsidRPr="00EB2C99" w:rsidRDefault="00D07926" w:rsidP="00A52395">
            <w:r w:rsidRPr="00EB2C99">
              <w:t>4. Turi „Bluetooth“ sąsają mobiliajam telefonui arba planšetei prijungti, siekiant efektyviau analizuoti sukauptus duomenis.</w:t>
            </w:r>
          </w:p>
          <w:p w14:paraId="183AF09E" w14:textId="77777777" w:rsidR="00D07926" w:rsidRPr="00EB2C99" w:rsidRDefault="00D07926" w:rsidP="00A52395">
            <w:r w:rsidRPr="00EB2C99">
              <w:t xml:space="preserve">5. Privalo turėti parinktį, leidžiančią, pageidaujant pirkėjui, „Bluetooth“ sąsają pašalinti. </w:t>
            </w:r>
          </w:p>
        </w:tc>
      </w:tr>
      <w:tr w:rsidR="00D07926" w:rsidRPr="00EB2C99" w14:paraId="72A06E91"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7B126564" w14:textId="77777777" w:rsidR="00D07926" w:rsidRPr="00EB2C99" w:rsidRDefault="00D07926" w:rsidP="00A52395">
            <w:pPr>
              <w:tabs>
                <w:tab w:val="decimal" w:pos="175"/>
              </w:tabs>
              <w:jc w:val="center"/>
              <w:rPr>
                <w:bCs/>
              </w:rPr>
            </w:pPr>
            <w:r w:rsidRPr="00EB2C99">
              <w:rPr>
                <w:bCs/>
              </w:rPr>
              <w:t>3.11</w:t>
            </w:r>
          </w:p>
        </w:tc>
        <w:tc>
          <w:tcPr>
            <w:tcW w:w="2694" w:type="dxa"/>
            <w:tcBorders>
              <w:top w:val="single" w:sz="4" w:space="0" w:color="auto"/>
              <w:left w:val="single" w:sz="4" w:space="0" w:color="auto"/>
              <w:bottom w:val="single" w:sz="4" w:space="0" w:color="auto"/>
              <w:right w:val="single" w:sz="4" w:space="0" w:color="auto"/>
            </w:tcBorders>
          </w:tcPr>
          <w:p w14:paraId="0BC8B028" w14:textId="77777777" w:rsidR="00D07926" w:rsidRPr="00EB2C99" w:rsidRDefault="00D07926" w:rsidP="00A52395">
            <w:r w:rsidRPr="00EB2C99">
              <w:t>Veikimo režimai</w:t>
            </w:r>
          </w:p>
        </w:tc>
        <w:tc>
          <w:tcPr>
            <w:tcW w:w="7116" w:type="dxa"/>
            <w:tcBorders>
              <w:top w:val="single" w:sz="4" w:space="0" w:color="auto"/>
              <w:left w:val="single" w:sz="4" w:space="0" w:color="auto"/>
              <w:bottom w:val="single" w:sz="4" w:space="0" w:color="auto"/>
              <w:right w:val="single" w:sz="4" w:space="0" w:color="auto"/>
            </w:tcBorders>
          </w:tcPr>
          <w:p w14:paraId="2D1AA7B4" w14:textId="77777777" w:rsidR="00D07926" w:rsidRPr="00EB2C99" w:rsidRDefault="00D07926" w:rsidP="00A52395">
            <w:r w:rsidRPr="00EB2C99">
              <w:t xml:space="preserve">Tylus ir tamsus režimas (angl. </w:t>
            </w:r>
            <w:proofErr w:type="spellStart"/>
            <w:r w:rsidRPr="00EB2C99">
              <w:rPr>
                <w:i/>
              </w:rPr>
              <w:t>Black</w:t>
            </w:r>
            <w:proofErr w:type="spellEnd"/>
            <w:r w:rsidRPr="00EB2C99">
              <w:rPr>
                <w:i/>
              </w:rPr>
              <w:t xml:space="preserve"> </w:t>
            </w:r>
            <w:proofErr w:type="spellStart"/>
            <w:r w:rsidRPr="00EB2C99">
              <w:rPr>
                <w:i/>
              </w:rPr>
              <w:t>out</w:t>
            </w:r>
            <w:proofErr w:type="spellEnd"/>
            <w:r w:rsidRPr="00EB2C99">
              <w:t xml:space="preserve">) apsaugo nuo infraraudonųjų spindulių naktinio matymo įrangos trikdžių ir išsaugo maskavimą. </w:t>
            </w:r>
          </w:p>
        </w:tc>
      </w:tr>
      <w:tr w:rsidR="00D07926" w:rsidRPr="00EB2C99" w14:paraId="31D5BD0C"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0FBEAA23" w14:textId="77777777" w:rsidR="00D07926" w:rsidRPr="00EB2C99" w:rsidRDefault="00D07926" w:rsidP="00A52395">
            <w:pPr>
              <w:tabs>
                <w:tab w:val="decimal" w:pos="175"/>
              </w:tabs>
              <w:jc w:val="center"/>
              <w:rPr>
                <w:bCs/>
              </w:rPr>
            </w:pPr>
            <w:r w:rsidRPr="00EB2C99">
              <w:rPr>
                <w:bCs/>
              </w:rPr>
              <w:t>3.12</w:t>
            </w:r>
          </w:p>
        </w:tc>
        <w:tc>
          <w:tcPr>
            <w:tcW w:w="2694" w:type="dxa"/>
            <w:tcBorders>
              <w:top w:val="single" w:sz="4" w:space="0" w:color="auto"/>
              <w:left w:val="single" w:sz="4" w:space="0" w:color="auto"/>
              <w:bottom w:val="single" w:sz="4" w:space="0" w:color="auto"/>
              <w:right w:val="single" w:sz="4" w:space="0" w:color="auto"/>
            </w:tcBorders>
          </w:tcPr>
          <w:p w14:paraId="2091C520" w14:textId="77777777" w:rsidR="00D07926" w:rsidRPr="00EB2C99" w:rsidRDefault="00D07926" w:rsidP="00A52395">
            <w:r w:rsidRPr="00EB2C99">
              <w:t>Ekranas</w:t>
            </w:r>
          </w:p>
        </w:tc>
        <w:tc>
          <w:tcPr>
            <w:tcW w:w="7116" w:type="dxa"/>
            <w:tcBorders>
              <w:top w:val="single" w:sz="4" w:space="0" w:color="auto"/>
              <w:left w:val="single" w:sz="4" w:space="0" w:color="auto"/>
              <w:bottom w:val="single" w:sz="4" w:space="0" w:color="auto"/>
              <w:right w:val="single" w:sz="4" w:space="0" w:color="auto"/>
            </w:tcBorders>
          </w:tcPr>
          <w:p w14:paraId="1344303F" w14:textId="77777777" w:rsidR="00D07926" w:rsidRPr="00EB2C99" w:rsidRDefault="00D07926" w:rsidP="00A52395">
            <w:r w:rsidRPr="00EB2C99">
              <w:t xml:space="preserve">1. LCD ar lygiavertis ekranas. </w:t>
            </w:r>
          </w:p>
          <w:p w14:paraId="39FBAFA3" w14:textId="77777777" w:rsidR="00D07926" w:rsidRPr="00EB2C99" w:rsidRDefault="00D07926" w:rsidP="00A52395">
            <w:r w:rsidRPr="00EB2C99">
              <w:t>2. Turi būti atvaizduojamas akumuliatoriaus išsikrovimo ir įkrovimo lygis.</w:t>
            </w:r>
          </w:p>
          <w:p w14:paraId="078DD663" w14:textId="77777777" w:rsidR="00D07926" w:rsidRPr="00EB2C99" w:rsidRDefault="00D07926" w:rsidP="00A52395">
            <w:r w:rsidRPr="00EB2C99">
              <w:t xml:space="preserve">3. Turi būti atvaizduojamas temperatūros diapazonas. </w:t>
            </w:r>
          </w:p>
          <w:p w14:paraId="67664318" w14:textId="77777777" w:rsidR="00D07926" w:rsidRPr="00EB2C99" w:rsidRDefault="00D07926" w:rsidP="00A52395">
            <w:r w:rsidRPr="00EB2C99">
              <w:t xml:space="preserve">4. Turi būti atvaizduojamas temperatūros užrašymo žurnalas. </w:t>
            </w:r>
          </w:p>
          <w:p w14:paraId="5928D339" w14:textId="77777777" w:rsidR="00D07926" w:rsidRPr="00EB2C99" w:rsidRDefault="00D07926" w:rsidP="00A52395">
            <w:r w:rsidRPr="00EB2C99">
              <w:t>5. Turi būti atvaizduojami gedimai (aliarmu skydelyje).</w:t>
            </w:r>
          </w:p>
          <w:p w14:paraId="0E3C13F1" w14:textId="77777777" w:rsidR="00D07926" w:rsidRPr="00EB2C99" w:rsidRDefault="00D07926" w:rsidP="00A52395">
            <w:r w:rsidRPr="00EB2C99">
              <w:t>6. Turi būti atvaizduojamas numatomas likęs saugojimo laikas.</w:t>
            </w:r>
          </w:p>
        </w:tc>
      </w:tr>
      <w:tr w:rsidR="00D07926" w:rsidRPr="00EB2C99" w14:paraId="2BDCB0D4"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6FC24D8C" w14:textId="77777777" w:rsidR="00D07926" w:rsidRPr="00EB2C99" w:rsidRDefault="00D07926" w:rsidP="00A52395">
            <w:pPr>
              <w:tabs>
                <w:tab w:val="decimal" w:pos="175"/>
              </w:tabs>
              <w:jc w:val="center"/>
              <w:rPr>
                <w:bCs/>
              </w:rPr>
            </w:pPr>
            <w:r w:rsidRPr="00EB2C99">
              <w:rPr>
                <w:bCs/>
              </w:rPr>
              <w:t>3.13</w:t>
            </w:r>
          </w:p>
        </w:tc>
        <w:tc>
          <w:tcPr>
            <w:tcW w:w="2694" w:type="dxa"/>
            <w:tcBorders>
              <w:top w:val="single" w:sz="4" w:space="0" w:color="auto"/>
              <w:left w:val="single" w:sz="4" w:space="0" w:color="auto"/>
              <w:bottom w:val="single" w:sz="4" w:space="0" w:color="auto"/>
              <w:right w:val="single" w:sz="4" w:space="0" w:color="auto"/>
            </w:tcBorders>
          </w:tcPr>
          <w:p w14:paraId="0C25EC0C" w14:textId="77777777" w:rsidR="00D07926" w:rsidRPr="00EB2C99" w:rsidRDefault="00D07926" w:rsidP="00A52395">
            <w:r w:rsidRPr="00EB2C99">
              <w:t>Komplektacija</w:t>
            </w:r>
          </w:p>
        </w:tc>
        <w:tc>
          <w:tcPr>
            <w:tcW w:w="7116" w:type="dxa"/>
            <w:tcBorders>
              <w:top w:val="single" w:sz="4" w:space="0" w:color="auto"/>
              <w:left w:val="single" w:sz="4" w:space="0" w:color="auto"/>
              <w:bottom w:val="single" w:sz="4" w:space="0" w:color="auto"/>
              <w:right w:val="single" w:sz="4" w:space="0" w:color="auto"/>
            </w:tcBorders>
          </w:tcPr>
          <w:p w14:paraId="25DD4953" w14:textId="77777777" w:rsidR="00D07926" w:rsidRPr="00EB2C99" w:rsidRDefault="00D07926" w:rsidP="00A52395">
            <w:r w:rsidRPr="00EB2C99">
              <w:t xml:space="preserve">1. Šaldytuvas (privaloma). </w:t>
            </w:r>
          </w:p>
          <w:p w14:paraId="3552BB23" w14:textId="77777777" w:rsidR="00D07926" w:rsidRPr="00EB2C99" w:rsidRDefault="00D07926" w:rsidP="00A52395">
            <w:r w:rsidRPr="00EB2C99">
              <w:t xml:space="preserve">2. Karinė MIL-PRF-32383/ BB-2590/U išmanioji baterija arba lygiavertė. </w:t>
            </w:r>
          </w:p>
          <w:p w14:paraId="41E1FA38" w14:textId="77777777" w:rsidR="00D07926" w:rsidRPr="00EB2C99" w:rsidRDefault="00D07926" w:rsidP="00A52395">
            <w:r w:rsidRPr="00EB2C99">
              <w:t xml:space="preserve">3. Kroviklis 220–230 V ir 12 V (privalomas). </w:t>
            </w:r>
          </w:p>
          <w:p w14:paraId="1548FB48" w14:textId="77777777" w:rsidR="00D07926" w:rsidRPr="00EB2C99" w:rsidRDefault="00D07926" w:rsidP="00A52395">
            <w:r w:rsidRPr="00EB2C99">
              <w:t xml:space="preserve">4. Šeši specialūs krepšeliai kraujo maišeliams sandėliuoti vidiniame skyriuje (privaloma). </w:t>
            </w:r>
          </w:p>
        </w:tc>
      </w:tr>
      <w:tr w:rsidR="00D07926" w:rsidRPr="00EB2C99" w14:paraId="4161899F"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4C788D48" w14:textId="77777777" w:rsidR="00D07926" w:rsidRPr="00EB2C99" w:rsidRDefault="00D07926" w:rsidP="00A52395">
            <w:pPr>
              <w:tabs>
                <w:tab w:val="decimal" w:pos="175"/>
              </w:tabs>
              <w:jc w:val="center"/>
              <w:rPr>
                <w:bCs/>
              </w:rPr>
            </w:pPr>
            <w:r w:rsidRPr="00EB2C99">
              <w:rPr>
                <w:bCs/>
              </w:rPr>
              <w:t>3.14</w:t>
            </w:r>
          </w:p>
        </w:tc>
        <w:tc>
          <w:tcPr>
            <w:tcW w:w="2694" w:type="dxa"/>
            <w:tcBorders>
              <w:top w:val="single" w:sz="4" w:space="0" w:color="auto"/>
              <w:left w:val="single" w:sz="4" w:space="0" w:color="auto"/>
              <w:bottom w:val="single" w:sz="4" w:space="0" w:color="auto"/>
              <w:right w:val="single" w:sz="4" w:space="0" w:color="auto"/>
            </w:tcBorders>
          </w:tcPr>
          <w:p w14:paraId="47D0DBF2" w14:textId="77777777" w:rsidR="00D07926" w:rsidRPr="00EB2C99" w:rsidRDefault="00D07926" w:rsidP="00A52395">
            <w:r w:rsidRPr="00EB2C99">
              <w:t>Garantija</w:t>
            </w:r>
          </w:p>
        </w:tc>
        <w:tc>
          <w:tcPr>
            <w:tcW w:w="7116" w:type="dxa"/>
            <w:tcBorders>
              <w:top w:val="single" w:sz="4" w:space="0" w:color="auto"/>
              <w:left w:val="single" w:sz="4" w:space="0" w:color="auto"/>
              <w:bottom w:val="single" w:sz="4" w:space="0" w:color="auto"/>
              <w:right w:val="single" w:sz="4" w:space="0" w:color="auto"/>
            </w:tcBorders>
          </w:tcPr>
          <w:p w14:paraId="3292B61F" w14:textId="77777777" w:rsidR="00D07926" w:rsidRPr="00EB2C99" w:rsidRDefault="00D07926" w:rsidP="00A52395">
            <w:r w:rsidRPr="00EB2C99">
              <w:t>Ne mažiau kaip 24 mėn.</w:t>
            </w:r>
          </w:p>
        </w:tc>
      </w:tr>
      <w:tr w:rsidR="00D07926" w:rsidRPr="00EB2C99" w14:paraId="3ABE2864"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55E961BE" w14:textId="77777777" w:rsidR="00D07926" w:rsidRPr="00EB2C99" w:rsidRDefault="00D07926" w:rsidP="00A52395">
            <w:pPr>
              <w:tabs>
                <w:tab w:val="decimal" w:pos="175"/>
              </w:tabs>
              <w:jc w:val="center"/>
              <w:rPr>
                <w:b/>
                <w:bCs/>
              </w:rPr>
            </w:pPr>
            <w:r w:rsidRPr="00EB2C99">
              <w:rPr>
                <w:b/>
                <w:bCs/>
              </w:rPr>
              <w:t xml:space="preserve">4. </w:t>
            </w:r>
          </w:p>
        </w:tc>
        <w:tc>
          <w:tcPr>
            <w:tcW w:w="9810" w:type="dxa"/>
            <w:gridSpan w:val="2"/>
            <w:tcBorders>
              <w:top w:val="single" w:sz="4" w:space="0" w:color="auto"/>
              <w:left w:val="single" w:sz="4" w:space="0" w:color="auto"/>
              <w:bottom w:val="single" w:sz="4" w:space="0" w:color="auto"/>
              <w:right w:val="single" w:sz="4" w:space="0" w:color="auto"/>
            </w:tcBorders>
          </w:tcPr>
          <w:p w14:paraId="75578CB6" w14:textId="77777777" w:rsidR="00D07926" w:rsidRPr="00EB2C99" w:rsidRDefault="00D07926" w:rsidP="00A52395">
            <w:pPr>
              <w:jc w:val="both"/>
              <w:rPr>
                <w:b/>
              </w:rPr>
            </w:pPr>
            <w:r w:rsidRPr="00EB2C99">
              <w:rPr>
                <w:b/>
              </w:rPr>
              <w:t>Garantija</w:t>
            </w:r>
          </w:p>
        </w:tc>
      </w:tr>
      <w:tr w:rsidR="00D07926" w:rsidRPr="00EB2C99" w14:paraId="336F57A0"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2C204AFD" w14:textId="77777777" w:rsidR="00D07926" w:rsidRPr="00EB2C99" w:rsidRDefault="00D07926" w:rsidP="00A52395">
            <w:pPr>
              <w:tabs>
                <w:tab w:val="decimal" w:pos="175"/>
              </w:tabs>
              <w:jc w:val="center"/>
              <w:rPr>
                <w:bCs/>
              </w:rPr>
            </w:pPr>
            <w:r w:rsidRPr="00EB2C99">
              <w:rPr>
                <w:bCs/>
              </w:rPr>
              <w:t>4.1</w:t>
            </w:r>
          </w:p>
        </w:tc>
        <w:tc>
          <w:tcPr>
            <w:tcW w:w="9810" w:type="dxa"/>
            <w:gridSpan w:val="2"/>
            <w:tcBorders>
              <w:top w:val="single" w:sz="4" w:space="0" w:color="auto"/>
              <w:left w:val="single" w:sz="4" w:space="0" w:color="auto"/>
              <w:bottom w:val="single" w:sz="4" w:space="0" w:color="auto"/>
              <w:right w:val="single" w:sz="4" w:space="0" w:color="auto"/>
            </w:tcBorders>
          </w:tcPr>
          <w:p w14:paraId="6DE98A66" w14:textId="77777777" w:rsidR="00D07926" w:rsidRPr="00EB2C99" w:rsidRDefault="00D07926" w:rsidP="00A52395">
            <w:pPr>
              <w:jc w:val="both"/>
              <w:rPr>
                <w:highlight w:val="yellow"/>
              </w:rPr>
            </w:pPr>
            <w:r w:rsidRPr="00EB2C99">
              <w:t xml:space="preserve">Tiekiamoms priemonėms turi būti suteikta garantija ne trumpesniam laikotarpiui nei tam, kurį suteikia priemonės gamintojas, tačiau ne trumpiau kaip 24 mėn. </w:t>
            </w:r>
          </w:p>
        </w:tc>
      </w:tr>
      <w:tr w:rsidR="00D07926" w:rsidRPr="00EB2C99" w14:paraId="70B838A7"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5181769B" w14:textId="77777777" w:rsidR="00D07926" w:rsidRPr="00EB2C99" w:rsidRDefault="00D07926" w:rsidP="00A52395">
            <w:pPr>
              <w:tabs>
                <w:tab w:val="decimal" w:pos="175"/>
              </w:tabs>
              <w:jc w:val="center"/>
              <w:rPr>
                <w:bCs/>
              </w:rPr>
            </w:pPr>
            <w:r w:rsidRPr="00EB2C99">
              <w:rPr>
                <w:bCs/>
              </w:rPr>
              <w:t>4.2</w:t>
            </w:r>
          </w:p>
        </w:tc>
        <w:tc>
          <w:tcPr>
            <w:tcW w:w="9810" w:type="dxa"/>
            <w:gridSpan w:val="2"/>
            <w:tcBorders>
              <w:top w:val="single" w:sz="4" w:space="0" w:color="auto"/>
              <w:left w:val="single" w:sz="4" w:space="0" w:color="auto"/>
              <w:bottom w:val="single" w:sz="4" w:space="0" w:color="auto"/>
              <w:right w:val="single" w:sz="4" w:space="0" w:color="auto"/>
            </w:tcBorders>
          </w:tcPr>
          <w:p w14:paraId="6EAFFE35" w14:textId="77777777" w:rsidR="00D07926" w:rsidRPr="00EB2C99" w:rsidRDefault="00D07926" w:rsidP="00A52395">
            <w:pPr>
              <w:jc w:val="both"/>
            </w:pPr>
            <w:r w:rsidRPr="00EB2C99">
              <w:rPr>
                <w:bCs/>
              </w:rPr>
              <w:t xml:space="preserve">Garantinio remonto trukmė – ne ilgiau kaip 30 kalendorinių dienų nuo grąžinimo datos. Jei sugedusios priemonės per šį laikotarpį pataisyti neįmanoma, ji pakeičiama ekvivalentiška nauja. </w:t>
            </w:r>
          </w:p>
        </w:tc>
      </w:tr>
      <w:tr w:rsidR="00D07926" w:rsidRPr="00EB2C99" w14:paraId="499705E4"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6662532E" w14:textId="77777777" w:rsidR="00D07926" w:rsidRPr="00EB2C99" w:rsidRDefault="00D07926" w:rsidP="00A52395">
            <w:pPr>
              <w:tabs>
                <w:tab w:val="decimal" w:pos="175"/>
              </w:tabs>
              <w:jc w:val="center"/>
              <w:rPr>
                <w:bCs/>
              </w:rPr>
            </w:pPr>
            <w:r w:rsidRPr="00EB2C99">
              <w:rPr>
                <w:bCs/>
              </w:rPr>
              <w:t>4.3</w:t>
            </w:r>
          </w:p>
        </w:tc>
        <w:tc>
          <w:tcPr>
            <w:tcW w:w="9810" w:type="dxa"/>
            <w:gridSpan w:val="2"/>
            <w:tcBorders>
              <w:top w:val="single" w:sz="4" w:space="0" w:color="auto"/>
              <w:left w:val="single" w:sz="4" w:space="0" w:color="auto"/>
              <w:bottom w:val="single" w:sz="4" w:space="0" w:color="auto"/>
              <w:right w:val="single" w:sz="4" w:space="0" w:color="auto"/>
            </w:tcBorders>
          </w:tcPr>
          <w:p w14:paraId="651DF6EE" w14:textId="77777777" w:rsidR="00D07926" w:rsidRPr="00EB2C99" w:rsidRDefault="00D07926" w:rsidP="00A52395">
            <w:pPr>
              <w:jc w:val="both"/>
            </w:pPr>
            <w:r w:rsidRPr="00EB2C99">
              <w:rPr>
                <w:bCs/>
              </w:rPr>
              <w:t xml:space="preserve">Garantinis laikotarpis skaičiuojamas nuo priėmimo–perdavimo akto pasirašymo dienos. </w:t>
            </w:r>
          </w:p>
        </w:tc>
      </w:tr>
      <w:tr w:rsidR="00D07926" w:rsidRPr="00EB2C99" w14:paraId="66FB9F6B"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41C9D837" w14:textId="77777777" w:rsidR="00D07926" w:rsidRPr="00EB2C99" w:rsidRDefault="00D07926" w:rsidP="00A52395">
            <w:pPr>
              <w:tabs>
                <w:tab w:val="decimal" w:pos="175"/>
              </w:tabs>
              <w:jc w:val="center"/>
              <w:rPr>
                <w:bCs/>
              </w:rPr>
            </w:pPr>
            <w:r w:rsidRPr="00EB2C99">
              <w:rPr>
                <w:bCs/>
              </w:rPr>
              <w:t>4.4</w:t>
            </w:r>
          </w:p>
        </w:tc>
        <w:tc>
          <w:tcPr>
            <w:tcW w:w="9810" w:type="dxa"/>
            <w:gridSpan w:val="2"/>
            <w:tcBorders>
              <w:top w:val="single" w:sz="4" w:space="0" w:color="auto"/>
              <w:left w:val="single" w:sz="4" w:space="0" w:color="auto"/>
              <w:bottom w:val="single" w:sz="4" w:space="0" w:color="auto"/>
              <w:right w:val="single" w:sz="4" w:space="0" w:color="auto"/>
            </w:tcBorders>
          </w:tcPr>
          <w:p w14:paraId="77788E65" w14:textId="77777777" w:rsidR="00D07926" w:rsidRPr="00EB2C99" w:rsidRDefault="00D07926" w:rsidP="00A52395">
            <w:pPr>
              <w:jc w:val="both"/>
              <w:rPr>
                <w:bCs/>
              </w:rPr>
            </w:pPr>
            <w:r w:rsidRPr="00EB2C99">
              <w:rPr>
                <w:bCs/>
              </w:rPr>
              <w:t xml:space="preserve">Garantiniu laikotarpiu tiekėjas privalo atlikti darbus savo lėšomis, įskaitant transportavimo išlaidas. </w:t>
            </w:r>
          </w:p>
        </w:tc>
      </w:tr>
      <w:tr w:rsidR="00D07926" w:rsidRPr="00EB2C99" w14:paraId="2F35A506"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5E1FA6E8" w14:textId="77777777" w:rsidR="00D07926" w:rsidRPr="00EB2C99" w:rsidRDefault="00D07926" w:rsidP="00A52395">
            <w:pPr>
              <w:tabs>
                <w:tab w:val="decimal" w:pos="175"/>
              </w:tabs>
              <w:jc w:val="center"/>
              <w:rPr>
                <w:bCs/>
              </w:rPr>
            </w:pPr>
            <w:r w:rsidRPr="00EB2C99">
              <w:rPr>
                <w:bCs/>
              </w:rPr>
              <w:t>4.5</w:t>
            </w:r>
          </w:p>
        </w:tc>
        <w:tc>
          <w:tcPr>
            <w:tcW w:w="9810" w:type="dxa"/>
            <w:gridSpan w:val="2"/>
            <w:tcBorders>
              <w:top w:val="single" w:sz="4" w:space="0" w:color="auto"/>
              <w:left w:val="single" w:sz="4" w:space="0" w:color="auto"/>
              <w:bottom w:val="single" w:sz="4" w:space="0" w:color="auto"/>
              <w:right w:val="single" w:sz="4" w:space="0" w:color="auto"/>
            </w:tcBorders>
          </w:tcPr>
          <w:p w14:paraId="7F5306B7" w14:textId="77777777" w:rsidR="00D07926" w:rsidRPr="00EB2C99" w:rsidRDefault="00D07926" w:rsidP="00A52395">
            <w:pPr>
              <w:keepNext/>
              <w:outlineLvl w:val="0"/>
            </w:pPr>
            <w:r w:rsidRPr="00EB2C99">
              <w:t xml:space="preserve">Pirkimo objektas: prekės (įskaitant jų sudedamąsias dalis bei prekių ir jų dalių gamintojus), paslaugos ar darbai neturi kelti grėsmės nacionaliniam saugumui. </w:t>
            </w:r>
          </w:p>
        </w:tc>
      </w:tr>
      <w:tr w:rsidR="00D07926" w:rsidRPr="00EB2C99" w14:paraId="0AB89EE5"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3808AB7A" w14:textId="77777777" w:rsidR="00D07926" w:rsidRPr="00EB2C99" w:rsidRDefault="00D07926" w:rsidP="00A52395">
            <w:pPr>
              <w:tabs>
                <w:tab w:val="decimal" w:pos="175"/>
              </w:tabs>
              <w:jc w:val="center"/>
              <w:rPr>
                <w:b/>
                <w:bCs/>
              </w:rPr>
            </w:pPr>
            <w:r w:rsidRPr="00EB2C99">
              <w:rPr>
                <w:b/>
                <w:bCs/>
              </w:rPr>
              <w:t>5</w:t>
            </w:r>
          </w:p>
        </w:tc>
        <w:tc>
          <w:tcPr>
            <w:tcW w:w="9810" w:type="dxa"/>
            <w:gridSpan w:val="2"/>
            <w:tcBorders>
              <w:top w:val="single" w:sz="4" w:space="0" w:color="auto"/>
              <w:left w:val="single" w:sz="4" w:space="0" w:color="auto"/>
              <w:bottom w:val="single" w:sz="4" w:space="0" w:color="auto"/>
              <w:right w:val="single" w:sz="4" w:space="0" w:color="auto"/>
            </w:tcBorders>
          </w:tcPr>
          <w:p w14:paraId="3FA7280F" w14:textId="77777777" w:rsidR="00D07926" w:rsidRPr="00EB2C99" w:rsidRDefault="00D07926" w:rsidP="00A52395">
            <w:pPr>
              <w:rPr>
                <w:b/>
              </w:rPr>
            </w:pPr>
            <w:r w:rsidRPr="00EB2C99">
              <w:rPr>
                <w:b/>
              </w:rPr>
              <w:t>Ženklinimas, pakavimas, priėmimas</w:t>
            </w:r>
          </w:p>
        </w:tc>
      </w:tr>
      <w:tr w:rsidR="00D07926" w:rsidRPr="00EB2C99" w14:paraId="483E2B8F"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67B469B1" w14:textId="77777777" w:rsidR="00D07926" w:rsidRPr="00EB2C99" w:rsidRDefault="00D07926" w:rsidP="00A52395">
            <w:pPr>
              <w:tabs>
                <w:tab w:val="decimal" w:pos="175"/>
              </w:tabs>
              <w:jc w:val="center"/>
              <w:rPr>
                <w:bCs/>
              </w:rPr>
            </w:pPr>
            <w:r w:rsidRPr="00EB2C99">
              <w:rPr>
                <w:bCs/>
              </w:rPr>
              <w:t>5.1</w:t>
            </w:r>
          </w:p>
        </w:tc>
        <w:tc>
          <w:tcPr>
            <w:tcW w:w="9810" w:type="dxa"/>
            <w:gridSpan w:val="2"/>
            <w:tcBorders>
              <w:top w:val="single" w:sz="4" w:space="0" w:color="auto"/>
              <w:left w:val="single" w:sz="4" w:space="0" w:color="auto"/>
              <w:bottom w:val="single" w:sz="4" w:space="0" w:color="auto"/>
              <w:right w:val="single" w:sz="4" w:space="0" w:color="auto"/>
            </w:tcBorders>
          </w:tcPr>
          <w:p w14:paraId="0F47957A" w14:textId="77777777" w:rsidR="00D07926" w:rsidRPr="00EB2C99" w:rsidRDefault="00D07926" w:rsidP="00A52395">
            <w:r w:rsidRPr="00EB2C99">
              <w:t xml:space="preserve">Prekių ženklinimas turi atitikti Medicinos prietaisų reglamento (MDR (ES) 2017/745) nustatytus ir šioje techninėje specifikacijoje nurodytus reikalavimus. </w:t>
            </w:r>
          </w:p>
        </w:tc>
      </w:tr>
      <w:tr w:rsidR="00D07926" w:rsidRPr="00EB2C99" w14:paraId="1BC0E388" w14:textId="77777777" w:rsidTr="00D07926">
        <w:trPr>
          <w:trHeight w:val="324"/>
        </w:trPr>
        <w:tc>
          <w:tcPr>
            <w:tcW w:w="680" w:type="dxa"/>
            <w:tcBorders>
              <w:top w:val="single" w:sz="4" w:space="0" w:color="auto"/>
              <w:left w:val="single" w:sz="4" w:space="0" w:color="auto"/>
              <w:bottom w:val="single" w:sz="4" w:space="0" w:color="auto"/>
              <w:right w:val="single" w:sz="4" w:space="0" w:color="auto"/>
            </w:tcBorders>
            <w:noWrap/>
          </w:tcPr>
          <w:p w14:paraId="1419D64F" w14:textId="77777777" w:rsidR="00D07926" w:rsidRPr="00EB2C99" w:rsidRDefault="00D07926" w:rsidP="00A52395">
            <w:pPr>
              <w:tabs>
                <w:tab w:val="decimal" w:pos="175"/>
              </w:tabs>
              <w:jc w:val="center"/>
              <w:rPr>
                <w:bCs/>
              </w:rPr>
            </w:pPr>
            <w:r w:rsidRPr="00EB2C99">
              <w:rPr>
                <w:bCs/>
              </w:rPr>
              <w:t>5.2</w:t>
            </w:r>
          </w:p>
        </w:tc>
        <w:tc>
          <w:tcPr>
            <w:tcW w:w="9810" w:type="dxa"/>
            <w:gridSpan w:val="2"/>
            <w:tcBorders>
              <w:top w:val="single" w:sz="4" w:space="0" w:color="auto"/>
              <w:left w:val="single" w:sz="4" w:space="0" w:color="auto"/>
              <w:bottom w:val="single" w:sz="4" w:space="0" w:color="auto"/>
              <w:right w:val="single" w:sz="4" w:space="0" w:color="auto"/>
            </w:tcBorders>
          </w:tcPr>
          <w:p w14:paraId="3E3F4182" w14:textId="77777777" w:rsidR="00D07926" w:rsidRPr="00EB2C99" w:rsidRDefault="00D07926" w:rsidP="00A52395">
            <w:r w:rsidRPr="00EB2C99">
              <w:t xml:space="preserve">Prekės priimamos vadovaujantis pirkimo–pardavimo sutartyje nustatytais reikalavimais. </w:t>
            </w:r>
          </w:p>
        </w:tc>
      </w:tr>
    </w:tbl>
    <w:p w14:paraId="6E09C50A" w14:textId="77777777" w:rsidR="00D07926" w:rsidRDefault="00D07926" w:rsidP="00FA1586">
      <w:pPr>
        <w:ind w:left="142"/>
      </w:pPr>
    </w:p>
    <w:p w14:paraId="29F00EE9" w14:textId="77777777" w:rsidR="001B5B4C" w:rsidRDefault="001B5B4C" w:rsidP="00FA1586">
      <w:pPr>
        <w:ind w:left="142"/>
      </w:pPr>
    </w:p>
    <w:p w14:paraId="58766616" w14:textId="7790914C"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259C744F" w14:textId="77777777" w:rsidR="00EF1A91" w:rsidRDefault="00EF1A91" w:rsidP="008C1CEF">
      <w:pPr>
        <w:rPr>
          <w:b/>
        </w:rPr>
      </w:pPr>
    </w:p>
    <w:p w14:paraId="20B94670" w14:textId="78544A9B" w:rsidR="009E7831" w:rsidRDefault="00FA1586" w:rsidP="00480094">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582B" w14:textId="77777777" w:rsidR="00222C91" w:rsidRDefault="00222C91" w:rsidP="00E216B6">
      <w:r>
        <w:separator/>
      </w:r>
    </w:p>
  </w:endnote>
  <w:endnote w:type="continuationSeparator" w:id="0">
    <w:p w14:paraId="355C3F2C" w14:textId="77777777" w:rsidR="00222C91" w:rsidRDefault="00222C91"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B714" w14:textId="77777777" w:rsidR="00222C91" w:rsidRDefault="00222C91" w:rsidP="00E216B6">
      <w:r>
        <w:separator/>
      </w:r>
    </w:p>
  </w:footnote>
  <w:footnote w:type="continuationSeparator" w:id="0">
    <w:p w14:paraId="03B546CB" w14:textId="77777777" w:rsidR="00222C91" w:rsidRDefault="00222C91"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07374"/>
      <w:docPartObj>
        <w:docPartGallery w:val="Page Numbers (Top of Page)"/>
        <w:docPartUnique/>
      </w:docPartObj>
    </w:sdtPr>
    <w:sdtEndPr>
      <w:rPr>
        <w:noProof/>
      </w:rPr>
    </w:sdtEndPr>
    <w:sdtContent>
      <w:p w14:paraId="43A9BD02" w14:textId="758FEBE6" w:rsidR="00C97465" w:rsidRDefault="00C97465">
        <w:pPr>
          <w:pStyle w:val="Header"/>
          <w:jc w:val="center"/>
        </w:pPr>
        <w:r>
          <w:fldChar w:fldCharType="begin"/>
        </w:r>
        <w:r>
          <w:instrText xml:space="preserve"> PAGE   \* MERGEFORMAT </w:instrText>
        </w:r>
        <w:r>
          <w:fldChar w:fldCharType="separate"/>
        </w:r>
        <w:r w:rsidR="002B183B">
          <w:rPr>
            <w:noProof/>
          </w:rPr>
          <w:t>18</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1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33DF3"/>
    <w:multiLevelType w:val="hybridMultilevel"/>
    <w:tmpl w:val="18584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D03168"/>
    <w:multiLevelType w:val="hybridMultilevel"/>
    <w:tmpl w:val="DACA2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6A56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62D1"/>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D0D5CF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5F7E57"/>
    <w:multiLevelType w:val="hybridMultilevel"/>
    <w:tmpl w:val="349E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547C5E"/>
    <w:multiLevelType w:val="hybridMultilevel"/>
    <w:tmpl w:val="EA567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DD4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D7499"/>
    <w:multiLevelType w:val="hybridMultilevel"/>
    <w:tmpl w:val="D8D648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734C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48252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B4C00"/>
    <w:multiLevelType w:val="hybridMultilevel"/>
    <w:tmpl w:val="75BE6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5362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2352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115F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341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53516"/>
    <w:multiLevelType w:val="hybridMultilevel"/>
    <w:tmpl w:val="045C7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E278FA"/>
    <w:multiLevelType w:val="hybridMultilevel"/>
    <w:tmpl w:val="D6645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8F651D"/>
    <w:multiLevelType w:val="hybridMultilevel"/>
    <w:tmpl w:val="6C88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A201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439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E60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D0D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E5F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43A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C7DF1"/>
    <w:multiLevelType w:val="hybridMultilevel"/>
    <w:tmpl w:val="056E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8F4E0C"/>
    <w:multiLevelType w:val="hybridMultilevel"/>
    <w:tmpl w:val="66309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7147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854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B45352"/>
    <w:multiLevelType w:val="hybridMultilevel"/>
    <w:tmpl w:val="BB5C3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717274"/>
    <w:multiLevelType w:val="hybridMultilevel"/>
    <w:tmpl w:val="DDC68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FF290E"/>
    <w:multiLevelType w:val="hybridMultilevel"/>
    <w:tmpl w:val="7D2C6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970190">
    <w:abstractNumId w:val="13"/>
  </w:num>
  <w:num w:numId="2" w16cid:durableId="1537426427">
    <w:abstractNumId w:val="11"/>
  </w:num>
  <w:num w:numId="3" w16cid:durableId="905605804">
    <w:abstractNumId w:val="26"/>
  </w:num>
  <w:num w:numId="4" w16cid:durableId="1515192492">
    <w:abstractNumId w:val="19"/>
  </w:num>
  <w:num w:numId="5" w16cid:durableId="1468669439">
    <w:abstractNumId w:val="0"/>
  </w:num>
  <w:num w:numId="6" w16cid:durableId="486436265">
    <w:abstractNumId w:val="16"/>
  </w:num>
  <w:num w:numId="7" w16cid:durableId="1676960223">
    <w:abstractNumId w:val="4"/>
  </w:num>
  <w:num w:numId="8" w16cid:durableId="1585413296">
    <w:abstractNumId w:val="14"/>
  </w:num>
  <w:num w:numId="9" w16cid:durableId="1111897844">
    <w:abstractNumId w:val="23"/>
  </w:num>
  <w:num w:numId="10" w16cid:durableId="1698583685">
    <w:abstractNumId w:val="12"/>
  </w:num>
  <w:num w:numId="11" w16cid:durableId="2050766062">
    <w:abstractNumId w:val="25"/>
  </w:num>
  <w:num w:numId="12" w16cid:durableId="1237394246">
    <w:abstractNumId w:val="27"/>
  </w:num>
  <w:num w:numId="13" w16cid:durableId="2065328327">
    <w:abstractNumId w:val="10"/>
  </w:num>
  <w:num w:numId="14" w16cid:durableId="1815218659">
    <w:abstractNumId w:val="18"/>
  </w:num>
  <w:num w:numId="15" w16cid:durableId="1309285924">
    <w:abstractNumId w:val="24"/>
  </w:num>
  <w:num w:numId="16" w16cid:durableId="408618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425440">
    <w:abstractNumId w:val="6"/>
  </w:num>
  <w:num w:numId="18" w16cid:durableId="1344472573">
    <w:abstractNumId w:val="32"/>
  </w:num>
  <w:num w:numId="19" w16cid:durableId="891385952">
    <w:abstractNumId w:val="17"/>
  </w:num>
  <w:num w:numId="20" w16cid:durableId="695424975">
    <w:abstractNumId w:val="28"/>
  </w:num>
  <w:num w:numId="21" w16cid:durableId="349530788">
    <w:abstractNumId w:val="1"/>
  </w:num>
  <w:num w:numId="22" w16cid:durableId="1481312599">
    <w:abstractNumId w:val="22"/>
  </w:num>
  <w:num w:numId="23" w16cid:durableId="2040084208">
    <w:abstractNumId w:val="15"/>
  </w:num>
  <w:num w:numId="24" w16cid:durableId="1225527287">
    <w:abstractNumId w:val="35"/>
  </w:num>
  <w:num w:numId="25" w16cid:durableId="1524125317">
    <w:abstractNumId w:val="30"/>
  </w:num>
  <w:num w:numId="26" w16cid:durableId="560562013">
    <w:abstractNumId w:val="33"/>
  </w:num>
  <w:num w:numId="27" w16cid:durableId="360126887">
    <w:abstractNumId w:val="2"/>
  </w:num>
  <w:num w:numId="28" w16cid:durableId="548955153">
    <w:abstractNumId w:val="21"/>
  </w:num>
  <w:num w:numId="29" w16cid:durableId="1159343837">
    <w:abstractNumId w:val="34"/>
  </w:num>
  <w:num w:numId="30" w16cid:durableId="1183663522">
    <w:abstractNumId w:val="20"/>
  </w:num>
  <w:num w:numId="31" w16cid:durableId="71053253">
    <w:abstractNumId w:val="3"/>
  </w:num>
  <w:num w:numId="32" w16cid:durableId="861239375">
    <w:abstractNumId w:val="8"/>
  </w:num>
  <w:num w:numId="33" w16cid:durableId="1601529975">
    <w:abstractNumId w:val="29"/>
  </w:num>
  <w:num w:numId="34" w16cid:durableId="332687273">
    <w:abstractNumId w:val="9"/>
  </w:num>
  <w:num w:numId="35" w16cid:durableId="24142291">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979E2"/>
    <w:rsid w:val="001A2EE3"/>
    <w:rsid w:val="001A373E"/>
    <w:rsid w:val="001A6654"/>
    <w:rsid w:val="001B5B4C"/>
    <w:rsid w:val="001C08C5"/>
    <w:rsid w:val="001C3F55"/>
    <w:rsid w:val="001C69C1"/>
    <w:rsid w:val="001D633D"/>
    <w:rsid w:val="001D748D"/>
    <w:rsid w:val="001D7797"/>
    <w:rsid w:val="001E0DD0"/>
    <w:rsid w:val="001E4083"/>
    <w:rsid w:val="001E65A3"/>
    <w:rsid w:val="001E6ED3"/>
    <w:rsid w:val="001F1C6A"/>
    <w:rsid w:val="001F5FCD"/>
    <w:rsid w:val="001F75B4"/>
    <w:rsid w:val="00204249"/>
    <w:rsid w:val="002058FD"/>
    <w:rsid w:val="002208E6"/>
    <w:rsid w:val="00222C91"/>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183B"/>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06314"/>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2770A"/>
    <w:rsid w:val="004343B8"/>
    <w:rsid w:val="00434DF9"/>
    <w:rsid w:val="00435963"/>
    <w:rsid w:val="00441310"/>
    <w:rsid w:val="00447A70"/>
    <w:rsid w:val="00455665"/>
    <w:rsid w:val="00456C5F"/>
    <w:rsid w:val="00465A58"/>
    <w:rsid w:val="00466E83"/>
    <w:rsid w:val="00474BCF"/>
    <w:rsid w:val="00480094"/>
    <w:rsid w:val="00483207"/>
    <w:rsid w:val="00484438"/>
    <w:rsid w:val="00486EAC"/>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2AF8"/>
    <w:rsid w:val="007B4581"/>
    <w:rsid w:val="007B4F70"/>
    <w:rsid w:val="007B5893"/>
    <w:rsid w:val="007B7B04"/>
    <w:rsid w:val="007C0668"/>
    <w:rsid w:val="007C11F3"/>
    <w:rsid w:val="007C2057"/>
    <w:rsid w:val="007C7655"/>
    <w:rsid w:val="007C7A74"/>
    <w:rsid w:val="007D6150"/>
    <w:rsid w:val="007D6924"/>
    <w:rsid w:val="007E0409"/>
    <w:rsid w:val="007E3C5E"/>
    <w:rsid w:val="007F3E6F"/>
    <w:rsid w:val="007F4B5E"/>
    <w:rsid w:val="008000BF"/>
    <w:rsid w:val="00803176"/>
    <w:rsid w:val="008040D5"/>
    <w:rsid w:val="00807206"/>
    <w:rsid w:val="00814ED5"/>
    <w:rsid w:val="00814F0B"/>
    <w:rsid w:val="0081537F"/>
    <w:rsid w:val="0081708F"/>
    <w:rsid w:val="008223F5"/>
    <w:rsid w:val="00826CE0"/>
    <w:rsid w:val="00832576"/>
    <w:rsid w:val="00833407"/>
    <w:rsid w:val="00835A31"/>
    <w:rsid w:val="00837D01"/>
    <w:rsid w:val="008412E3"/>
    <w:rsid w:val="008425E1"/>
    <w:rsid w:val="00844766"/>
    <w:rsid w:val="00851B56"/>
    <w:rsid w:val="00853EE6"/>
    <w:rsid w:val="0085496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0F6B"/>
    <w:rsid w:val="00946235"/>
    <w:rsid w:val="00975387"/>
    <w:rsid w:val="0098070D"/>
    <w:rsid w:val="00985819"/>
    <w:rsid w:val="00985A79"/>
    <w:rsid w:val="00992483"/>
    <w:rsid w:val="009953CE"/>
    <w:rsid w:val="009A1781"/>
    <w:rsid w:val="009A280C"/>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2AF"/>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D78"/>
    <w:rsid w:val="00B93DCE"/>
    <w:rsid w:val="00B9580C"/>
    <w:rsid w:val="00BA32B4"/>
    <w:rsid w:val="00BA5CF3"/>
    <w:rsid w:val="00BA6AE2"/>
    <w:rsid w:val="00BC1C9F"/>
    <w:rsid w:val="00BC56E5"/>
    <w:rsid w:val="00BC5EDE"/>
    <w:rsid w:val="00BD6614"/>
    <w:rsid w:val="00BD6B80"/>
    <w:rsid w:val="00BD7A4D"/>
    <w:rsid w:val="00BE1AD2"/>
    <w:rsid w:val="00BE58C1"/>
    <w:rsid w:val="00BF09F7"/>
    <w:rsid w:val="00BF7694"/>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06F3"/>
    <w:rsid w:val="00CC42E7"/>
    <w:rsid w:val="00CC4518"/>
    <w:rsid w:val="00CD07BB"/>
    <w:rsid w:val="00CD2501"/>
    <w:rsid w:val="00CD4167"/>
    <w:rsid w:val="00CE7281"/>
    <w:rsid w:val="00CF1778"/>
    <w:rsid w:val="00CF32D4"/>
    <w:rsid w:val="00CF4FBA"/>
    <w:rsid w:val="00CF5246"/>
    <w:rsid w:val="00D0098E"/>
    <w:rsid w:val="00D02A89"/>
    <w:rsid w:val="00D02EAA"/>
    <w:rsid w:val="00D07926"/>
    <w:rsid w:val="00D1265B"/>
    <w:rsid w:val="00D15016"/>
    <w:rsid w:val="00D17271"/>
    <w:rsid w:val="00D2176E"/>
    <w:rsid w:val="00D32362"/>
    <w:rsid w:val="00D410FA"/>
    <w:rsid w:val="00D44802"/>
    <w:rsid w:val="00D469FD"/>
    <w:rsid w:val="00D52DC2"/>
    <w:rsid w:val="00D536D2"/>
    <w:rsid w:val="00D538BF"/>
    <w:rsid w:val="00D663F6"/>
    <w:rsid w:val="00D7042E"/>
    <w:rsid w:val="00D71084"/>
    <w:rsid w:val="00D72465"/>
    <w:rsid w:val="00D7272A"/>
    <w:rsid w:val="00D73BB4"/>
    <w:rsid w:val="00D944D6"/>
    <w:rsid w:val="00D97B99"/>
    <w:rsid w:val="00DA177F"/>
    <w:rsid w:val="00DA6878"/>
    <w:rsid w:val="00DB2847"/>
    <w:rsid w:val="00DB2A9D"/>
    <w:rsid w:val="00DC7194"/>
    <w:rsid w:val="00DD6F8A"/>
    <w:rsid w:val="00DF1CB6"/>
    <w:rsid w:val="00DF3826"/>
    <w:rsid w:val="00DF6518"/>
    <w:rsid w:val="00DF7CFE"/>
    <w:rsid w:val="00E03389"/>
    <w:rsid w:val="00E04901"/>
    <w:rsid w:val="00E0654F"/>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character" w:customStyle="1" w:styleId="t286pc">
    <w:name w:val="t286pc"/>
    <w:basedOn w:val="DefaultParagraphFont"/>
    <w:rsid w:val="00D0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00A3-0B1C-4340-8606-75E0FCAE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7702</Words>
  <Characters>54503</Characters>
  <Application>Microsoft Office Word</Application>
  <DocSecurity>0</DocSecurity>
  <Lines>454</Lines>
  <Paragraphs>124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62081</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3</cp:revision>
  <cp:lastPrinted>2022-02-22T11:05:00Z</cp:lastPrinted>
  <dcterms:created xsi:type="dcterms:W3CDTF">2026-06-30T07:18:00Z</dcterms:created>
  <dcterms:modified xsi:type="dcterms:W3CDTF">2026-06-30T07:24:00Z</dcterms:modified>
</cp:coreProperties>
</file>