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6FF5" w14:textId="104C3C09" w:rsidR="00A404EE" w:rsidRPr="00A404EE" w:rsidRDefault="00A404EE" w:rsidP="00A404EE">
      <w:pPr>
        <w:spacing w:line="240" w:lineRule="auto"/>
        <w:ind w:left="4320" w:firstLine="720"/>
        <w:jc w:val="right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sąlygų</w:t>
      </w:r>
      <w:proofErr w:type="spellEnd"/>
      <w:r w:rsidRPr="00A404EE">
        <w:rPr>
          <w:rFonts w:cstheme="minorHAnsi"/>
          <w:sz w:val="21"/>
          <w:szCs w:val="21"/>
        </w:rPr>
        <w:t xml:space="preserve"> 1 </w:t>
      </w:r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</w:t>
      </w:r>
      <w:r w:rsidRPr="00A404EE">
        <w:rPr>
          <w:rFonts w:cstheme="minorHAnsi"/>
          <w:sz w:val="21"/>
          <w:szCs w:val="21"/>
        </w:rPr>
        <w:t>riedas</w:t>
      </w:r>
      <w:proofErr w:type="spellEnd"/>
      <w:r w:rsidRPr="00A404EE">
        <w:rPr>
          <w:rFonts w:cstheme="minorHAnsi"/>
          <w:sz w:val="21"/>
          <w:szCs w:val="21"/>
        </w:rPr>
        <w:t xml:space="preserve"> „</w:t>
      </w:r>
      <w:proofErr w:type="spellStart"/>
      <w:r w:rsidRPr="00A404EE">
        <w:rPr>
          <w:rFonts w:cstheme="minorHAnsi"/>
          <w:sz w:val="21"/>
          <w:szCs w:val="21"/>
        </w:rPr>
        <w:t>Pagrindimas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dėl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viešojo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vykdymo</w:t>
      </w:r>
      <w:proofErr w:type="spellEnd"/>
      <w:r w:rsidRPr="00A404EE">
        <w:rPr>
          <w:rFonts w:cstheme="minorHAnsi"/>
          <w:sz w:val="21"/>
          <w:szCs w:val="21"/>
        </w:rPr>
        <w:t xml:space="preserve"> ne </w:t>
      </w:r>
      <w:proofErr w:type="spellStart"/>
      <w:r w:rsidRPr="00A404EE">
        <w:rPr>
          <w:rFonts w:cstheme="minorHAnsi"/>
          <w:sz w:val="21"/>
          <w:szCs w:val="21"/>
        </w:rPr>
        <w:t>iš</w:t>
      </w:r>
      <w:proofErr w:type="spellEnd"/>
      <w:r w:rsidRPr="00A404EE">
        <w:rPr>
          <w:rFonts w:cstheme="minorHAnsi"/>
          <w:sz w:val="21"/>
          <w:szCs w:val="21"/>
        </w:rPr>
        <w:t xml:space="preserve"> CPO“</w:t>
      </w:r>
    </w:p>
    <w:p w14:paraId="70A85A4D" w14:textId="77777777" w:rsidR="00A404EE" w:rsidRPr="00A404EE" w:rsidRDefault="00A404EE" w:rsidP="00A404EE">
      <w:pPr>
        <w:jc w:val="center"/>
        <w:rPr>
          <w:rFonts w:cstheme="minorHAnsi"/>
          <w:sz w:val="21"/>
          <w:szCs w:val="21"/>
        </w:rPr>
      </w:pPr>
    </w:p>
    <w:p w14:paraId="44BE104A" w14:textId="38C4CAE4" w:rsidR="00A404EE" w:rsidRPr="00A404EE" w:rsidRDefault="00A404EE" w:rsidP="00A404EE">
      <w:pPr>
        <w:jc w:val="center"/>
        <w:rPr>
          <w:rFonts w:cstheme="minorHAnsi"/>
          <w:b/>
          <w:bCs/>
          <w:color w:val="7030A0"/>
          <w:sz w:val="28"/>
          <w:szCs w:val="28"/>
        </w:rPr>
      </w:pPr>
      <w:r w:rsidRPr="00A404EE">
        <w:rPr>
          <w:rFonts w:cstheme="minorHAnsi"/>
          <w:b/>
          <w:bCs/>
          <w:sz w:val="28"/>
          <w:szCs w:val="28"/>
        </w:rPr>
        <w:t>PAGRINDIMAS DĖL VIEŠOJO PIRKIMO VYKDYMO NE IŠ CPO</w:t>
      </w:r>
    </w:p>
    <w:p w14:paraId="68257D2D" w14:textId="77777777" w:rsidR="00A404EE" w:rsidRDefault="00A404EE" w:rsidP="00A404EE">
      <w:pPr>
        <w:ind w:firstLine="720"/>
        <w:jc w:val="both"/>
        <w:rPr>
          <w:rFonts w:cstheme="minorHAnsi"/>
          <w:sz w:val="21"/>
          <w:szCs w:val="21"/>
        </w:rPr>
      </w:pPr>
    </w:p>
    <w:p w14:paraId="200DE711" w14:textId="02253316" w:rsidR="00AA3A5B" w:rsidRPr="00A404EE" w:rsidRDefault="0083796D" w:rsidP="00A404EE">
      <w:pPr>
        <w:ind w:firstLine="720"/>
        <w:jc w:val="both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Pagrindimas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dėl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viešojo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vykdymo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dėl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alkotesterių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metrologinės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paslaugų</w:t>
      </w:r>
      <w:proofErr w:type="spellEnd"/>
      <w:r w:rsidRPr="00A404EE">
        <w:rPr>
          <w:rFonts w:cstheme="minorHAnsi"/>
          <w:sz w:val="21"/>
          <w:szCs w:val="21"/>
        </w:rPr>
        <w:t xml:space="preserve"> ne </w:t>
      </w:r>
      <w:proofErr w:type="spellStart"/>
      <w:r w:rsidRPr="00A404EE">
        <w:rPr>
          <w:rFonts w:cstheme="minorHAnsi"/>
          <w:sz w:val="21"/>
          <w:szCs w:val="21"/>
        </w:rPr>
        <w:t>iš</w:t>
      </w:r>
      <w:proofErr w:type="spellEnd"/>
      <w:r w:rsidRPr="00A404EE">
        <w:rPr>
          <w:rFonts w:cstheme="minorHAnsi"/>
          <w:sz w:val="21"/>
          <w:szCs w:val="21"/>
        </w:rPr>
        <w:t xml:space="preserve"> CPO (kai </w:t>
      </w:r>
      <w:proofErr w:type="spellStart"/>
      <w:r w:rsidRPr="00A404EE">
        <w:rPr>
          <w:rFonts w:cstheme="minorHAnsi"/>
          <w:sz w:val="21"/>
          <w:szCs w:val="21"/>
        </w:rPr>
        <w:t>viešojo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vertė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didesnė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kaip</w:t>
      </w:r>
      <w:proofErr w:type="spellEnd"/>
      <w:r w:rsidRPr="00A404EE">
        <w:rPr>
          <w:rFonts w:cstheme="minorHAnsi"/>
          <w:sz w:val="21"/>
          <w:szCs w:val="21"/>
        </w:rPr>
        <w:t xml:space="preserve"> 15 </w:t>
      </w:r>
      <w:proofErr w:type="spellStart"/>
      <w:r w:rsidRPr="00A404EE">
        <w:rPr>
          <w:rFonts w:cstheme="minorHAnsi"/>
          <w:sz w:val="21"/>
          <w:szCs w:val="21"/>
        </w:rPr>
        <w:t>Eur</w:t>
      </w:r>
      <w:proofErr w:type="spellEnd"/>
      <w:r w:rsidRPr="00A404EE">
        <w:rPr>
          <w:rFonts w:cstheme="minorHAnsi"/>
          <w:sz w:val="21"/>
          <w:szCs w:val="21"/>
        </w:rPr>
        <w:t xml:space="preserve"> be PVM)</w:t>
      </w:r>
      <w:r w:rsidR="00A404EE" w:rsidRPr="00A404EE">
        <w:rPr>
          <w:rFonts w:cstheme="minorHAnsi"/>
          <w:sz w:val="21"/>
          <w:szCs w:val="21"/>
        </w:rPr>
        <w:t xml:space="preserve">. </w:t>
      </w:r>
      <w:proofErr w:type="spellStart"/>
      <w:r w:rsidR="00A404EE" w:rsidRPr="00A404EE">
        <w:rPr>
          <w:rFonts w:cstheme="minorHAnsi"/>
          <w:sz w:val="21"/>
          <w:szCs w:val="21"/>
        </w:rPr>
        <w:t>V</w:t>
      </w:r>
      <w:r w:rsidR="00AA3A5B" w:rsidRPr="00A404EE">
        <w:rPr>
          <w:rFonts w:cstheme="minorHAnsi"/>
          <w:sz w:val="21"/>
          <w:szCs w:val="21"/>
        </w:rPr>
        <w:t>adovaujantis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Mažos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vertės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pirkimų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tvarkos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aprašo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nuostatomis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Lietuvos </w:t>
      </w:r>
      <w:proofErr w:type="spellStart"/>
      <w:r w:rsidR="00AA3A5B" w:rsidRPr="00A404EE">
        <w:rPr>
          <w:rFonts w:cstheme="minorHAnsi"/>
          <w:sz w:val="21"/>
          <w:szCs w:val="21"/>
        </w:rPr>
        <w:t>probacijos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tarnyba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atlieka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alkotesterių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metrologinės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patikros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kalibravimo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paslaugų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pirkimą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savarankiškai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nesinaudodama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CPO LT </w:t>
      </w:r>
      <w:proofErr w:type="spellStart"/>
      <w:r w:rsidR="00AA3A5B" w:rsidRPr="00A404EE">
        <w:rPr>
          <w:rFonts w:cstheme="minorHAnsi"/>
          <w:sz w:val="21"/>
          <w:szCs w:val="21"/>
        </w:rPr>
        <w:t>paslaugomis</w:t>
      </w:r>
      <w:proofErr w:type="spellEnd"/>
    </w:p>
    <w:p w14:paraId="0AC6AB47" w14:textId="36CE7FF4" w:rsidR="0083796D" w:rsidRPr="00A404EE" w:rsidRDefault="0083796D" w:rsidP="00503934">
      <w:pPr>
        <w:ind w:firstLine="720"/>
        <w:jc w:val="both"/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 xml:space="preserve">CPO </w:t>
      </w:r>
      <w:proofErr w:type="spellStart"/>
      <w:r w:rsidRPr="00A404EE">
        <w:rPr>
          <w:rFonts w:cstheme="minorHAnsi"/>
          <w:sz w:val="21"/>
          <w:szCs w:val="21"/>
        </w:rPr>
        <w:t>kataloge</w:t>
      </w:r>
      <w:proofErr w:type="spellEnd"/>
      <w:r w:rsidRPr="00A404EE">
        <w:rPr>
          <w:rFonts w:cstheme="minorHAnsi"/>
          <w:sz w:val="21"/>
          <w:szCs w:val="21"/>
        </w:rPr>
        <w:t xml:space="preserve"> 2026 </w:t>
      </w:r>
      <w:proofErr w:type="spellStart"/>
      <w:r w:rsidRPr="00A404EE">
        <w:rPr>
          <w:rFonts w:cstheme="minorHAnsi"/>
          <w:sz w:val="21"/>
          <w:szCs w:val="21"/>
        </w:rPr>
        <w:t>metais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suformuotas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naujas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modulis</w:t>
      </w:r>
      <w:proofErr w:type="spellEnd"/>
      <w:r w:rsidRPr="00A404EE">
        <w:rPr>
          <w:rFonts w:cstheme="minorHAnsi"/>
          <w:sz w:val="21"/>
          <w:szCs w:val="21"/>
        </w:rPr>
        <w:t xml:space="preserve"> “</w:t>
      </w:r>
      <w:proofErr w:type="spellStart"/>
      <w:r w:rsidRPr="00A404EE">
        <w:rPr>
          <w:rFonts w:cstheme="minorHAnsi"/>
          <w:sz w:val="21"/>
          <w:szCs w:val="21"/>
        </w:rPr>
        <w:t>Metrologinės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>”</w:t>
      </w:r>
    </w:p>
    <w:p w14:paraId="3151E733" w14:textId="48D456DA" w:rsidR="0083796D" w:rsidRPr="00A404EE" w:rsidRDefault="0083796D">
      <w:pPr>
        <w:rPr>
          <w:rFonts w:cstheme="minorHAnsi"/>
          <w:sz w:val="21"/>
          <w:szCs w:val="21"/>
        </w:rPr>
      </w:pPr>
      <w:r w:rsidRPr="00A404EE">
        <w:rPr>
          <w:rFonts w:cstheme="minorHAnsi"/>
          <w:noProof/>
          <w:sz w:val="21"/>
          <w:szCs w:val="21"/>
        </w:rPr>
        <w:drawing>
          <wp:inline distT="0" distB="0" distL="0" distR="0" wp14:anchorId="1514CAD4" wp14:editId="59B5F47E">
            <wp:extent cx="4334480" cy="390580"/>
            <wp:effectExtent l="0" t="0" r="0" b="9525"/>
            <wp:docPr id="1784503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034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F72D6" w14:textId="7C02BCAE" w:rsidR="00F74789" w:rsidRPr="00A404EE" w:rsidRDefault="00503934">
      <w:pPr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i</w:t>
      </w:r>
      <w:r w:rsidR="00F74789" w:rsidRPr="00A404EE">
        <w:rPr>
          <w:rFonts w:cstheme="minorHAnsi"/>
          <w:sz w:val="21"/>
          <w:szCs w:val="21"/>
        </w:rPr>
        <w:t>r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kuriame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išskirtos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3 </w:t>
      </w:r>
      <w:proofErr w:type="spellStart"/>
      <w:r w:rsidR="00F74789" w:rsidRPr="00A404EE">
        <w:rPr>
          <w:rFonts w:cstheme="minorHAnsi"/>
          <w:sz w:val="21"/>
          <w:szCs w:val="21"/>
        </w:rPr>
        <w:t>kategorijos</w:t>
      </w:r>
      <w:proofErr w:type="spellEnd"/>
      <w:r w:rsidR="00F74789" w:rsidRPr="00A404EE">
        <w:rPr>
          <w:rFonts w:cstheme="minorHAnsi"/>
          <w:sz w:val="21"/>
          <w:szCs w:val="21"/>
        </w:rPr>
        <w:t>:</w:t>
      </w:r>
    </w:p>
    <w:p w14:paraId="7AAFBB27" w14:textId="74159378" w:rsidR="00F74789" w:rsidRPr="00A404EE" w:rsidRDefault="00F74789">
      <w:pPr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 xml:space="preserve">I </w:t>
      </w:r>
      <w:proofErr w:type="spellStart"/>
      <w:r w:rsidRPr="00A404EE">
        <w:rPr>
          <w:rFonts w:cstheme="minorHAnsi"/>
          <w:sz w:val="21"/>
          <w:szCs w:val="21"/>
        </w:rPr>
        <w:t>kategorija</w:t>
      </w:r>
      <w:proofErr w:type="spellEnd"/>
      <w:r w:rsidRPr="00A404EE">
        <w:rPr>
          <w:rFonts w:cstheme="minorHAnsi"/>
          <w:sz w:val="21"/>
          <w:szCs w:val="21"/>
        </w:rPr>
        <w:t xml:space="preserve">. </w:t>
      </w:r>
      <w:proofErr w:type="spellStart"/>
      <w:r w:rsidRPr="00A404EE">
        <w:rPr>
          <w:rFonts w:cstheme="minorHAnsi"/>
          <w:sz w:val="21"/>
          <w:szCs w:val="21"/>
        </w:rPr>
        <w:t>Matavimo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priemonių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metrologinės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teikiamos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akredituotų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laboratorijų</w:t>
      </w:r>
      <w:proofErr w:type="spellEnd"/>
    </w:p>
    <w:p w14:paraId="1741ECF6" w14:textId="77777777" w:rsidR="00F74789" w:rsidRPr="00A404EE" w:rsidRDefault="00F74789" w:rsidP="00F74789">
      <w:pPr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 xml:space="preserve">II </w:t>
      </w:r>
      <w:proofErr w:type="spellStart"/>
      <w:r w:rsidRPr="00A404EE">
        <w:rPr>
          <w:rFonts w:cstheme="minorHAnsi"/>
          <w:sz w:val="21"/>
          <w:szCs w:val="21"/>
        </w:rPr>
        <w:t>kategorija</w:t>
      </w:r>
      <w:proofErr w:type="spellEnd"/>
      <w:r w:rsidRPr="00A404EE">
        <w:rPr>
          <w:rFonts w:cstheme="minorHAnsi"/>
          <w:sz w:val="21"/>
          <w:szCs w:val="21"/>
        </w:rPr>
        <w:t xml:space="preserve">. </w:t>
      </w:r>
      <w:proofErr w:type="spellStart"/>
      <w:r w:rsidRPr="00A404EE">
        <w:rPr>
          <w:rFonts w:cstheme="minorHAnsi"/>
          <w:sz w:val="21"/>
          <w:szCs w:val="21"/>
        </w:rPr>
        <w:t>Matavimo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priemonių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metrologinės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</w:p>
    <w:p w14:paraId="0522253C" w14:textId="77777777" w:rsidR="00F74789" w:rsidRPr="00A404EE" w:rsidRDefault="00F74789" w:rsidP="00F74789">
      <w:pPr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 xml:space="preserve">III </w:t>
      </w:r>
      <w:proofErr w:type="spellStart"/>
      <w:r w:rsidRPr="00A404EE">
        <w:rPr>
          <w:rFonts w:cstheme="minorHAnsi"/>
          <w:sz w:val="21"/>
          <w:szCs w:val="21"/>
        </w:rPr>
        <w:t>kategorija</w:t>
      </w:r>
      <w:proofErr w:type="spellEnd"/>
      <w:r w:rsidRPr="00A404EE">
        <w:rPr>
          <w:rFonts w:cstheme="minorHAnsi"/>
          <w:sz w:val="21"/>
          <w:szCs w:val="21"/>
        </w:rPr>
        <w:t xml:space="preserve">. </w:t>
      </w:r>
      <w:proofErr w:type="spellStart"/>
      <w:r w:rsidRPr="00A404EE">
        <w:rPr>
          <w:rFonts w:cstheme="minorHAnsi"/>
          <w:sz w:val="21"/>
          <w:szCs w:val="21"/>
        </w:rPr>
        <w:t>Matavimo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priemonių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teikiamos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akredituotų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laboratorijų</w:t>
      </w:r>
      <w:proofErr w:type="spellEnd"/>
    </w:p>
    <w:p w14:paraId="49EA4EB0" w14:textId="08112BD9" w:rsidR="00F74789" w:rsidRPr="00A404EE" w:rsidRDefault="00F74789">
      <w:pPr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>I-</w:t>
      </w:r>
      <w:proofErr w:type="spellStart"/>
      <w:r w:rsidRPr="00A404EE">
        <w:rPr>
          <w:rFonts w:cstheme="minorHAnsi"/>
          <w:sz w:val="21"/>
          <w:szCs w:val="21"/>
        </w:rPr>
        <w:t>oje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šio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modulio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kategorijoje</w:t>
      </w:r>
      <w:proofErr w:type="spellEnd"/>
      <w:r w:rsidRPr="00A404EE">
        <w:rPr>
          <w:rFonts w:cstheme="minorHAnsi"/>
          <w:sz w:val="21"/>
          <w:szCs w:val="21"/>
        </w:rPr>
        <w:t xml:space="preserve"> (</w:t>
      </w:r>
      <w:proofErr w:type="spellStart"/>
      <w:r w:rsidRPr="00A404EE">
        <w:rPr>
          <w:rFonts w:cstheme="minorHAnsi"/>
          <w:sz w:val="21"/>
          <w:szCs w:val="21"/>
        </w:rPr>
        <w:t>kuri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apima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metrologinę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patikrą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paslaugas</w:t>
      </w:r>
      <w:proofErr w:type="spellEnd"/>
      <w:r w:rsidRPr="00A404EE">
        <w:rPr>
          <w:rFonts w:cstheme="minorHAnsi"/>
          <w:sz w:val="21"/>
          <w:szCs w:val="21"/>
        </w:rPr>
        <w:t xml:space="preserve">) </w:t>
      </w:r>
      <w:proofErr w:type="spellStart"/>
      <w:r w:rsidRPr="00A404EE">
        <w:rPr>
          <w:rFonts w:cstheme="minorHAnsi"/>
          <w:sz w:val="21"/>
          <w:szCs w:val="21"/>
        </w:rPr>
        <w:t>yra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išskirtos</w:t>
      </w:r>
      <w:proofErr w:type="spellEnd"/>
      <w:r w:rsidRPr="00A404EE">
        <w:rPr>
          <w:rFonts w:cstheme="minorHAnsi"/>
          <w:sz w:val="21"/>
          <w:szCs w:val="21"/>
        </w:rPr>
        <w:t xml:space="preserve"> 2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dalys</w:t>
      </w:r>
      <w:proofErr w:type="spellEnd"/>
      <w:r w:rsidRPr="00A404EE">
        <w:rPr>
          <w:rFonts w:cstheme="minorHAnsi"/>
          <w:sz w:val="21"/>
          <w:szCs w:val="21"/>
        </w:rPr>
        <w:t>:</w:t>
      </w:r>
    </w:p>
    <w:p w14:paraId="4909D81F" w14:textId="3EB77E6A" w:rsidR="00F74789" w:rsidRPr="00A404EE" w:rsidRDefault="00F74789">
      <w:pPr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 xml:space="preserve">1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dalis</w:t>
      </w:r>
      <w:proofErr w:type="spellEnd"/>
      <w:r w:rsidRPr="00A404EE">
        <w:rPr>
          <w:rFonts w:cstheme="minorHAnsi"/>
          <w:sz w:val="21"/>
          <w:szCs w:val="21"/>
        </w:rPr>
        <w:t xml:space="preserve">. </w:t>
      </w:r>
      <w:proofErr w:type="spellStart"/>
      <w:r w:rsidRPr="00A404EE">
        <w:rPr>
          <w:rFonts w:cstheme="minorHAnsi"/>
          <w:sz w:val="21"/>
          <w:szCs w:val="21"/>
        </w:rPr>
        <w:t>Matavimo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priemonių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metrologinės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akredituotos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teikiamos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akredituotų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laboratorijų</w:t>
      </w:r>
      <w:proofErr w:type="spellEnd"/>
    </w:p>
    <w:p w14:paraId="71D4F321" w14:textId="2B0609F4" w:rsidR="00F74789" w:rsidRPr="00A404EE" w:rsidRDefault="00F74789">
      <w:pPr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 xml:space="preserve">2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dalis</w:t>
      </w:r>
      <w:proofErr w:type="spellEnd"/>
      <w:r w:rsidRPr="00A404EE">
        <w:rPr>
          <w:rFonts w:cstheme="minorHAnsi"/>
          <w:sz w:val="21"/>
          <w:szCs w:val="21"/>
        </w:rPr>
        <w:t xml:space="preserve">. </w:t>
      </w:r>
      <w:proofErr w:type="spellStart"/>
      <w:r w:rsidRPr="00A404EE">
        <w:rPr>
          <w:rFonts w:cstheme="minorHAnsi"/>
          <w:sz w:val="21"/>
          <w:szCs w:val="21"/>
        </w:rPr>
        <w:t>Matavimo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priemonių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metrologinės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neakredituotos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teikiamos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akredituotų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laboratorijų</w:t>
      </w:r>
      <w:proofErr w:type="spellEnd"/>
    </w:p>
    <w:p w14:paraId="693B624D" w14:textId="13997ED5" w:rsidR="0083796D" w:rsidRPr="00A404EE" w:rsidRDefault="0083796D" w:rsidP="005872BF">
      <w:pPr>
        <w:ind w:firstLine="720"/>
        <w:jc w:val="both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Prieš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pirkimą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buvo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konsultuotasi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su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šio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modulio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konsultantu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Simu </w:t>
      </w:r>
      <w:proofErr w:type="spellStart"/>
      <w:r w:rsidR="00F74789" w:rsidRPr="00A404EE">
        <w:rPr>
          <w:rFonts w:cstheme="minorHAnsi"/>
          <w:sz w:val="21"/>
          <w:szCs w:val="21"/>
        </w:rPr>
        <w:t>Jurgelevičiu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(+37067619680) </w:t>
      </w:r>
      <w:proofErr w:type="spellStart"/>
      <w:r w:rsidR="00F74789" w:rsidRPr="00A404EE">
        <w:rPr>
          <w:rFonts w:cstheme="minorHAnsi"/>
          <w:sz w:val="21"/>
          <w:szCs w:val="21"/>
        </w:rPr>
        <w:t>ir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gauta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žodinė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informacija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F74789" w:rsidRPr="00A404EE">
        <w:rPr>
          <w:rFonts w:cstheme="minorHAnsi"/>
          <w:sz w:val="21"/>
          <w:szCs w:val="21"/>
        </w:rPr>
        <w:t>kad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r w:rsidR="005872BF" w:rsidRPr="00A404EE">
        <w:rPr>
          <w:rFonts w:cstheme="minorHAnsi"/>
          <w:sz w:val="21"/>
          <w:szCs w:val="21"/>
        </w:rPr>
        <w:t xml:space="preserve">I </w:t>
      </w:r>
      <w:proofErr w:type="spellStart"/>
      <w:r w:rsidR="005872BF" w:rsidRPr="00A404EE">
        <w:rPr>
          <w:rFonts w:cstheme="minorHAnsi"/>
          <w:sz w:val="21"/>
          <w:szCs w:val="21"/>
        </w:rPr>
        <w:t>kategorijoje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buvo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vykdytas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kitos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perkančiosios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organizacijos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pirkimas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ir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nebuvo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gautas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nė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vienas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pasiūlymas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. </w:t>
      </w:r>
      <w:r w:rsidR="00F74789" w:rsidRPr="00A404EE">
        <w:rPr>
          <w:rFonts w:cstheme="minorHAnsi"/>
          <w:sz w:val="21"/>
          <w:szCs w:val="21"/>
        </w:rPr>
        <w:t xml:space="preserve">CPO </w:t>
      </w:r>
      <w:proofErr w:type="spellStart"/>
      <w:r w:rsidR="00F74789" w:rsidRPr="00A404EE">
        <w:rPr>
          <w:rFonts w:cstheme="minorHAnsi"/>
          <w:sz w:val="21"/>
          <w:szCs w:val="21"/>
        </w:rPr>
        <w:t>aiškinantis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to </w:t>
      </w:r>
      <w:proofErr w:type="spellStart"/>
      <w:r w:rsidR="00F74789" w:rsidRPr="00A404EE">
        <w:rPr>
          <w:rFonts w:cstheme="minorHAnsi"/>
          <w:sz w:val="21"/>
          <w:szCs w:val="21"/>
        </w:rPr>
        <w:t>priežastis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išaiškėjo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F74789" w:rsidRPr="00A404EE">
        <w:rPr>
          <w:rFonts w:cstheme="minorHAnsi"/>
          <w:sz w:val="21"/>
          <w:szCs w:val="21"/>
        </w:rPr>
        <w:t>kad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 </w:t>
      </w:r>
      <w:proofErr w:type="spellStart"/>
      <w:r w:rsidR="00F74789" w:rsidRPr="00A404EE">
        <w:rPr>
          <w:rFonts w:cstheme="minorHAnsi"/>
          <w:sz w:val="21"/>
          <w:szCs w:val="21"/>
        </w:rPr>
        <w:t>šis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modulis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(</w:t>
      </w:r>
      <w:proofErr w:type="spellStart"/>
      <w:r w:rsidR="005872BF" w:rsidRPr="00A404EE">
        <w:rPr>
          <w:rFonts w:cstheme="minorHAnsi"/>
          <w:sz w:val="21"/>
          <w:szCs w:val="21"/>
        </w:rPr>
        <w:t>konkrečiai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kalibravimo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paslaugos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) </w:t>
      </w:r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nėra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pritaikytas</w:t>
      </w:r>
      <w:proofErr w:type="spellEnd"/>
      <w:r w:rsidR="00F74789" w:rsidRPr="00A404EE">
        <w:rPr>
          <w:rFonts w:cstheme="minorHAnsi"/>
          <w:sz w:val="21"/>
          <w:szCs w:val="21"/>
        </w:rPr>
        <w:t xml:space="preserve"> </w:t>
      </w:r>
      <w:proofErr w:type="spellStart"/>
      <w:r w:rsidR="00F74789" w:rsidRPr="00A404EE">
        <w:rPr>
          <w:rFonts w:cstheme="minorHAnsi"/>
          <w:sz w:val="21"/>
          <w:szCs w:val="21"/>
        </w:rPr>
        <w:t>alkotesteriams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5872BF" w:rsidRPr="00A404EE">
        <w:rPr>
          <w:rFonts w:cstheme="minorHAnsi"/>
          <w:sz w:val="21"/>
          <w:szCs w:val="21"/>
        </w:rPr>
        <w:t>ateityje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bus </w:t>
      </w:r>
      <w:proofErr w:type="spellStart"/>
      <w:r w:rsidR="005872BF" w:rsidRPr="00A404EE">
        <w:rPr>
          <w:rFonts w:cstheme="minorHAnsi"/>
          <w:sz w:val="21"/>
          <w:szCs w:val="21"/>
        </w:rPr>
        <w:t>vykdomi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šio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pirkimo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pakeitimai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. </w:t>
      </w:r>
      <w:proofErr w:type="spellStart"/>
      <w:r w:rsidR="005872BF" w:rsidRPr="00A404EE">
        <w:rPr>
          <w:rFonts w:cstheme="minorHAnsi"/>
          <w:sz w:val="21"/>
          <w:szCs w:val="21"/>
        </w:rPr>
        <w:t>Konsultantas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pasiūlė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nebent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per CPO </w:t>
      </w:r>
      <w:proofErr w:type="spellStart"/>
      <w:r w:rsidR="005872BF" w:rsidRPr="00A404EE">
        <w:rPr>
          <w:rFonts w:cstheme="minorHAnsi"/>
          <w:sz w:val="21"/>
          <w:szCs w:val="21"/>
        </w:rPr>
        <w:t>pirkti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tik </w:t>
      </w:r>
      <w:proofErr w:type="spellStart"/>
      <w:r w:rsidR="005872BF" w:rsidRPr="00A404EE">
        <w:rPr>
          <w:rFonts w:cstheme="minorHAnsi"/>
          <w:sz w:val="21"/>
          <w:szCs w:val="21"/>
        </w:rPr>
        <w:t>metrologinės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patikros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paslaugas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, o </w:t>
      </w:r>
      <w:proofErr w:type="spellStart"/>
      <w:r w:rsidR="005872BF" w:rsidRPr="00A404EE">
        <w:rPr>
          <w:rFonts w:cstheme="minorHAnsi"/>
          <w:sz w:val="21"/>
          <w:szCs w:val="21"/>
        </w:rPr>
        <w:t>kalibravimo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paslaugas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įsigyti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 </w:t>
      </w:r>
      <w:proofErr w:type="spellStart"/>
      <w:r w:rsidR="005872BF" w:rsidRPr="00A404EE">
        <w:rPr>
          <w:rFonts w:cstheme="minorHAnsi"/>
          <w:sz w:val="21"/>
          <w:szCs w:val="21"/>
        </w:rPr>
        <w:t>savarankiškai</w:t>
      </w:r>
      <w:proofErr w:type="spellEnd"/>
      <w:r w:rsidR="005872BF" w:rsidRPr="00A404EE">
        <w:rPr>
          <w:rFonts w:cstheme="minorHAnsi"/>
          <w:sz w:val="21"/>
          <w:szCs w:val="21"/>
        </w:rPr>
        <w:t xml:space="preserve">. </w:t>
      </w:r>
    </w:p>
    <w:p w14:paraId="704EB5ED" w14:textId="364B427B" w:rsidR="005872BF" w:rsidRPr="00A404EE" w:rsidRDefault="005872BF" w:rsidP="005872BF">
      <w:pPr>
        <w:ind w:firstLine="720"/>
        <w:jc w:val="both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Patikrinus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viešųjų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pirkimų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paviešintas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sutartis</w:t>
      </w:r>
      <w:proofErr w:type="spellEnd"/>
      <w:r w:rsidRPr="00A404EE">
        <w:rPr>
          <w:rStyle w:val="FootnoteReference"/>
          <w:rFonts w:cstheme="minorHAnsi"/>
          <w:sz w:val="21"/>
          <w:szCs w:val="21"/>
        </w:rPr>
        <w:footnoteReference w:id="1"/>
      </w:r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nustatyta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kad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įsigijo</w:t>
      </w:r>
      <w:proofErr w:type="spellEnd"/>
      <w:r w:rsidRPr="00A404EE">
        <w:rPr>
          <w:rFonts w:cstheme="minorHAnsi"/>
          <w:sz w:val="21"/>
          <w:szCs w:val="21"/>
        </w:rPr>
        <w:t xml:space="preserve"> tik:</w:t>
      </w:r>
    </w:p>
    <w:p w14:paraId="09D396C9" w14:textId="5F369C16" w:rsidR="005872BF" w:rsidRPr="00A404EE" w:rsidRDefault="005872BF" w:rsidP="005872B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lastRenderedPageBreak/>
        <w:t>Priešgaisrinės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apsaugos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gelbėjimo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departamentas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prie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Vidaus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reikalų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ministerijos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="00086982" w:rsidRPr="00A404EE">
        <w:rPr>
          <w:rFonts w:cstheme="minorHAnsi"/>
          <w:sz w:val="21"/>
          <w:szCs w:val="21"/>
        </w:rPr>
        <w:t>Sutarties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</w:t>
      </w:r>
      <w:proofErr w:type="spellStart"/>
      <w:r w:rsidR="00086982" w:rsidRPr="00A404EE">
        <w:rPr>
          <w:rFonts w:cstheme="minorHAnsi"/>
          <w:sz w:val="21"/>
          <w:szCs w:val="21"/>
        </w:rPr>
        <w:t>numeris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CPO391421-34607, </w:t>
      </w:r>
      <w:proofErr w:type="spellStart"/>
      <w:r w:rsidR="00086982" w:rsidRPr="00A404EE">
        <w:rPr>
          <w:rFonts w:cstheme="minorHAnsi"/>
          <w:sz w:val="21"/>
          <w:szCs w:val="21"/>
        </w:rPr>
        <w:t>sutarties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</w:t>
      </w:r>
      <w:proofErr w:type="spellStart"/>
      <w:r w:rsidR="00086982" w:rsidRPr="00A404EE">
        <w:rPr>
          <w:rFonts w:cstheme="minorHAnsi"/>
          <w:sz w:val="21"/>
          <w:szCs w:val="21"/>
        </w:rPr>
        <w:t>objektas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– </w:t>
      </w:r>
      <w:proofErr w:type="spellStart"/>
      <w:r w:rsidRPr="00A404EE">
        <w:rPr>
          <w:rFonts w:cstheme="minorHAnsi"/>
          <w:sz w:val="21"/>
          <w:szCs w:val="21"/>
        </w:rPr>
        <w:t>Radionuklidų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identifikatorius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Dozimetras</w:t>
      </w:r>
      <w:proofErr w:type="spellEnd"/>
      <w:r w:rsidRPr="00A404EE">
        <w:rPr>
          <w:rFonts w:cstheme="minorHAnsi"/>
          <w:sz w:val="21"/>
          <w:szCs w:val="21"/>
        </w:rPr>
        <w:t xml:space="preserve">, Dujų </w:t>
      </w:r>
      <w:proofErr w:type="spellStart"/>
      <w:r w:rsidRPr="00A404EE">
        <w:rPr>
          <w:rFonts w:cstheme="minorHAnsi"/>
          <w:sz w:val="21"/>
          <w:szCs w:val="21"/>
        </w:rPr>
        <w:t>nuotėkio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detektorius</w:t>
      </w:r>
      <w:proofErr w:type="spellEnd"/>
    </w:p>
    <w:p w14:paraId="59D2A5D8" w14:textId="5E1A348C" w:rsidR="005872BF" w:rsidRPr="00A404EE" w:rsidRDefault="005872BF" w:rsidP="005872B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A404EE">
        <w:rPr>
          <w:rFonts w:cstheme="minorHAnsi"/>
          <w:sz w:val="21"/>
          <w:szCs w:val="21"/>
        </w:rPr>
        <w:t>AB “</w:t>
      </w:r>
      <w:proofErr w:type="spellStart"/>
      <w:r w:rsidRPr="00A404EE">
        <w:rPr>
          <w:rFonts w:cstheme="minorHAnsi"/>
          <w:sz w:val="21"/>
          <w:szCs w:val="21"/>
        </w:rPr>
        <w:t>Panevėžio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energija</w:t>
      </w:r>
      <w:proofErr w:type="spellEnd"/>
      <w:r w:rsidRPr="00A404EE">
        <w:rPr>
          <w:rFonts w:cstheme="minorHAnsi"/>
          <w:sz w:val="21"/>
          <w:szCs w:val="21"/>
        </w:rPr>
        <w:t>”</w:t>
      </w:r>
      <w:r w:rsidR="00086982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086982" w:rsidRPr="00A404EE">
        <w:rPr>
          <w:rFonts w:cstheme="minorHAnsi"/>
          <w:sz w:val="21"/>
          <w:szCs w:val="21"/>
        </w:rPr>
        <w:t>sutarties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</w:t>
      </w:r>
      <w:proofErr w:type="spellStart"/>
      <w:r w:rsidR="00086982" w:rsidRPr="00A404EE">
        <w:rPr>
          <w:rFonts w:cstheme="minorHAnsi"/>
          <w:sz w:val="21"/>
          <w:szCs w:val="21"/>
        </w:rPr>
        <w:t>numeris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CPO388292-34815, </w:t>
      </w:r>
      <w:proofErr w:type="spellStart"/>
      <w:r w:rsidR="00086982" w:rsidRPr="00A404EE">
        <w:rPr>
          <w:rFonts w:cstheme="minorHAnsi"/>
          <w:sz w:val="21"/>
          <w:szCs w:val="21"/>
        </w:rPr>
        <w:t>sutarties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</w:t>
      </w:r>
      <w:proofErr w:type="spellStart"/>
      <w:r w:rsidR="00086982" w:rsidRPr="00A404EE">
        <w:rPr>
          <w:rFonts w:cstheme="minorHAnsi"/>
          <w:sz w:val="21"/>
          <w:szCs w:val="21"/>
        </w:rPr>
        <w:t>objektas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- </w:t>
      </w:r>
      <w:proofErr w:type="spellStart"/>
      <w:r w:rsidR="00086982" w:rsidRPr="00A404EE">
        <w:rPr>
          <w:rFonts w:cstheme="minorHAnsi"/>
          <w:sz w:val="21"/>
          <w:szCs w:val="21"/>
        </w:rPr>
        <w:t>Etaloninis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</w:t>
      </w:r>
      <w:proofErr w:type="spellStart"/>
      <w:r w:rsidR="00086982" w:rsidRPr="00A404EE">
        <w:rPr>
          <w:rFonts w:cstheme="minorHAnsi"/>
          <w:sz w:val="21"/>
          <w:szCs w:val="21"/>
        </w:rPr>
        <w:t>skaitmeninis</w:t>
      </w:r>
      <w:proofErr w:type="spellEnd"/>
      <w:r w:rsidR="00086982" w:rsidRPr="00A404EE">
        <w:rPr>
          <w:rFonts w:cstheme="minorHAnsi"/>
          <w:sz w:val="21"/>
          <w:szCs w:val="21"/>
        </w:rPr>
        <w:t xml:space="preserve"> </w:t>
      </w:r>
      <w:proofErr w:type="spellStart"/>
      <w:r w:rsidR="00086982" w:rsidRPr="00A404EE">
        <w:rPr>
          <w:rFonts w:cstheme="minorHAnsi"/>
          <w:sz w:val="21"/>
          <w:szCs w:val="21"/>
        </w:rPr>
        <w:t>manometras</w:t>
      </w:r>
      <w:proofErr w:type="spellEnd"/>
      <w:r w:rsidR="00086982" w:rsidRPr="00A404EE">
        <w:rPr>
          <w:rFonts w:cstheme="minorHAnsi"/>
          <w:sz w:val="21"/>
          <w:szCs w:val="21"/>
        </w:rPr>
        <w:t>.</w:t>
      </w:r>
    </w:p>
    <w:p w14:paraId="525DEBD9" w14:textId="192EFD48" w:rsidR="00086982" w:rsidRPr="00A404EE" w:rsidRDefault="00086982" w:rsidP="00086982">
      <w:pPr>
        <w:jc w:val="both"/>
        <w:rPr>
          <w:rFonts w:cstheme="minorHAnsi"/>
          <w:sz w:val="21"/>
          <w:szCs w:val="21"/>
        </w:rPr>
      </w:pPr>
      <w:r w:rsidRPr="00A404EE">
        <w:rPr>
          <w:rFonts w:cstheme="minorHAnsi"/>
          <w:noProof/>
          <w:sz w:val="21"/>
          <w:szCs w:val="21"/>
        </w:rPr>
        <w:drawing>
          <wp:inline distT="0" distB="0" distL="0" distR="0" wp14:anchorId="3AB779D0" wp14:editId="77BA00B5">
            <wp:extent cx="6613071" cy="1028700"/>
            <wp:effectExtent l="0" t="0" r="0" b="0"/>
            <wp:docPr id="269722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227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5441" cy="102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4355" w14:textId="498FDDDF" w:rsidR="00086982" w:rsidRPr="00A404EE" w:rsidRDefault="00086982" w:rsidP="00086982">
      <w:pPr>
        <w:ind w:firstLine="720"/>
        <w:jc w:val="both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Pirkimą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siūloma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neskaidyti</w:t>
      </w:r>
      <w:proofErr w:type="spellEnd"/>
      <w:r w:rsidRPr="00A404EE">
        <w:rPr>
          <w:rFonts w:cstheme="minorHAnsi"/>
          <w:sz w:val="21"/>
          <w:szCs w:val="21"/>
        </w:rPr>
        <w:t xml:space="preserve"> į </w:t>
      </w:r>
      <w:proofErr w:type="spellStart"/>
      <w:r w:rsidRPr="00A404EE">
        <w:rPr>
          <w:rFonts w:cstheme="minorHAnsi"/>
          <w:sz w:val="21"/>
          <w:szCs w:val="21"/>
        </w:rPr>
        <w:t>atskiras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pirkimo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objekto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dalis</w:t>
      </w:r>
      <w:proofErr w:type="spellEnd"/>
      <w:r w:rsidRPr="00A404EE">
        <w:rPr>
          <w:rFonts w:cstheme="minorHAnsi"/>
          <w:sz w:val="21"/>
          <w:szCs w:val="21"/>
        </w:rPr>
        <w:t xml:space="preserve"> ((I) </w:t>
      </w:r>
      <w:proofErr w:type="spellStart"/>
      <w:r w:rsidRPr="00A404EE">
        <w:rPr>
          <w:rFonts w:cstheme="minorHAnsi"/>
          <w:sz w:val="21"/>
          <w:szCs w:val="21"/>
        </w:rPr>
        <w:t>metrologinė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patikra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(II) </w:t>
      </w:r>
      <w:proofErr w:type="spellStart"/>
      <w:r w:rsidRPr="00A404EE">
        <w:rPr>
          <w:rFonts w:cstheme="minorHAnsi"/>
          <w:sz w:val="21"/>
          <w:szCs w:val="21"/>
        </w:rPr>
        <w:t>kalibravimo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 xml:space="preserve">), </w:t>
      </w:r>
      <w:proofErr w:type="spellStart"/>
      <w:r w:rsidRPr="00A404EE">
        <w:rPr>
          <w:rFonts w:cstheme="minorHAnsi"/>
          <w:sz w:val="21"/>
          <w:szCs w:val="21"/>
        </w:rPr>
        <w:t>kadangi</w:t>
      </w:r>
      <w:proofErr w:type="spellEnd"/>
      <w:r w:rsidRPr="00A404EE">
        <w:rPr>
          <w:rFonts w:cstheme="minorHAnsi"/>
          <w:sz w:val="21"/>
          <w:szCs w:val="21"/>
        </w:rPr>
        <w:t xml:space="preserve"> 2 </w:t>
      </w:r>
      <w:proofErr w:type="spellStart"/>
      <w:r w:rsidRPr="00A404EE">
        <w:rPr>
          <w:rFonts w:cstheme="minorHAnsi"/>
          <w:sz w:val="21"/>
          <w:szCs w:val="21"/>
        </w:rPr>
        <w:t>atskiros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sutartys</w:t>
      </w:r>
      <w:proofErr w:type="spellEnd"/>
      <w:r w:rsidRPr="00A404EE">
        <w:rPr>
          <w:rFonts w:cstheme="minorHAnsi"/>
          <w:sz w:val="21"/>
          <w:szCs w:val="21"/>
        </w:rPr>
        <w:t xml:space="preserve"> ne tik, </w:t>
      </w:r>
      <w:proofErr w:type="spellStart"/>
      <w:r w:rsidRPr="00A404EE">
        <w:rPr>
          <w:rFonts w:cstheme="minorHAnsi"/>
          <w:sz w:val="21"/>
          <w:szCs w:val="21"/>
        </w:rPr>
        <w:t>kad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netaupytų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žmogiškuosius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finansinius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išteklius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apsunkintų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administravimą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kontrolę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(</w:t>
      </w:r>
      <w:proofErr w:type="spellStart"/>
      <w:r w:rsidR="00AA3A5B" w:rsidRPr="00A404EE">
        <w:rPr>
          <w:rFonts w:cstheme="minorHAnsi"/>
          <w:sz w:val="21"/>
          <w:szCs w:val="21"/>
        </w:rPr>
        <w:t>dvigubos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sąskaitos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aktai</w:t>
      </w:r>
      <w:proofErr w:type="spellEnd"/>
      <w:r w:rsidR="00AA3A5B" w:rsidRPr="00A404EE">
        <w:rPr>
          <w:rFonts w:cstheme="minorHAnsi"/>
          <w:sz w:val="21"/>
          <w:szCs w:val="21"/>
        </w:rPr>
        <w:t>)</w:t>
      </w:r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priemonių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tikrinimo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procesą</w:t>
      </w:r>
      <w:proofErr w:type="spellEnd"/>
      <w:r w:rsidRPr="00A404EE">
        <w:rPr>
          <w:rFonts w:cstheme="minorHAnsi"/>
          <w:sz w:val="21"/>
          <w:szCs w:val="21"/>
        </w:rPr>
        <w:t xml:space="preserve">, bet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sukeltų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neigiamų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rizikos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valdymo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pasekm</w:t>
      </w:r>
      <w:r w:rsidR="00AA3A5B" w:rsidRPr="00A404EE">
        <w:rPr>
          <w:rFonts w:cstheme="minorHAnsi"/>
          <w:sz w:val="21"/>
          <w:szCs w:val="21"/>
        </w:rPr>
        <w:t>es</w:t>
      </w:r>
      <w:proofErr w:type="spellEnd"/>
      <w:r w:rsidRPr="00A404EE">
        <w:rPr>
          <w:rFonts w:cstheme="minorHAnsi"/>
          <w:sz w:val="21"/>
          <w:szCs w:val="21"/>
        </w:rPr>
        <w:t xml:space="preserve"> tarp </w:t>
      </w:r>
      <w:proofErr w:type="spellStart"/>
      <w:r w:rsidRPr="00A404EE">
        <w:rPr>
          <w:rFonts w:cstheme="minorHAnsi"/>
          <w:sz w:val="21"/>
          <w:szCs w:val="21"/>
        </w:rPr>
        <w:t>tiekėjų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. Skaidant </w:t>
      </w:r>
      <w:proofErr w:type="spellStart"/>
      <w:r w:rsidR="00AA3A5B" w:rsidRPr="00A404EE">
        <w:rPr>
          <w:rFonts w:cstheme="minorHAnsi"/>
          <w:sz w:val="21"/>
          <w:szCs w:val="21"/>
        </w:rPr>
        <w:t>pirkimą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alkotesterius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tektų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siųsti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vienam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tiekėjui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(</w:t>
      </w:r>
      <w:proofErr w:type="spellStart"/>
      <w:r w:rsidR="00AA3A5B" w:rsidRPr="00A404EE">
        <w:rPr>
          <w:rFonts w:cstheme="minorHAnsi"/>
          <w:sz w:val="21"/>
          <w:szCs w:val="21"/>
        </w:rPr>
        <w:t>kalibravimui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), </w:t>
      </w:r>
      <w:proofErr w:type="spellStart"/>
      <w:r w:rsidR="00AA3A5B" w:rsidRPr="00A404EE">
        <w:rPr>
          <w:rFonts w:cstheme="minorHAnsi"/>
          <w:sz w:val="21"/>
          <w:szCs w:val="21"/>
        </w:rPr>
        <w:t>laukti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sugrąžinant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o </w:t>
      </w:r>
      <w:proofErr w:type="spellStart"/>
      <w:r w:rsidR="00AA3A5B" w:rsidRPr="00A404EE">
        <w:rPr>
          <w:rFonts w:cstheme="minorHAnsi"/>
          <w:sz w:val="21"/>
          <w:szCs w:val="21"/>
        </w:rPr>
        <w:t>tada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siųsti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antram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tiekėjui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(</w:t>
      </w:r>
      <w:proofErr w:type="spellStart"/>
      <w:r w:rsidR="00AA3A5B" w:rsidRPr="00A404EE">
        <w:rPr>
          <w:rFonts w:cstheme="minorHAnsi"/>
          <w:sz w:val="21"/>
          <w:szCs w:val="21"/>
        </w:rPr>
        <w:t>patikrai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). Tai </w:t>
      </w:r>
      <w:proofErr w:type="spellStart"/>
      <w:r w:rsidR="00AA3A5B" w:rsidRPr="00A404EE">
        <w:rPr>
          <w:rFonts w:cstheme="minorHAnsi"/>
          <w:sz w:val="21"/>
          <w:szCs w:val="21"/>
        </w:rPr>
        <w:t>dvigubai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pailgintų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procedūrą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. Kol </w:t>
      </w:r>
      <w:proofErr w:type="spellStart"/>
      <w:r w:rsidR="00AA3A5B" w:rsidRPr="00A404EE">
        <w:rPr>
          <w:rFonts w:cstheme="minorHAnsi"/>
          <w:sz w:val="21"/>
          <w:szCs w:val="21"/>
        </w:rPr>
        <w:t>alkotesteris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keliautų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tarp </w:t>
      </w:r>
      <w:proofErr w:type="spellStart"/>
      <w:r w:rsidR="00AA3A5B" w:rsidRPr="00A404EE">
        <w:rPr>
          <w:rFonts w:cstheme="minorHAnsi"/>
          <w:sz w:val="21"/>
          <w:szCs w:val="21"/>
        </w:rPr>
        <w:t>dviejų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skirtingų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įmonių,būtų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prarandamas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laikas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. </w:t>
      </w:r>
      <w:proofErr w:type="spellStart"/>
      <w:r w:rsidR="00AA3A5B" w:rsidRPr="00A404EE">
        <w:rPr>
          <w:rFonts w:cstheme="minorHAnsi"/>
          <w:sz w:val="21"/>
          <w:szCs w:val="21"/>
        </w:rPr>
        <w:t>Perdavus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patikrą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tiekėjui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prietaisui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„</w:t>
      </w:r>
      <w:proofErr w:type="spellStart"/>
      <w:r w:rsidR="00AA3A5B" w:rsidRPr="00A404EE">
        <w:rPr>
          <w:rFonts w:cstheme="minorHAnsi"/>
          <w:sz w:val="21"/>
          <w:szCs w:val="21"/>
        </w:rPr>
        <w:t>neperėjus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“ </w:t>
      </w:r>
      <w:proofErr w:type="spellStart"/>
      <w:r w:rsidR="00AA3A5B" w:rsidRPr="00A404EE">
        <w:rPr>
          <w:rFonts w:cstheme="minorHAnsi"/>
          <w:sz w:val="21"/>
          <w:szCs w:val="21"/>
        </w:rPr>
        <w:t>patikros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antrasis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kaltins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pirmąjį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(</w:t>
      </w:r>
      <w:proofErr w:type="spellStart"/>
      <w:r w:rsidR="00AA3A5B" w:rsidRPr="00A404EE">
        <w:rPr>
          <w:rFonts w:cstheme="minorHAnsi"/>
          <w:sz w:val="21"/>
          <w:szCs w:val="21"/>
        </w:rPr>
        <w:t>kad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blogai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sukalibravo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). </w:t>
      </w:r>
      <w:proofErr w:type="spellStart"/>
      <w:r w:rsidR="00AA3A5B" w:rsidRPr="00A404EE">
        <w:rPr>
          <w:rFonts w:cstheme="minorHAnsi"/>
          <w:sz w:val="21"/>
          <w:szCs w:val="21"/>
        </w:rPr>
        <w:t>Pirmasis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teigs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kad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antrasis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naudoja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netikslią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įrangą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o </w:t>
      </w:r>
      <w:proofErr w:type="spellStart"/>
      <w:r w:rsidR="00AA3A5B" w:rsidRPr="00A404EE">
        <w:rPr>
          <w:rFonts w:cstheme="minorHAnsi"/>
          <w:sz w:val="21"/>
          <w:szCs w:val="21"/>
        </w:rPr>
        <w:t>tuo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tarpu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įstaiga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bus be </w:t>
      </w:r>
      <w:proofErr w:type="spellStart"/>
      <w:r w:rsidR="00AA3A5B" w:rsidRPr="00A404EE">
        <w:rPr>
          <w:rFonts w:cstheme="minorHAnsi"/>
          <w:sz w:val="21"/>
          <w:szCs w:val="21"/>
        </w:rPr>
        <w:t>alkotesterių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kol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bus </w:t>
      </w:r>
      <w:proofErr w:type="spellStart"/>
      <w:r w:rsidR="00AA3A5B" w:rsidRPr="00A404EE">
        <w:rPr>
          <w:rFonts w:cstheme="minorHAnsi"/>
          <w:sz w:val="21"/>
          <w:szCs w:val="21"/>
        </w:rPr>
        <w:t>sprendžiamos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problemos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. </w:t>
      </w:r>
      <w:proofErr w:type="spellStart"/>
      <w:r w:rsidR="00AA3A5B" w:rsidRPr="00A404EE">
        <w:rPr>
          <w:rFonts w:cstheme="minorHAnsi"/>
          <w:sz w:val="21"/>
          <w:szCs w:val="21"/>
        </w:rPr>
        <w:t>Nė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vienas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neprisiims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pilnos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atsakomybės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už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galutinį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rezultatą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o </w:t>
      </w:r>
      <w:proofErr w:type="spellStart"/>
      <w:r w:rsidR="00AA3A5B" w:rsidRPr="00A404EE">
        <w:rPr>
          <w:rFonts w:cstheme="minorHAnsi"/>
          <w:sz w:val="21"/>
          <w:szCs w:val="21"/>
        </w:rPr>
        <w:t>turint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vieną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sutartį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tas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pats </w:t>
      </w:r>
      <w:proofErr w:type="spellStart"/>
      <w:r w:rsidR="00AA3A5B" w:rsidRPr="00A404EE">
        <w:rPr>
          <w:rFonts w:cstheme="minorHAnsi"/>
          <w:sz w:val="21"/>
          <w:szCs w:val="21"/>
        </w:rPr>
        <w:t>tiekėjas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atsako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už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galutinį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rezultatą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– </w:t>
      </w:r>
      <w:proofErr w:type="spellStart"/>
      <w:r w:rsidR="00AA3A5B" w:rsidRPr="00A404EE">
        <w:rPr>
          <w:rFonts w:cstheme="minorHAnsi"/>
          <w:sz w:val="21"/>
          <w:szCs w:val="21"/>
        </w:rPr>
        <w:t>grąžinti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veikiantį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patikrą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praėjusį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alkotesterį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. </w:t>
      </w:r>
      <w:proofErr w:type="spellStart"/>
      <w:r w:rsidR="00AA3A5B" w:rsidRPr="00A404EE">
        <w:rPr>
          <w:rFonts w:cstheme="minorHAnsi"/>
          <w:sz w:val="21"/>
          <w:szCs w:val="21"/>
        </w:rPr>
        <w:t>Siunčiant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alkotesterius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skirtingiems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tiekėjams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dvigubai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padidėja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kurjerių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išlaidos</w:t>
      </w:r>
      <w:proofErr w:type="spellEnd"/>
      <w:r w:rsidR="00AA3A5B" w:rsidRPr="00A404EE">
        <w:rPr>
          <w:rFonts w:cstheme="minorHAnsi"/>
          <w:sz w:val="21"/>
          <w:szCs w:val="21"/>
        </w:rPr>
        <w:t>.</w:t>
      </w:r>
    </w:p>
    <w:p w14:paraId="7F107E20" w14:textId="3F5C20B3" w:rsidR="00AA3A5B" w:rsidRPr="00A404EE" w:rsidRDefault="00503934" w:rsidP="00086982">
      <w:pPr>
        <w:ind w:firstLine="720"/>
        <w:jc w:val="both"/>
        <w:rPr>
          <w:rFonts w:cstheme="minorHAnsi"/>
          <w:sz w:val="21"/>
          <w:szCs w:val="21"/>
        </w:rPr>
      </w:pPr>
      <w:proofErr w:type="spellStart"/>
      <w:r w:rsidRPr="00A404EE">
        <w:rPr>
          <w:rFonts w:cstheme="minorHAnsi"/>
          <w:sz w:val="21"/>
          <w:szCs w:val="21"/>
        </w:rPr>
        <w:t>Vadovaujantis</w:t>
      </w:r>
      <w:proofErr w:type="spellEnd"/>
      <w:r w:rsidRPr="00A404EE">
        <w:rPr>
          <w:rFonts w:cstheme="minorHAnsi"/>
          <w:sz w:val="21"/>
          <w:szCs w:val="21"/>
        </w:rPr>
        <w:t xml:space="preserve"> MVPTA 13.1. p. </w:t>
      </w:r>
      <w:proofErr w:type="spellStart"/>
      <w:r w:rsidRPr="00A404EE">
        <w:rPr>
          <w:rFonts w:cstheme="minorHAnsi"/>
          <w:sz w:val="21"/>
          <w:szCs w:val="21"/>
        </w:rPr>
        <w:t>perkančioji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organizacija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neprivalo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naudotis</w:t>
      </w:r>
      <w:proofErr w:type="spellEnd"/>
      <w:r w:rsidRPr="00A404EE">
        <w:rPr>
          <w:rFonts w:cstheme="minorHAnsi"/>
          <w:sz w:val="21"/>
          <w:szCs w:val="21"/>
        </w:rPr>
        <w:t xml:space="preserve"> CPO LT </w:t>
      </w:r>
      <w:proofErr w:type="spellStart"/>
      <w:r w:rsidRPr="00A404EE">
        <w:rPr>
          <w:rFonts w:cstheme="minorHAnsi"/>
          <w:sz w:val="21"/>
          <w:szCs w:val="21"/>
        </w:rPr>
        <w:t>paslaugomis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jeigu</w:t>
      </w:r>
      <w:proofErr w:type="spellEnd"/>
      <w:r w:rsidRPr="00A404EE">
        <w:rPr>
          <w:rFonts w:cstheme="minorHAnsi"/>
          <w:sz w:val="21"/>
          <w:szCs w:val="21"/>
        </w:rPr>
        <w:t xml:space="preserve"> CPO LT </w:t>
      </w:r>
      <w:proofErr w:type="spellStart"/>
      <w:r w:rsidRPr="00A404EE">
        <w:rPr>
          <w:rFonts w:cstheme="minorHAnsi"/>
          <w:sz w:val="21"/>
          <w:szCs w:val="21"/>
        </w:rPr>
        <w:t>kataloge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esančios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neatitinka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perkančiosios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organizacijos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poreikių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ir</w:t>
      </w:r>
      <w:proofErr w:type="spellEnd"/>
      <w:r w:rsidRPr="00A404EE">
        <w:rPr>
          <w:rFonts w:cstheme="minorHAnsi"/>
          <w:sz w:val="21"/>
          <w:szCs w:val="21"/>
        </w:rPr>
        <w:t xml:space="preserve"> ji </w:t>
      </w:r>
      <w:proofErr w:type="spellStart"/>
      <w:r w:rsidRPr="00A404EE">
        <w:rPr>
          <w:rFonts w:cstheme="minorHAnsi"/>
          <w:sz w:val="21"/>
          <w:szCs w:val="21"/>
        </w:rPr>
        <w:t>gali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paslaugas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įsigyti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efektyvesniu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būdu</w:t>
      </w:r>
      <w:proofErr w:type="spellEnd"/>
      <w:r w:rsidRPr="00A404EE">
        <w:rPr>
          <w:rFonts w:cstheme="minorHAnsi"/>
          <w:sz w:val="21"/>
          <w:szCs w:val="21"/>
        </w:rPr>
        <w:t xml:space="preserve">, </w:t>
      </w:r>
      <w:proofErr w:type="spellStart"/>
      <w:r w:rsidRPr="00A404EE">
        <w:rPr>
          <w:rFonts w:cstheme="minorHAnsi"/>
          <w:sz w:val="21"/>
          <w:szCs w:val="21"/>
        </w:rPr>
        <w:t>racionaliau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naudojant</w:t>
      </w:r>
      <w:proofErr w:type="spellEnd"/>
      <w:r w:rsidRPr="00A404EE">
        <w:rPr>
          <w:rFonts w:cstheme="minorHAnsi"/>
          <w:sz w:val="21"/>
          <w:szCs w:val="21"/>
        </w:rPr>
        <w:t xml:space="preserve"> tam </w:t>
      </w:r>
      <w:proofErr w:type="spellStart"/>
      <w:r w:rsidRPr="00A404EE">
        <w:rPr>
          <w:rFonts w:cstheme="minorHAnsi"/>
          <w:sz w:val="21"/>
          <w:szCs w:val="21"/>
        </w:rPr>
        <w:t>skirtas</w:t>
      </w:r>
      <w:proofErr w:type="spellEnd"/>
      <w:r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lėšas</w:t>
      </w:r>
      <w:proofErr w:type="spellEnd"/>
      <w:r w:rsidRPr="00A404EE">
        <w:rPr>
          <w:rFonts w:cstheme="minorHAnsi"/>
          <w:sz w:val="21"/>
          <w:szCs w:val="21"/>
        </w:rPr>
        <w:t xml:space="preserve">. </w:t>
      </w:r>
      <w:proofErr w:type="spellStart"/>
      <w:r w:rsidR="00AA3A5B" w:rsidRPr="00A404EE">
        <w:rPr>
          <w:rFonts w:cstheme="minorHAnsi"/>
          <w:sz w:val="21"/>
          <w:szCs w:val="21"/>
        </w:rPr>
        <w:t>Pirkimą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vykdant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savarankiškai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apjungiant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šias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technologiškai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neatsiejamas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paslaugas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į </w:t>
      </w:r>
      <w:proofErr w:type="spellStart"/>
      <w:r w:rsidR="00AA3A5B" w:rsidRPr="00A404EE">
        <w:rPr>
          <w:rFonts w:cstheme="minorHAnsi"/>
          <w:sz w:val="21"/>
          <w:szCs w:val="21"/>
        </w:rPr>
        <w:t>vieną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bendrą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sutartį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, </w:t>
      </w:r>
      <w:proofErr w:type="spellStart"/>
      <w:r w:rsidR="00AA3A5B" w:rsidRPr="00A404EE">
        <w:rPr>
          <w:rFonts w:cstheme="minorHAnsi"/>
          <w:sz w:val="21"/>
          <w:szCs w:val="21"/>
        </w:rPr>
        <w:t>užtikrinamas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vieno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langelio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principas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(</w:t>
      </w:r>
      <w:proofErr w:type="spellStart"/>
      <w:r w:rsidR="00AA3A5B" w:rsidRPr="00A404EE">
        <w:rPr>
          <w:rFonts w:cstheme="minorHAnsi"/>
          <w:sz w:val="21"/>
          <w:szCs w:val="21"/>
        </w:rPr>
        <w:t>atsakomybė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už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galutinį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rezultatą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tenka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vienam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tiekėjui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), </w:t>
      </w:r>
      <w:proofErr w:type="spellStart"/>
      <w:r w:rsidR="00AA3A5B" w:rsidRPr="00A404EE">
        <w:rPr>
          <w:rFonts w:cstheme="minorHAnsi"/>
          <w:sz w:val="21"/>
          <w:szCs w:val="21"/>
        </w:rPr>
        <w:t>sutrumpėja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Pr="00A404EE">
        <w:rPr>
          <w:rFonts w:cstheme="minorHAnsi"/>
          <w:sz w:val="21"/>
          <w:szCs w:val="21"/>
        </w:rPr>
        <w:t>alkotesterių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prastovos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laikas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ir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racionaliau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naudojamos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lėšos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bei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darbo</w:t>
      </w:r>
      <w:proofErr w:type="spellEnd"/>
      <w:r w:rsidR="00AA3A5B" w:rsidRPr="00A404EE">
        <w:rPr>
          <w:rFonts w:cstheme="minorHAnsi"/>
          <w:sz w:val="21"/>
          <w:szCs w:val="21"/>
        </w:rPr>
        <w:t xml:space="preserve"> </w:t>
      </w:r>
      <w:proofErr w:type="spellStart"/>
      <w:r w:rsidR="00AA3A5B" w:rsidRPr="00A404EE">
        <w:rPr>
          <w:rFonts w:cstheme="minorHAnsi"/>
          <w:sz w:val="21"/>
          <w:szCs w:val="21"/>
        </w:rPr>
        <w:t>ištekliai</w:t>
      </w:r>
      <w:proofErr w:type="spellEnd"/>
    </w:p>
    <w:p w14:paraId="10E5F4BA" w14:textId="77777777" w:rsidR="00086982" w:rsidRPr="00A404EE" w:rsidRDefault="00086982" w:rsidP="00086982">
      <w:pPr>
        <w:pStyle w:val="ListParagraph"/>
        <w:ind w:left="1080"/>
        <w:jc w:val="both"/>
        <w:rPr>
          <w:rFonts w:cstheme="minorHAnsi"/>
          <w:sz w:val="21"/>
          <w:szCs w:val="21"/>
        </w:rPr>
      </w:pPr>
    </w:p>
    <w:sectPr w:rsidR="00086982" w:rsidRPr="00A404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8794" w14:textId="77777777" w:rsidR="00BA7B8D" w:rsidRDefault="00BA7B8D" w:rsidP="005872BF">
      <w:pPr>
        <w:spacing w:after="0" w:line="240" w:lineRule="auto"/>
      </w:pPr>
      <w:r>
        <w:separator/>
      </w:r>
    </w:p>
  </w:endnote>
  <w:endnote w:type="continuationSeparator" w:id="0">
    <w:p w14:paraId="283702D8" w14:textId="77777777" w:rsidR="00BA7B8D" w:rsidRDefault="00BA7B8D" w:rsidP="0058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BC60" w14:textId="77777777" w:rsidR="00BA7B8D" w:rsidRDefault="00BA7B8D" w:rsidP="005872BF">
      <w:pPr>
        <w:spacing w:after="0" w:line="240" w:lineRule="auto"/>
      </w:pPr>
      <w:r>
        <w:separator/>
      </w:r>
    </w:p>
  </w:footnote>
  <w:footnote w:type="continuationSeparator" w:id="0">
    <w:p w14:paraId="65C4DE05" w14:textId="77777777" w:rsidR="00BA7B8D" w:rsidRDefault="00BA7B8D" w:rsidP="005872BF">
      <w:pPr>
        <w:spacing w:after="0" w:line="240" w:lineRule="auto"/>
      </w:pPr>
      <w:r>
        <w:continuationSeparator/>
      </w:r>
    </w:p>
  </w:footnote>
  <w:footnote w:id="1">
    <w:p w14:paraId="0DDE2BF4" w14:textId="70E3F041" w:rsidR="005872BF" w:rsidRPr="005872BF" w:rsidRDefault="005872BF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85E63">
          <w:rPr>
            <w:rStyle w:val="Hyperlink"/>
          </w:rPr>
          <w:t>https://eviesiejipirkimai.lt/index.php?option=com_vptpublic&amp;task=sutartys&amp;Itemid=109&amp;filter_show=1&amp;filter_limit=10&amp;vpt_unite=kalibravimo&amp;filter_tender=&amp;filter_number=&amp;filter_proctype=&amp;filter_dok_id=&amp;filter_authority=&amp;filter_jarcode=&amp;filter_purchaseCode=&amp;filter_cpv=&amp;filter_valuefrom=&amp;filter_valueto=&amp;filter_contractdate_from=2026-01-01&amp;filter_contractdate_to=&amp;filter_expirationdate_from=&amp;filter_expirationdate_to=&amp;filter_supplier=&amp;filter_supplier_jarcode=&amp;filter_agreement_type=3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125A5"/>
    <w:multiLevelType w:val="hybridMultilevel"/>
    <w:tmpl w:val="031A79FC"/>
    <w:lvl w:ilvl="0" w:tplc="F09E8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59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6D"/>
    <w:rsid w:val="00086982"/>
    <w:rsid w:val="001D467E"/>
    <w:rsid w:val="0047078E"/>
    <w:rsid w:val="0047423C"/>
    <w:rsid w:val="00503934"/>
    <w:rsid w:val="005872BF"/>
    <w:rsid w:val="007821B4"/>
    <w:rsid w:val="0083796D"/>
    <w:rsid w:val="008727A0"/>
    <w:rsid w:val="008E7E61"/>
    <w:rsid w:val="00A404EE"/>
    <w:rsid w:val="00AA3A5B"/>
    <w:rsid w:val="00B34243"/>
    <w:rsid w:val="00B42483"/>
    <w:rsid w:val="00BA4519"/>
    <w:rsid w:val="00BA7B8D"/>
    <w:rsid w:val="00BF6E5D"/>
    <w:rsid w:val="00E02130"/>
    <w:rsid w:val="00ED7FE6"/>
    <w:rsid w:val="00F1308E"/>
    <w:rsid w:val="00F74789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3E3"/>
  <w15:chartTrackingRefBased/>
  <w15:docId w15:val="{71AE60E0-4DAA-4C9E-86C9-3F63532C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9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9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96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8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2B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72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2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72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7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viesiejipirkimai.lt/index.php?option=com_vptpublic&amp;task=sutartys&amp;Itemid=109&amp;filter_show=1&amp;filter_limit=10&amp;vpt_unite=kalibravimo&amp;filter_tender=&amp;filter_number=&amp;filter_proctype=&amp;filter_dok_id=&amp;filter_authority=&amp;filter_jarcode=&amp;filter_purchaseCode=&amp;filter_cpv=&amp;filter_valuefrom=&amp;filter_valueto=&amp;filter_contractdate_from=2026-01-01&amp;filter_contractdate_to=&amp;filter_expirationdate_from=&amp;filter_expirationdate_to=&amp;filter_supplier=&amp;filter_supplier_jarcode=&amp;filter_agreement_typ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8D72-E4EF-4E20-8746-765DE830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Dilienė</dc:creator>
  <cp:lastModifiedBy>Jovita Dilienė</cp:lastModifiedBy>
  <cp:revision>3</cp:revision>
  <dcterms:created xsi:type="dcterms:W3CDTF">2026-07-16T12:46:00Z</dcterms:created>
  <dcterms:modified xsi:type="dcterms:W3CDTF">2026-07-17T12:16:00Z</dcterms:modified>
</cp:coreProperties>
</file>