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BD860" w14:textId="77777777" w:rsidR="001405BF" w:rsidRPr="00F50D14" w:rsidRDefault="001405BF" w:rsidP="001405BF">
      <w:pPr>
        <w:ind w:left="-1080" w:firstLine="1080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714" w:tblpY="1"/>
        <w:tblOverlap w:val="never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4"/>
        <w:gridCol w:w="992"/>
        <w:gridCol w:w="2127"/>
        <w:gridCol w:w="2551"/>
        <w:gridCol w:w="2410"/>
        <w:gridCol w:w="2268"/>
        <w:gridCol w:w="1701"/>
        <w:gridCol w:w="2977"/>
      </w:tblGrid>
      <w:tr w:rsidR="001405BF" w:rsidRPr="00F50D14" w14:paraId="036BD864" w14:textId="77777777" w:rsidTr="00E56E1D">
        <w:trPr>
          <w:cantSplit/>
        </w:trPr>
        <w:tc>
          <w:tcPr>
            <w:tcW w:w="12753" w:type="dxa"/>
            <w:gridSpan w:val="7"/>
          </w:tcPr>
          <w:p w14:paraId="036BD861" w14:textId="62FBE50A" w:rsidR="001405BF" w:rsidRPr="00F50D14" w:rsidRDefault="001405BF" w:rsidP="00E56E1D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  <w:proofErr w:type="spellStart"/>
            <w:r w:rsidRPr="00F50D14">
              <w:rPr>
                <w:b/>
                <w:sz w:val="28"/>
                <w:szCs w:val="28"/>
              </w:rPr>
              <w:t>Fakoemulsifikatorius</w:t>
            </w:r>
            <w:proofErr w:type="spellEnd"/>
            <w:r>
              <w:rPr>
                <w:b/>
                <w:sz w:val="28"/>
                <w:szCs w:val="28"/>
              </w:rPr>
              <w:t xml:space="preserve"> techninė specifikacija (perkamas 1 vnt.)</w:t>
            </w:r>
          </w:p>
          <w:p w14:paraId="036BD862" w14:textId="77777777" w:rsidR="001405BF" w:rsidRPr="00F50D14" w:rsidRDefault="001405BF" w:rsidP="00E56E1D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36BD863" w14:textId="77777777" w:rsidR="001405BF" w:rsidRPr="00F50D14" w:rsidRDefault="001405BF" w:rsidP="00E56E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Perkančiosios  organizacijos atsakymas</w:t>
            </w:r>
          </w:p>
        </w:tc>
      </w:tr>
      <w:tr w:rsidR="001405BF" w:rsidRPr="00F50D14" w14:paraId="036BD869" w14:textId="77777777" w:rsidTr="00E56E1D">
        <w:trPr>
          <w:cantSplit/>
        </w:trPr>
        <w:tc>
          <w:tcPr>
            <w:tcW w:w="3823" w:type="dxa"/>
            <w:gridSpan w:val="3"/>
          </w:tcPr>
          <w:p w14:paraId="036BD865" w14:textId="77777777" w:rsidR="001405BF" w:rsidRPr="00F50D14" w:rsidRDefault="001405BF" w:rsidP="00E56E1D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14:paraId="036BD866" w14:textId="77777777" w:rsidR="001405BF" w:rsidRPr="00F50D14" w:rsidRDefault="001405BF" w:rsidP="00E56E1D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Tiekėjo Nr. 1 pastabos</w:t>
            </w:r>
          </w:p>
        </w:tc>
        <w:tc>
          <w:tcPr>
            <w:tcW w:w="3969" w:type="dxa"/>
            <w:gridSpan w:val="2"/>
          </w:tcPr>
          <w:p w14:paraId="036BD867" w14:textId="77777777" w:rsidR="001405BF" w:rsidRDefault="001405BF" w:rsidP="00E56E1D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Tiekėjo Nr. 2 pastabos</w:t>
            </w:r>
          </w:p>
        </w:tc>
        <w:tc>
          <w:tcPr>
            <w:tcW w:w="2977" w:type="dxa"/>
            <w:vMerge/>
          </w:tcPr>
          <w:p w14:paraId="036BD868" w14:textId="77777777" w:rsidR="001405BF" w:rsidRDefault="001405BF" w:rsidP="00E56E1D">
            <w:pPr>
              <w:ind w:left="-1080" w:firstLine="1080"/>
              <w:jc w:val="center"/>
              <w:rPr>
                <w:b/>
                <w:sz w:val="28"/>
                <w:szCs w:val="28"/>
              </w:rPr>
            </w:pPr>
          </w:p>
        </w:tc>
      </w:tr>
      <w:tr w:rsidR="001405BF" w:rsidRPr="00F50D14" w14:paraId="036BD875" w14:textId="77777777" w:rsidTr="00DD6B3B">
        <w:trPr>
          <w:cantSplit/>
        </w:trPr>
        <w:tc>
          <w:tcPr>
            <w:tcW w:w="704" w:type="dxa"/>
            <w:vAlign w:val="center"/>
          </w:tcPr>
          <w:p w14:paraId="036BD86A" w14:textId="77777777" w:rsidR="001405BF" w:rsidRPr="00F50D14" w:rsidRDefault="001405BF" w:rsidP="00E56E1D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Eil.</w:t>
            </w:r>
          </w:p>
          <w:p w14:paraId="036BD86B" w14:textId="77777777" w:rsidR="001405BF" w:rsidRPr="00F50D14" w:rsidRDefault="001405BF" w:rsidP="00E56E1D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F50D14">
              <w:rPr>
                <w:b/>
                <w:sz w:val="20"/>
              </w:rPr>
              <w:t>Nr.</w:t>
            </w:r>
          </w:p>
        </w:tc>
        <w:tc>
          <w:tcPr>
            <w:tcW w:w="992" w:type="dxa"/>
            <w:vAlign w:val="center"/>
          </w:tcPr>
          <w:p w14:paraId="036BD86C" w14:textId="77777777" w:rsidR="001405BF" w:rsidRPr="00F50D14" w:rsidRDefault="001405BF" w:rsidP="00E56E1D">
            <w:pPr>
              <w:ind w:left="34"/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Parametrai (specifikacija)</w:t>
            </w:r>
          </w:p>
        </w:tc>
        <w:tc>
          <w:tcPr>
            <w:tcW w:w="2127" w:type="dxa"/>
            <w:vAlign w:val="center"/>
          </w:tcPr>
          <w:p w14:paraId="036BD86D" w14:textId="77777777" w:rsidR="001405BF" w:rsidRPr="00F50D14" w:rsidRDefault="001405BF" w:rsidP="00E56E1D">
            <w:pPr>
              <w:tabs>
                <w:tab w:val="left" w:pos="1802"/>
              </w:tabs>
              <w:jc w:val="center"/>
              <w:rPr>
                <w:b/>
                <w:bCs/>
                <w:sz w:val="20"/>
              </w:rPr>
            </w:pPr>
            <w:r w:rsidRPr="00F50D14">
              <w:rPr>
                <w:b/>
                <w:bCs/>
                <w:sz w:val="20"/>
              </w:rPr>
              <w:t>Reikalaujamos parametrų reikšmės</w:t>
            </w:r>
          </w:p>
        </w:tc>
        <w:tc>
          <w:tcPr>
            <w:tcW w:w="2551" w:type="dxa"/>
            <w:vAlign w:val="center"/>
          </w:tcPr>
          <w:p w14:paraId="036BD86E" w14:textId="77777777" w:rsidR="001405BF" w:rsidRPr="00CF24BD" w:rsidRDefault="001405BF" w:rsidP="00E56E1D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97604F">
              <w:rPr>
                <w:rFonts w:eastAsia="Cambria"/>
                <w:b/>
                <w:color w:val="FF0000"/>
                <w:sz w:val="22"/>
                <w:szCs w:val="22"/>
                <w:lang w:val="cs-CZ" w:eastAsia="en-US"/>
              </w:rPr>
              <w:t>Tiekėjo pastabos techninei specifikacijai</w:t>
            </w:r>
          </w:p>
        </w:tc>
        <w:tc>
          <w:tcPr>
            <w:tcW w:w="2410" w:type="dxa"/>
            <w:vAlign w:val="center"/>
          </w:tcPr>
          <w:p w14:paraId="036BD86F" w14:textId="77777777" w:rsidR="001405BF" w:rsidRPr="00CF24BD" w:rsidRDefault="001405BF" w:rsidP="00E56E1D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CF24BD">
              <w:rPr>
                <w:rFonts w:eastAsia="Cambria"/>
                <w:b/>
                <w:sz w:val="22"/>
                <w:szCs w:val="22"/>
                <w:lang w:val="cs-CZ" w:eastAsia="en-US"/>
              </w:rPr>
              <w:t>Tiekėjo siūlomų prametrų reikšmės</w:t>
            </w:r>
          </w:p>
          <w:p w14:paraId="036BD870" w14:textId="77777777" w:rsidR="001405BF" w:rsidRPr="004F3167" w:rsidRDefault="001405BF" w:rsidP="00E56E1D">
            <w:pPr>
              <w:jc w:val="center"/>
              <w:rPr>
                <w:i/>
                <w:iCs/>
                <w:sz w:val="20"/>
              </w:rPr>
            </w:pPr>
            <w:r w:rsidRPr="004F3167">
              <w:rPr>
                <w:i/>
                <w:iCs/>
                <w:color w:val="FF0000"/>
                <w:sz w:val="20"/>
              </w:rPr>
              <w:t>(pildyti nebūtina)</w:t>
            </w:r>
          </w:p>
        </w:tc>
        <w:tc>
          <w:tcPr>
            <w:tcW w:w="2268" w:type="dxa"/>
            <w:vAlign w:val="center"/>
          </w:tcPr>
          <w:p w14:paraId="036BD871" w14:textId="77777777" w:rsidR="001405BF" w:rsidRPr="00CF24BD" w:rsidRDefault="001405BF" w:rsidP="00E56E1D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97604F">
              <w:rPr>
                <w:rFonts w:eastAsia="Cambria"/>
                <w:b/>
                <w:color w:val="FF0000"/>
                <w:sz w:val="22"/>
                <w:szCs w:val="22"/>
                <w:lang w:val="cs-CZ" w:eastAsia="en-US"/>
              </w:rPr>
              <w:t>Tiekėjo pastabos techninei specifikacijai</w:t>
            </w:r>
          </w:p>
        </w:tc>
        <w:tc>
          <w:tcPr>
            <w:tcW w:w="1701" w:type="dxa"/>
            <w:vAlign w:val="center"/>
          </w:tcPr>
          <w:p w14:paraId="036BD872" w14:textId="77777777" w:rsidR="001405BF" w:rsidRPr="00CF24BD" w:rsidRDefault="001405BF" w:rsidP="00E56E1D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CF24BD">
              <w:rPr>
                <w:rFonts w:eastAsia="Cambria"/>
                <w:b/>
                <w:sz w:val="22"/>
                <w:szCs w:val="22"/>
                <w:lang w:val="cs-CZ" w:eastAsia="en-US"/>
              </w:rPr>
              <w:t>Tiekėjo siūlomų prametrų reikšmės</w:t>
            </w:r>
          </w:p>
          <w:p w14:paraId="036BD873" w14:textId="77777777" w:rsidR="001405BF" w:rsidRPr="00CF24BD" w:rsidRDefault="001405BF" w:rsidP="00E56E1D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  <w:r w:rsidRPr="004F3167">
              <w:rPr>
                <w:i/>
                <w:iCs/>
                <w:color w:val="FF0000"/>
                <w:sz w:val="20"/>
              </w:rPr>
              <w:t>(pildyti nebūtina)</w:t>
            </w:r>
          </w:p>
        </w:tc>
        <w:tc>
          <w:tcPr>
            <w:tcW w:w="2977" w:type="dxa"/>
            <w:vMerge/>
          </w:tcPr>
          <w:p w14:paraId="036BD874" w14:textId="77777777" w:rsidR="001405BF" w:rsidRPr="00CF24BD" w:rsidRDefault="001405BF" w:rsidP="00E56E1D">
            <w:pPr>
              <w:suppressAutoHyphens/>
              <w:autoSpaceDN w:val="0"/>
              <w:jc w:val="center"/>
              <w:textAlignment w:val="baseline"/>
              <w:rPr>
                <w:rFonts w:eastAsia="Cambria"/>
                <w:b/>
                <w:sz w:val="22"/>
                <w:szCs w:val="22"/>
                <w:lang w:val="cs-CZ" w:eastAsia="en-US"/>
              </w:rPr>
            </w:pPr>
          </w:p>
        </w:tc>
      </w:tr>
      <w:tr w:rsidR="001405BF" w:rsidRPr="00F50D14" w14:paraId="036BD87E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76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1.</w:t>
            </w:r>
          </w:p>
        </w:tc>
        <w:tc>
          <w:tcPr>
            <w:tcW w:w="992" w:type="dxa"/>
          </w:tcPr>
          <w:p w14:paraId="036BD877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Paskirtis</w:t>
            </w:r>
          </w:p>
        </w:tc>
        <w:tc>
          <w:tcPr>
            <w:tcW w:w="2127" w:type="dxa"/>
          </w:tcPr>
          <w:p w14:paraId="036BD878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Akies priekinio segmento chirurginėms operacijos</w:t>
            </w:r>
          </w:p>
        </w:tc>
        <w:tc>
          <w:tcPr>
            <w:tcW w:w="2551" w:type="dxa"/>
          </w:tcPr>
          <w:p w14:paraId="036BD879" w14:textId="77777777" w:rsidR="001405BF" w:rsidRPr="00F50D14" w:rsidRDefault="001405BF" w:rsidP="00E56E1D">
            <w:pPr>
              <w:rPr>
                <w:bCs/>
                <w:sz w:val="20"/>
              </w:rPr>
            </w:pPr>
          </w:p>
        </w:tc>
        <w:tc>
          <w:tcPr>
            <w:tcW w:w="2410" w:type="dxa"/>
          </w:tcPr>
          <w:p w14:paraId="036BD87A" w14:textId="77777777" w:rsidR="001405BF" w:rsidRPr="00F50D14" w:rsidRDefault="001405BF" w:rsidP="00E56E1D">
            <w:pPr>
              <w:rPr>
                <w:bCs/>
                <w:sz w:val="20"/>
              </w:rPr>
            </w:pPr>
          </w:p>
        </w:tc>
        <w:tc>
          <w:tcPr>
            <w:tcW w:w="2268" w:type="dxa"/>
          </w:tcPr>
          <w:p w14:paraId="036BD87B" w14:textId="77777777" w:rsidR="001405BF" w:rsidRPr="00F50D14" w:rsidRDefault="001405BF" w:rsidP="00E56E1D">
            <w:pPr>
              <w:rPr>
                <w:bCs/>
                <w:sz w:val="20"/>
              </w:rPr>
            </w:pPr>
          </w:p>
        </w:tc>
        <w:tc>
          <w:tcPr>
            <w:tcW w:w="1701" w:type="dxa"/>
          </w:tcPr>
          <w:p w14:paraId="036BD87C" w14:textId="77777777" w:rsidR="001405BF" w:rsidRPr="00F50D14" w:rsidRDefault="001405BF" w:rsidP="00E56E1D">
            <w:pPr>
              <w:rPr>
                <w:bCs/>
                <w:sz w:val="20"/>
              </w:rPr>
            </w:pPr>
          </w:p>
        </w:tc>
        <w:tc>
          <w:tcPr>
            <w:tcW w:w="2977" w:type="dxa"/>
          </w:tcPr>
          <w:p w14:paraId="036BD87D" w14:textId="77777777" w:rsidR="001405BF" w:rsidRPr="00F50D14" w:rsidRDefault="001405BF" w:rsidP="00E56E1D">
            <w:pPr>
              <w:rPr>
                <w:bCs/>
                <w:sz w:val="20"/>
              </w:rPr>
            </w:pPr>
          </w:p>
        </w:tc>
      </w:tr>
      <w:tr w:rsidR="001405BF" w:rsidRPr="00F50D14" w14:paraId="036BD88A" w14:textId="77777777" w:rsidTr="00DD6B3B">
        <w:tblPrEx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704" w:type="dxa"/>
          </w:tcPr>
          <w:p w14:paraId="036BD87F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2.</w:t>
            </w:r>
          </w:p>
        </w:tc>
        <w:tc>
          <w:tcPr>
            <w:tcW w:w="992" w:type="dxa"/>
          </w:tcPr>
          <w:p w14:paraId="036BD880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Lęšiuko šalinimo būdai</w:t>
            </w:r>
          </w:p>
        </w:tc>
        <w:tc>
          <w:tcPr>
            <w:tcW w:w="2127" w:type="dxa"/>
          </w:tcPr>
          <w:p w14:paraId="036BD881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Ultragarsinis (išilginis) arba </w:t>
            </w:r>
            <w:proofErr w:type="spellStart"/>
            <w:r w:rsidRPr="00F50D14">
              <w:rPr>
                <w:sz w:val="20"/>
              </w:rPr>
              <w:t>Torsialinis</w:t>
            </w:r>
            <w:proofErr w:type="spellEnd"/>
            <w:r w:rsidRPr="00F50D14">
              <w:rPr>
                <w:sz w:val="20"/>
              </w:rPr>
              <w:t xml:space="preserve"> (</w:t>
            </w:r>
            <w:proofErr w:type="spellStart"/>
            <w:r w:rsidRPr="00F50D14">
              <w:rPr>
                <w:sz w:val="20"/>
              </w:rPr>
              <w:t>torsional</w:t>
            </w:r>
            <w:proofErr w:type="spellEnd"/>
            <w:r w:rsidRPr="00F50D14">
              <w:rPr>
                <w:sz w:val="20"/>
              </w:rPr>
              <w:t xml:space="preserve"> angl.)</w:t>
            </w:r>
          </w:p>
        </w:tc>
        <w:tc>
          <w:tcPr>
            <w:tcW w:w="2551" w:type="dxa"/>
          </w:tcPr>
          <w:p w14:paraId="036BD882" w14:textId="77777777" w:rsidR="001405BF" w:rsidRPr="00181ACE" w:rsidRDefault="001405BF" w:rsidP="00E56E1D">
            <w:pPr>
              <w:pStyle w:val="Pagrindinistekstas"/>
              <w:rPr>
                <w:sz w:val="20"/>
                <w:lang w:val="pt-BR"/>
              </w:rPr>
            </w:pPr>
            <w:r w:rsidRPr="00181ACE">
              <w:rPr>
                <w:sz w:val="20"/>
                <w:lang w:val="pt-BR"/>
              </w:rPr>
              <w:t>Torsialinis ultragarsinis lęšiuko šalinimo būdas yra efektyvesnis ir saugesnis. Tyrimai rodo, kad šiuo būdu šalinant lęšiuką yra sunaudojama mažiau energijos ir yra mažiau pažeidžiamas ragenos endotelis.</w:t>
            </w:r>
          </w:p>
          <w:p w14:paraId="036BD883" w14:textId="77777777" w:rsidR="001405BF" w:rsidRPr="003D7355" w:rsidRDefault="001405BF" w:rsidP="00E56E1D">
            <w:pPr>
              <w:pStyle w:val="Pagrindinistekstas"/>
              <w:rPr>
                <w:sz w:val="20"/>
              </w:rPr>
            </w:pPr>
            <w:r w:rsidRPr="00181ACE">
              <w:rPr>
                <w:sz w:val="20"/>
                <w:lang w:val="pt-BR"/>
              </w:rPr>
              <w:t>Torsialinis tur</w:t>
            </w:r>
            <w:proofErr w:type="spellStart"/>
            <w:r>
              <w:rPr>
                <w:sz w:val="20"/>
              </w:rPr>
              <w:t>ėtų</w:t>
            </w:r>
            <w:proofErr w:type="spellEnd"/>
            <w:r>
              <w:rPr>
                <w:sz w:val="20"/>
              </w:rPr>
              <w:t xml:space="preserve"> būti kaip kokybinis parametras. Ultragarsinis jau beveik nebenaudojamas. Galimybė pateikti prietaisą tik su ultragarsiniu šalinimo būdu -  žemai nuleistas reikalavimo kokybei lygis.</w:t>
            </w:r>
          </w:p>
          <w:p w14:paraId="036BD884" w14:textId="77777777" w:rsidR="001405BF" w:rsidRPr="00181ACE" w:rsidRDefault="001405BF" w:rsidP="00E56E1D">
            <w:pPr>
              <w:pStyle w:val="Pagrindinistekstas"/>
              <w:rPr>
                <w:sz w:val="20"/>
              </w:rPr>
            </w:pPr>
            <w:r w:rsidRPr="00181ACE">
              <w:rPr>
                <w:sz w:val="20"/>
              </w:rPr>
              <w:t>https://crstodayeurope.com/articles/2008-may/0508_06-php/</w:t>
            </w:r>
          </w:p>
          <w:p w14:paraId="036BD885" w14:textId="77777777" w:rsidR="001405BF" w:rsidRPr="00F50D14" w:rsidRDefault="001405BF" w:rsidP="00E56E1D">
            <w:pPr>
              <w:pStyle w:val="Pagrindinistekstas"/>
              <w:rPr>
                <w:sz w:val="20"/>
              </w:rPr>
            </w:pPr>
          </w:p>
        </w:tc>
        <w:tc>
          <w:tcPr>
            <w:tcW w:w="2410" w:type="dxa"/>
          </w:tcPr>
          <w:p w14:paraId="036BD886" w14:textId="77777777" w:rsidR="001405BF" w:rsidRPr="00F50D14" w:rsidRDefault="001405BF" w:rsidP="00E56E1D">
            <w:pPr>
              <w:pStyle w:val="Pagrindinistekstas"/>
              <w:rPr>
                <w:sz w:val="20"/>
              </w:rPr>
            </w:pPr>
            <w:proofErr w:type="spellStart"/>
            <w:r>
              <w:rPr>
                <w:sz w:val="20"/>
              </w:rPr>
              <w:t>Torsialinis</w:t>
            </w:r>
            <w:proofErr w:type="spellEnd"/>
            <w:r>
              <w:rPr>
                <w:sz w:val="20"/>
              </w:rPr>
              <w:t xml:space="preserve"> ir ultragarsinis</w:t>
            </w:r>
          </w:p>
        </w:tc>
        <w:tc>
          <w:tcPr>
            <w:tcW w:w="2268" w:type="dxa"/>
          </w:tcPr>
          <w:p w14:paraId="036BD887" w14:textId="77777777" w:rsidR="001405BF" w:rsidRDefault="001405BF" w:rsidP="00E56E1D">
            <w:pPr>
              <w:pStyle w:val="Pagrindinistekstas"/>
              <w:rPr>
                <w:sz w:val="20"/>
              </w:rPr>
            </w:pPr>
          </w:p>
        </w:tc>
        <w:tc>
          <w:tcPr>
            <w:tcW w:w="1701" w:type="dxa"/>
          </w:tcPr>
          <w:p w14:paraId="036BD888" w14:textId="77777777" w:rsidR="001405BF" w:rsidRDefault="001405BF" w:rsidP="00E56E1D">
            <w:pPr>
              <w:pStyle w:val="Pagrindinistekstas"/>
              <w:rPr>
                <w:sz w:val="20"/>
              </w:rPr>
            </w:pPr>
          </w:p>
        </w:tc>
        <w:tc>
          <w:tcPr>
            <w:tcW w:w="2977" w:type="dxa"/>
          </w:tcPr>
          <w:p w14:paraId="355F2A0E" w14:textId="77777777" w:rsidR="0095456B" w:rsidRDefault="0095456B" w:rsidP="00E56E1D">
            <w:pPr>
              <w:pStyle w:val="Pagrindinistekstas"/>
              <w:rPr>
                <w:sz w:val="20"/>
              </w:rPr>
            </w:pPr>
            <w:proofErr w:type="spellStart"/>
            <w:r w:rsidRPr="0095456B">
              <w:rPr>
                <w:sz w:val="20"/>
              </w:rPr>
              <w:t>Torsialinis</w:t>
            </w:r>
            <w:proofErr w:type="spellEnd"/>
            <w:r w:rsidRPr="0095456B">
              <w:rPr>
                <w:sz w:val="20"/>
              </w:rPr>
              <w:t xml:space="preserve"> - </w:t>
            </w:r>
            <w:proofErr w:type="spellStart"/>
            <w:r w:rsidRPr="0095456B">
              <w:rPr>
                <w:sz w:val="20"/>
              </w:rPr>
              <w:t>Alcon</w:t>
            </w:r>
            <w:proofErr w:type="spellEnd"/>
            <w:r w:rsidRPr="0095456B">
              <w:rPr>
                <w:sz w:val="20"/>
              </w:rPr>
              <w:t xml:space="preserve"> patentuota funkcija. Niekas daugiau negali jos pasiūlyti. Reikalaujama parametro reikšmė neriboja galimybės siūlyti tiek ultragarsinį (išilginį), tiek </w:t>
            </w:r>
            <w:proofErr w:type="spellStart"/>
            <w:r w:rsidRPr="0095456B">
              <w:rPr>
                <w:sz w:val="20"/>
              </w:rPr>
              <w:t>torsialinį</w:t>
            </w:r>
            <w:proofErr w:type="spellEnd"/>
            <w:r w:rsidRPr="0095456B">
              <w:rPr>
                <w:sz w:val="20"/>
              </w:rPr>
              <w:t xml:space="preserve"> (</w:t>
            </w:r>
            <w:proofErr w:type="spellStart"/>
            <w:r w:rsidRPr="0095456B">
              <w:rPr>
                <w:sz w:val="20"/>
              </w:rPr>
              <w:t>torsional</w:t>
            </w:r>
            <w:proofErr w:type="spellEnd"/>
            <w:r w:rsidRPr="0095456B">
              <w:rPr>
                <w:sz w:val="20"/>
              </w:rPr>
              <w:t xml:space="preserve"> angl.) lęšiuko šalinimo būdai. </w:t>
            </w:r>
          </w:p>
          <w:p w14:paraId="036BD889" w14:textId="5DEF7B06" w:rsidR="001405BF" w:rsidRDefault="0095456B" w:rsidP="00E56E1D">
            <w:pPr>
              <w:pStyle w:val="Pagrindinistekstas"/>
              <w:rPr>
                <w:sz w:val="20"/>
              </w:rPr>
            </w:pPr>
            <w:r>
              <w:rPr>
                <w:sz w:val="20"/>
              </w:rPr>
              <w:t xml:space="preserve">Perkančioji organizacija </w:t>
            </w:r>
            <w:r w:rsidR="00A14FC9">
              <w:rPr>
                <w:sz w:val="20"/>
              </w:rPr>
              <w:t>r</w:t>
            </w:r>
            <w:r w:rsidRPr="0095456B">
              <w:rPr>
                <w:sz w:val="20"/>
              </w:rPr>
              <w:t>eikalavi</w:t>
            </w:r>
            <w:r w:rsidR="00A14FC9">
              <w:rPr>
                <w:sz w:val="20"/>
              </w:rPr>
              <w:t>mo</w:t>
            </w:r>
            <w:r w:rsidRPr="0095456B">
              <w:rPr>
                <w:sz w:val="20"/>
              </w:rPr>
              <w:t xml:space="preserve"> nekeičia.</w:t>
            </w:r>
          </w:p>
        </w:tc>
      </w:tr>
      <w:tr w:rsidR="001405BF" w:rsidRPr="00F50D14" w14:paraId="036BD8A0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8B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3.</w:t>
            </w:r>
          </w:p>
        </w:tc>
        <w:tc>
          <w:tcPr>
            <w:tcW w:w="992" w:type="dxa"/>
          </w:tcPr>
          <w:p w14:paraId="036BD88C" w14:textId="77777777" w:rsidR="001405BF" w:rsidRPr="00F50D14" w:rsidRDefault="001405BF" w:rsidP="00E56E1D">
            <w:pPr>
              <w:rPr>
                <w:sz w:val="20"/>
              </w:rPr>
            </w:pPr>
            <w:proofErr w:type="spellStart"/>
            <w:r w:rsidRPr="00F50D14">
              <w:rPr>
                <w:sz w:val="20"/>
              </w:rPr>
              <w:t>Fakoemulsifikacij</w:t>
            </w:r>
            <w:r w:rsidRPr="00F50D14">
              <w:rPr>
                <w:sz w:val="20"/>
              </w:rPr>
              <w:lastRenderedPageBreak/>
              <w:t>os</w:t>
            </w:r>
            <w:proofErr w:type="spellEnd"/>
            <w:r w:rsidRPr="00F50D14">
              <w:rPr>
                <w:sz w:val="20"/>
              </w:rPr>
              <w:t xml:space="preserve"> režimai</w:t>
            </w:r>
          </w:p>
        </w:tc>
        <w:tc>
          <w:tcPr>
            <w:tcW w:w="2127" w:type="dxa"/>
          </w:tcPr>
          <w:p w14:paraId="036BD88D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1. Maksimali antgalio eiga ≥ 0.065 mm;</w:t>
            </w:r>
          </w:p>
          <w:p w14:paraId="036BD88E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 xml:space="preserve">2. ribose nuo 32.0 iki 43.5 </w:t>
            </w:r>
            <w:proofErr w:type="spellStart"/>
            <w:r w:rsidRPr="00F50D14">
              <w:rPr>
                <w:sz w:val="20"/>
              </w:rPr>
              <w:t>kHz</w:t>
            </w:r>
            <w:proofErr w:type="spellEnd"/>
            <w:r w:rsidRPr="00F50D14">
              <w:rPr>
                <w:sz w:val="20"/>
              </w:rPr>
              <w:t xml:space="preserve"> dažnio judesiai;</w:t>
            </w:r>
          </w:p>
          <w:p w14:paraId="036BD88F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3. Nepertraukiamas rėžimas (“</w:t>
            </w:r>
            <w:proofErr w:type="spellStart"/>
            <w:r w:rsidRPr="00F50D14">
              <w:rPr>
                <w:sz w:val="20"/>
              </w:rPr>
              <w:t>continuous</w:t>
            </w:r>
            <w:proofErr w:type="spellEnd"/>
            <w:r w:rsidRPr="00F50D14">
              <w:rPr>
                <w:sz w:val="20"/>
              </w:rPr>
              <w:t>”);</w:t>
            </w:r>
          </w:p>
          <w:p w14:paraId="036BD890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4. Pulsuojantis rėžimas („pulse“);</w:t>
            </w:r>
          </w:p>
          <w:p w14:paraId="036BD891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5. Paketinis rėžimas („</w:t>
            </w:r>
            <w:proofErr w:type="spellStart"/>
            <w:r w:rsidRPr="00F50D14">
              <w:rPr>
                <w:sz w:val="20"/>
              </w:rPr>
              <w:t>burst</w:t>
            </w:r>
            <w:proofErr w:type="spellEnd"/>
            <w:r w:rsidRPr="00F50D14">
              <w:rPr>
                <w:sz w:val="20"/>
              </w:rPr>
              <w:t>“).</w:t>
            </w:r>
          </w:p>
        </w:tc>
        <w:tc>
          <w:tcPr>
            <w:tcW w:w="2551" w:type="dxa"/>
          </w:tcPr>
          <w:p w14:paraId="036BD892" w14:textId="77777777" w:rsidR="001405BF" w:rsidRPr="00E55F5D" w:rsidRDefault="001405BF" w:rsidP="00E56E1D">
            <w:pPr>
              <w:rPr>
                <w:sz w:val="20"/>
              </w:rPr>
            </w:pPr>
            <w:r w:rsidRPr="00181ACE">
              <w:rPr>
                <w:sz w:val="20"/>
              </w:rPr>
              <w:lastRenderedPageBreak/>
              <w:t xml:space="preserve">2. </w:t>
            </w:r>
            <w:r>
              <w:rPr>
                <w:sz w:val="20"/>
              </w:rPr>
              <w:t xml:space="preserve">Neaiškus reikalavimas. Judesiai būna konkretaus dažnio kuris nėra </w:t>
            </w:r>
            <w:r>
              <w:rPr>
                <w:sz w:val="20"/>
              </w:rPr>
              <w:lastRenderedPageBreak/>
              <w:t>reguliuojamas, todėl tikslinga būtų nurodyti pageidaujamą dažnį.</w:t>
            </w:r>
          </w:p>
        </w:tc>
        <w:tc>
          <w:tcPr>
            <w:tcW w:w="2410" w:type="dxa"/>
          </w:tcPr>
          <w:p w14:paraId="036BD893" w14:textId="77777777" w:rsidR="001405BF" w:rsidRPr="002C3D0C" w:rsidRDefault="001405BF" w:rsidP="00E56E1D">
            <w:pPr>
              <w:rPr>
                <w:sz w:val="20"/>
              </w:rPr>
            </w:pPr>
            <w:r w:rsidRPr="00181ACE">
              <w:rPr>
                <w:sz w:val="20"/>
                <w:lang w:val="pt-BR"/>
              </w:rPr>
              <w:lastRenderedPageBreak/>
              <w:t>2. 32.0 kHz torsialiniam ir 43.5 kHz ultragarsiniam (i</w:t>
            </w:r>
            <w:proofErr w:type="spellStart"/>
            <w:r>
              <w:rPr>
                <w:sz w:val="20"/>
              </w:rPr>
              <w:t>šilginiam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268" w:type="dxa"/>
          </w:tcPr>
          <w:p w14:paraId="036BD894" w14:textId="77777777" w:rsidR="001405BF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 xml:space="preserve">Prašau panaikinti 2. punkto reikalavimą. Šiuo atveju konkretus </w:t>
            </w:r>
            <w:r>
              <w:rPr>
                <w:sz w:val="20"/>
              </w:rPr>
              <w:lastRenderedPageBreak/>
              <w:t>parametras (</w:t>
            </w:r>
            <w:r w:rsidRPr="00F50D14">
              <w:rPr>
                <w:sz w:val="20"/>
              </w:rPr>
              <w:t xml:space="preserve">ribose nuo 32.0 iki 43.5 </w:t>
            </w:r>
            <w:proofErr w:type="spellStart"/>
            <w:r w:rsidRPr="00F50D14">
              <w:rPr>
                <w:sz w:val="20"/>
              </w:rPr>
              <w:t>kHz</w:t>
            </w:r>
            <w:proofErr w:type="spellEnd"/>
            <w:r w:rsidRPr="00F50D14">
              <w:rPr>
                <w:sz w:val="20"/>
              </w:rPr>
              <w:t xml:space="preserve"> dažnio judesiai</w:t>
            </w:r>
            <w:r>
              <w:rPr>
                <w:sz w:val="20"/>
              </w:rPr>
              <w:t xml:space="preserve">)  yra paimtas iš vieno gamintojo prietaiso techninių specifikacijų. </w:t>
            </w:r>
            <w:proofErr w:type="spellStart"/>
            <w:r>
              <w:rPr>
                <w:sz w:val="20"/>
              </w:rPr>
              <w:t>Fako</w:t>
            </w:r>
            <w:proofErr w:type="spellEnd"/>
            <w:r>
              <w:rPr>
                <w:sz w:val="20"/>
              </w:rPr>
              <w:t xml:space="preserve"> antgalio judesių dažnis niekaip neįtakoja operacinių manipuliacijų efektyvumo ir niekaip nesusijęs su operatoriaus patirtimi. Operatorius (naudotojas-chirurgas net nežino kokiu konkrečiu dažniu veikia </w:t>
            </w:r>
            <w:proofErr w:type="spellStart"/>
            <w:r>
              <w:rPr>
                <w:sz w:val="20"/>
              </w:rPr>
              <w:t>fako</w:t>
            </w:r>
            <w:proofErr w:type="spellEnd"/>
            <w:r>
              <w:rPr>
                <w:sz w:val="20"/>
              </w:rPr>
              <w:t xml:space="preserve"> rankena). Judesių dažnis yra techninis gamintojo sprendinys, geriausiai užtikrinantis lęšiuko skaldymo efektyvumą su naudojama ultragarso (</w:t>
            </w:r>
            <w:proofErr w:type="spellStart"/>
            <w:r>
              <w:rPr>
                <w:sz w:val="20"/>
              </w:rPr>
              <w:t>fako</w:t>
            </w:r>
            <w:proofErr w:type="spellEnd"/>
            <w:r>
              <w:rPr>
                <w:sz w:val="20"/>
              </w:rPr>
              <w:t>) rankena ir prietaiso išpildymo visuma.</w:t>
            </w:r>
          </w:p>
          <w:p w14:paraId="036BD896" w14:textId="6CE7F0F6" w:rsidR="001405BF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 xml:space="preserve">Nepanaikinus tokio reikalavimo siūlomas prietaisas, kurio ultragarso dažnis, pvz. </w:t>
            </w:r>
            <w:r w:rsidRPr="00D0428B">
              <w:rPr>
                <w:sz w:val="20"/>
              </w:rPr>
              <w:t xml:space="preserve">37 - 41 </w:t>
            </w:r>
            <w:proofErr w:type="spellStart"/>
            <w:r w:rsidRPr="00D0428B">
              <w:rPr>
                <w:sz w:val="20"/>
              </w:rPr>
              <w:t>kHz</w:t>
            </w:r>
            <w:proofErr w:type="spellEnd"/>
            <w:r>
              <w:rPr>
                <w:sz w:val="20"/>
              </w:rPr>
              <w:t>,</w:t>
            </w:r>
            <w:r w:rsidRPr="00D0428B">
              <w:rPr>
                <w:sz w:val="20"/>
              </w:rPr>
              <w:t xml:space="preserve"> </w:t>
            </w:r>
            <w:r>
              <w:rPr>
                <w:sz w:val="20"/>
              </w:rPr>
              <w:t>būtų atmestas perkančiosios organizacijos. O jeigu ir neatmestas, tai atsirastų pretekstas skundams.</w:t>
            </w:r>
          </w:p>
        </w:tc>
        <w:tc>
          <w:tcPr>
            <w:tcW w:w="1701" w:type="dxa"/>
          </w:tcPr>
          <w:p w14:paraId="036BD897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1. Maksimali antgalio eiga ≥ 0.065 mm;</w:t>
            </w:r>
          </w:p>
          <w:p w14:paraId="036BD898" w14:textId="77777777" w:rsidR="001405BF" w:rsidRPr="00F50D14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  <w:r w:rsidRPr="00F50D14">
              <w:rPr>
                <w:sz w:val="20"/>
              </w:rPr>
              <w:t>. Nepertraukiamas rėžimas (“</w:t>
            </w:r>
            <w:proofErr w:type="spellStart"/>
            <w:r w:rsidRPr="00F50D14">
              <w:rPr>
                <w:sz w:val="20"/>
              </w:rPr>
              <w:t>continuous</w:t>
            </w:r>
            <w:proofErr w:type="spellEnd"/>
            <w:r w:rsidRPr="00F50D14">
              <w:rPr>
                <w:sz w:val="20"/>
              </w:rPr>
              <w:t>”);</w:t>
            </w:r>
          </w:p>
          <w:p w14:paraId="036BD899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4. Pulsuojantis rėžimas („pulse“);</w:t>
            </w:r>
          </w:p>
          <w:p w14:paraId="036BD89A" w14:textId="77777777" w:rsidR="001405BF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5. Paketinis rėžimas („</w:t>
            </w:r>
            <w:proofErr w:type="spellStart"/>
            <w:r w:rsidRPr="00F50D14">
              <w:rPr>
                <w:sz w:val="20"/>
              </w:rPr>
              <w:t>burst</w:t>
            </w:r>
            <w:proofErr w:type="spellEnd"/>
            <w:r w:rsidRPr="00F50D14">
              <w:rPr>
                <w:sz w:val="20"/>
              </w:rPr>
              <w:t>“).</w:t>
            </w:r>
          </w:p>
        </w:tc>
        <w:tc>
          <w:tcPr>
            <w:tcW w:w="2977" w:type="dxa"/>
          </w:tcPr>
          <w:p w14:paraId="036BD89B" w14:textId="77777777" w:rsidR="001405BF" w:rsidRPr="00745AAC" w:rsidRDefault="001405BF" w:rsidP="00E56E1D">
            <w:pPr>
              <w:rPr>
                <w:color w:val="000000" w:themeColor="text1"/>
                <w:sz w:val="20"/>
              </w:rPr>
            </w:pPr>
            <w:r w:rsidRPr="00745AAC">
              <w:rPr>
                <w:color w:val="000000" w:themeColor="text1"/>
                <w:sz w:val="20"/>
              </w:rPr>
              <w:lastRenderedPageBreak/>
              <w:t>Reikalaujama parametro reikšmė:</w:t>
            </w:r>
          </w:p>
          <w:p w14:paraId="3A6119D9" w14:textId="1B32C32C" w:rsidR="00184277" w:rsidRDefault="00C654BB" w:rsidP="00E56E1D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2. </w:t>
            </w:r>
            <w:r w:rsidR="00184277" w:rsidRPr="00184277">
              <w:rPr>
                <w:color w:val="000000" w:themeColor="text1"/>
                <w:sz w:val="20"/>
              </w:rPr>
              <w:t xml:space="preserve">Ribose nuo 32.0 iki 43.5 </w:t>
            </w:r>
            <w:proofErr w:type="spellStart"/>
            <w:r w:rsidR="00184277" w:rsidRPr="00184277">
              <w:rPr>
                <w:color w:val="000000" w:themeColor="text1"/>
                <w:sz w:val="20"/>
              </w:rPr>
              <w:t>kHz</w:t>
            </w:r>
            <w:proofErr w:type="spellEnd"/>
            <w:r w:rsidR="00184277" w:rsidRPr="00184277">
              <w:rPr>
                <w:color w:val="000000" w:themeColor="text1"/>
                <w:sz w:val="20"/>
              </w:rPr>
              <w:t xml:space="preserve"> dažnio judesiai - neriboja </w:t>
            </w:r>
            <w:r w:rsidR="00184277" w:rsidRPr="00184277">
              <w:rPr>
                <w:color w:val="000000" w:themeColor="text1"/>
                <w:sz w:val="20"/>
              </w:rPr>
              <w:lastRenderedPageBreak/>
              <w:t xml:space="preserve">galimybės siūlyti tiek 32.0 </w:t>
            </w:r>
            <w:proofErr w:type="spellStart"/>
            <w:r w:rsidR="00184277" w:rsidRPr="00184277">
              <w:rPr>
                <w:color w:val="000000" w:themeColor="text1"/>
                <w:sz w:val="20"/>
              </w:rPr>
              <w:t>kHz</w:t>
            </w:r>
            <w:proofErr w:type="spellEnd"/>
            <w:r w:rsidR="00184277" w:rsidRPr="00184277">
              <w:rPr>
                <w:color w:val="000000" w:themeColor="text1"/>
                <w:sz w:val="20"/>
              </w:rPr>
              <w:t xml:space="preserve"> </w:t>
            </w:r>
            <w:proofErr w:type="spellStart"/>
            <w:r w:rsidR="00184277" w:rsidRPr="00184277">
              <w:rPr>
                <w:color w:val="000000" w:themeColor="text1"/>
                <w:sz w:val="20"/>
              </w:rPr>
              <w:t>torsialinį</w:t>
            </w:r>
            <w:proofErr w:type="spellEnd"/>
            <w:r w:rsidR="00184277" w:rsidRPr="00184277">
              <w:rPr>
                <w:color w:val="000000" w:themeColor="text1"/>
                <w:sz w:val="20"/>
              </w:rPr>
              <w:t xml:space="preserve">, tiek ir 43.5 </w:t>
            </w:r>
            <w:proofErr w:type="spellStart"/>
            <w:r w:rsidR="00184277" w:rsidRPr="00184277">
              <w:rPr>
                <w:color w:val="000000" w:themeColor="text1"/>
                <w:sz w:val="20"/>
              </w:rPr>
              <w:t>kHz</w:t>
            </w:r>
            <w:proofErr w:type="spellEnd"/>
            <w:r w:rsidR="00184277" w:rsidRPr="00184277">
              <w:rPr>
                <w:color w:val="000000" w:themeColor="text1"/>
                <w:sz w:val="20"/>
              </w:rPr>
              <w:t xml:space="preserve"> ultragarsinį (išilginį) </w:t>
            </w:r>
            <w:proofErr w:type="spellStart"/>
            <w:r w:rsidR="00184277" w:rsidRPr="00184277">
              <w:rPr>
                <w:color w:val="000000" w:themeColor="text1"/>
                <w:sz w:val="20"/>
              </w:rPr>
              <w:t>fakoemulsifikacijos</w:t>
            </w:r>
            <w:proofErr w:type="spellEnd"/>
            <w:r w:rsidR="00184277" w:rsidRPr="00184277">
              <w:rPr>
                <w:color w:val="000000" w:themeColor="text1"/>
                <w:sz w:val="20"/>
              </w:rPr>
              <w:t xml:space="preserve"> režimą.</w:t>
            </w:r>
          </w:p>
          <w:p w14:paraId="639D9B46" w14:textId="77777777" w:rsidR="00184277" w:rsidRDefault="00184277" w:rsidP="00E56E1D">
            <w:pPr>
              <w:rPr>
                <w:color w:val="000000" w:themeColor="text1"/>
                <w:sz w:val="20"/>
              </w:rPr>
            </w:pPr>
          </w:p>
          <w:p w14:paraId="036BD89C" w14:textId="3A2975EB" w:rsidR="001405BF" w:rsidRPr="00745AAC" w:rsidRDefault="001405BF" w:rsidP="00E56E1D">
            <w:pPr>
              <w:rPr>
                <w:color w:val="000000" w:themeColor="text1"/>
                <w:sz w:val="20"/>
              </w:rPr>
            </w:pPr>
            <w:r w:rsidRPr="00745AAC">
              <w:rPr>
                <w:color w:val="000000" w:themeColor="text1"/>
                <w:sz w:val="20"/>
              </w:rPr>
              <w:t xml:space="preserve">2. Ribose nuo 32.0 iki 43.5 </w:t>
            </w:r>
            <w:proofErr w:type="spellStart"/>
            <w:r w:rsidRPr="00745AAC">
              <w:rPr>
                <w:color w:val="000000" w:themeColor="text1"/>
                <w:sz w:val="20"/>
              </w:rPr>
              <w:t>kHz</w:t>
            </w:r>
            <w:proofErr w:type="spellEnd"/>
            <w:r w:rsidRPr="00745AAC">
              <w:rPr>
                <w:color w:val="000000" w:themeColor="text1"/>
                <w:sz w:val="20"/>
              </w:rPr>
              <w:t xml:space="preserve"> dažnio judesiai -  leidžia siūlyti </w:t>
            </w:r>
            <w:proofErr w:type="spellStart"/>
            <w:r w:rsidRPr="00745AAC">
              <w:rPr>
                <w:color w:val="000000" w:themeColor="text1"/>
                <w:sz w:val="20"/>
              </w:rPr>
              <w:t>fakoemulsifikatorių</w:t>
            </w:r>
            <w:proofErr w:type="spellEnd"/>
            <w:r w:rsidRPr="00745AAC">
              <w:rPr>
                <w:color w:val="000000" w:themeColor="text1"/>
                <w:sz w:val="20"/>
              </w:rPr>
              <w:t xml:space="preserve">, generuojantį ultragarsinio dažnio judesius ribose nuo 32.0 iki 43.5 </w:t>
            </w:r>
            <w:proofErr w:type="spellStart"/>
            <w:r w:rsidRPr="00745AAC">
              <w:rPr>
                <w:color w:val="000000" w:themeColor="text1"/>
                <w:sz w:val="20"/>
              </w:rPr>
              <w:t>kHz</w:t>
            </w:r>
            <w:proofErr w:type="spellEnd"/>
            <w:r w:rsidRPr="00745AAC">
              <w:rPr>
                <w:color w:val="000000" w:themeColor="text1"/>
                <w:sz w:val="20"/>
              </w:rPr>
              <w:t>.</w:t>
            </w:r>
          </w:p>
          <w:p w14:paraId="5F578DC4" w14:textId="77777777" w:rsidR="0047449C" w:rsidRDefault="001405BF" w:rsidP="00E56E1D">
            <w:pPr>
              <w:rPr>
                <w:color w:val="000000" w:themeColor="text1"/>
                <w:sz w:val="20"/>
              </w:rPr>
            </w:pPr>
            <w:r w:rsidRPr="00745AAC">
              <w:rPr>
                <w:color w:val="000000" w:themeColor="text1"/>
                <w:sz w:val="20"/>
              </w:rPr>
              <w:t xml:space="preserve">Nurodytos ribos yra pakankamai plačios, į kurias patenka ne vienas rinkoje esančių </w:t>
            </w:r>
            <w:proofErr w:type="spellStart"/>
            <w:r w:rsidRPr="00745AAC">
              <w:rPr>
                <w:color w:val="000000" w:themeColor="text1"/>
                <w:sz w:val="20"/>
              </w:rPr>
              <w:t>fakoemulsifikatorių</w:t>
            </w:r>
            <w:proofErr w:type="spellEnd"/>
            <w:r w:rsidRPr="00745AAC">
              <w:rPr>
                <w:color w:val="000000" w:themeColor="text1"/>
                <w:sz w:val="20"/>
              </w:rPr>
              <w:t xml:space="preserve">. </w:t>
            </w:r>
          </w:p>
          <w:p w14:paraId="036BD89D" w14:textId="63A8D746" w:rsidR="001405BF" w:rsidRPr="00745AAC" w:rsidRDefault="001405BF" w:rsidP="00E56E1D">
            <w:pPr>
              <w:rPr>
                <w:color w:val="000000" w:themeColor="text1"/>
                <w:sz w:val="20"/>
              </w:rPr>
            </w:pPr>
            <w:r w:rsidRPr="0047449C">
              <w:rPr>
                <w:b/>
                <w:bCs/>
                <w:color w:val="000000" w:themeColor="text1"/>
                <w:sz w:val="20"/>
              </w:rPr>
              <w:t xml:space="preserve">Pasiūlymas </w:t>
            </w:r>
            <w:proofErr w:type="spellStart"/>
            <w:r w:rsidRPr="0047449C">
              <w:rPr>
                <w:b/>
                <w:bCs/>
                <w:color w:val="000000" w:themeColor="text1"/>
                <w:sz w:val="20"/>
              </w:rPr>
              <w:t>fakoemulsifikatoriui</w:t>
            </w:r>
            <w:proofErr w:type="spellEnd"/>
            <w:r w:rsidRPr="0047449C">
              <w:rPr>
                <w:b/>
                <w:bCs/>
                <w:color w:val="000000" w:themeColor="text1"/>
                <w:sz w:val="20"/>
              </w:rPr>
              <w:t>, kurio generuojamas ultragarsinis dažnis patenka į nurodytas ribas bus laikomas atitinkantis reikalaujamai parametro reikšmei.</w:t>
            </w:r>
            <w:r w:rsidRPr="00745AAC">
              <w:rPr>
                <w:color w:val="000000" w:themeColor="text1"/>
                <w:sz w:val="20"/>
              </w:rPr>
              <w:t xml:space="preserve"> </w:t>
            </w:r>
          </w:p>
          <w:p w14:paraId="036BD89E" w14:textId="77777777" w:rsidR="001405BF" w:rsidRPr="00745AAC" w:rsidRDefault="001405BF" w:rsidP="00E56E1D">
            <w:pPr>
              <w:rPr>
                <w:color w:val="000000" w:themeColor="text1"/>
                <w:sz w:val="20"/>
              </w:rPr>
            </w:pPr>
          </w:p>
          <w:p w14:paraId="036BD89F" w14:textId="7AA6BC49" w:rsidR="001405BF" w:rsidRPr="00745AAC" w:rsidRDefault="001322D7" w:rsidP="00E56E1D">
            <w:pPr>
              <w:rPr>
                <w:color w:val="000000" w:themeColor="text1"/>
                <w:sz w:val="20"/>
              </w:rPr>
            </w:pPr>
            <w:r w:rsidRPr="00745AAC">
              <w:rPr>
                <w:color w:val="000000" w:themeColor="text1"/>
                <w:sz w:val="20"/>
              </w:rPr>
              <w:t>Perkančioji organizacija nekeičia reikalavimo.</w:t>
            </w:r>
          </w:p>
        </w:tc>
      </w:tr>
      <w:tr w:rsidR="001405BF" w:rsidRPr="00F50D14" w14:paraId="036BD8AC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A1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4.</w:t>
            </w:r>
          </w:p>
        </w:tc>
        <w:tc>
          <w:tcPr>
            <w:tcW w:w="992" w:type="dxa"/>
          </w:tcPr>
          <w:p w14:paraId="036BD8A2" w14:textId="77777777" w:rsidR="001405BF" w:rsidRPr="00F50D14" w:rsidRDefault="001405BF" w:rsidP="00E56E1D">
            <w:pPr>
              <w:rPr>
                <w:sz w:val="20"/>
              </w:rPr>
            </w:pPr>
            <w:proofErr w:type="spellStart"/>
            <w:r w:rsidRPr="00F50D14">
              <w:rPr>
                <w:sz w:val="20"/>
              </w:rPr>
              <w:t>Koaguliacijos</w:t>
            </w:r>
            <w:proofErr w:type="spellEnd"/>
            <w:r w:rsidRPr="00F50D14">
              <w:rPr>
                <w:sz w:val="20"/>
              </w:rPr>
              <w:t xml:space="preserve"> parametrai</w:t>
            </w:r>
          </w:p>
        </w:tc>
        <w:tc>
          <w:tcPr>
            <w:tcW w:w="2127" w:type="dxa"/>
          </w:tcPr>
          <w:p w14:paraId="036BD8A3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1. </w:t>
            </w:r>
            <w:proofErr w:type="spellStart"/>
            <w:r w:rsidRPr="00F50D14">
              <w:rPr>
                <w:sz w:val="20"/>
              </w:rPr>
              <w:t>Bipolinė</w:t>
            </w:r>
            <w:proofErr w:type="spellEnd"/>
            <w:r w:rsidRPr="00F50D14">
              <w:rPr>
                <w:sz w:val="20"/>
              </w:rPr>
              <w:t xml:space="preserve"> </w:t>
            </w:r>
            <w:proofErr w:type="spellStart"/>
            <w:r w:rsidRPr="00F50D14">
              <w:rPr>
                <w:sz w:val="20"/>
              </w:rPr>
              <w:t>koaguliacija</w:t>
            </w:r>
            <w:proofErr w:type="spellEnd"/>
            <w:r w:rsidRPr="00F50D14">
              <w:rPr>
                <w:sz w:val="20"/>
              </w:rPr>
              <w:t>;</w:t>
            </w:r>
          </w:p>
          <w:p w14:paraId="036BD8A4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2. ribose nuo 0.5 iki 2 </w:t>
            </w:r>
            <w:proofErr w:type="spellStart"/>
            <w:r w:rsidRPr="00F50D14">
              <w:rPr>
                <w:sz w:val="20"/>
              </w:rPr>
              <w:t>Mhz</w:t>
            </w:r>
            <w:proofErr w:type="spellEnd"/>
            <w:r w:rsidRPr="00F50D14">
              <w:rPr>
                <w:sz w:val="20"/>
              </w:rPr>
              <w:t xml:space="preserve"> dažnio;</w:t>
            </w:r>
          </w:p>
          <w:p w14:paraId="036BD8A5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3. Fiksuota ir linijinė </w:t>
            </w:r>
            <w:proofErr w:type="spellStart"/>
            <w:r w:rsidRPr="00F50D14">
              <w:rPr>
                <w:sz w:val="20"/>
              </w:rPr>
              <w:t>koaguliacijos</w:t>
            </w:r>
            <w:proofErr w:type="spellEnd"/>
            <w:r w:rsidRPr="00F50D14">
              <w:rPr>
                <w:sz w:val="20"/>
              </w:rPr>
              <w:t xml:space="preserve"> galingumo kontrolė.</w:t>
            </w:r>
          </w:p>
        </w:tc>
        <w:tc>
          <w:tcPr>
            <w:tcW w:w="2551" w:type="dxa"/>
          </w:tcPr>
          <w:p w14:paraId="036BD8A6" w14:textId="77777777" w:rsidR="001405BF" w:rsidRPr="00181ACE" w:rsidRDefault="001405BF" w:rsidP="00E56E1D">
            <w:pPr>
              <w:rPr>
                <w:sz w:val="20"/>
                <w:lang w:val="pt-BR"/>
              </w:rPr>
            </w:pPr>
          </w:p>
          <w:p w14:paraId="036BD8A7" w14:textId="77777777" w:rsidR="001405BF" w:rsidRPr="00181ACE" w:rsidRDefault="001405BF" w:rsidP="00E56E1D">
            <w:pPr>
              <w:rPr>
                <w:sz w:val="20"/>
                <w:lang w:val="pt-BR"/>
              </w:rPr>
            </w:pPr>
          </w:p>
        </w:tc>
        <w:tc>
          <w:tcPr>
            <w:tcW w:w="2410" w:type="dxa"/>
          </w:tcPr>
          <w:p w14:paraId="036BD8A8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8A9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8AA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8AB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8B5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AD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5.</w:t>
            </w:r>
          </w:p>
        </w:tc>
        <w:tc>
          <w:tcPr>
            <w:tcW w:w="992" w:type="dxa"/>
          </w:tcPr>
          <w:p w14:paraId="036BD8AE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Irigacijos –aspiracijos parametrai</w:t>
            </w:r>
          </w:p>
        </w:tc>
        <w:tc>
          <w:tcPr>
            <w:tcW w:w="2127" w:type="dxa"/>
          </w:tcPr>
          <w:p w14:paraId="036BD8AF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551" w:type="dxa"/>
          </w:tcPr>
          <w:p w14:paraId="036BD8B0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8B1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8B2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8B3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8B4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8BF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B6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5.1</w:t>
            </w:r>
          </w:p>
        </w:tc>
        <w:tc>
          <w:tcPr>
            <w:tcW w:w="992" w:type="dxa"/>
          </w:tcPr>
          <w:p w14:paraId="036BD8B7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Vakuumas</w:t>
            </w:r>
          </w:p>
        </w:tc>
        <w:tc>
          <w:tcPr>
            <w:tcW w:w="2127" w:type="dxa"/>
          </w:tcPr>
          <w:p w14:paraId="036BD8B8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1. Reguliuojamas ≥ 0 ÷ 650+ </w:t>
            </w:r>
            <w:proofErr w:type="spellStart"/>
            <w:r w:rsidRPr="00F50D14">
              <w:rPr>
                <w:sz w:val="20"/>
              </w:rPr>
              <w:t>mmHg</w:t>
            </w:r>
            <w:proofErr w:type="spellEnd"/>
            <w:r w:rsidRPr="00F50D14">
              <w:rPr>
                <w:sz w:val="20"/>
              </w:rPr>
              <w:t xml:space="preserve"> ribose;</w:t>
            </w:r>
          </w:p>
          <w:p w14:paraId="036BD8B9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2. Vakuumo reguliavimas: fiksuotas ir linijinis.</w:t>
            </w:r>
          </w:p>
        </w:tc>
        <w:tc>
          <w:tcPr>
            <w:tcW w:w="2551" w:type="dxa"/>
          </w:tcPr>
          <w:p w14:paraId="036BD8BA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8BB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8BC" w14:textId="77777777" w:rsidR="001405BF" w:rsidRPr="00F50D14" w:rsidRDefault="001405BF" w:rsidP="00E56E1D">
            <w:pPr>
              <w:ind w:right="2298"/>
              <w:rPr>
                <w:sz w:val="20"/>
              </w:rPr>
            </w:pPr>
          </w:p>
        </w:tc>
        <w:tc>
          <w:tcPr>
            <w:tcW w:w="1701" w:type="dxa"/>
          </w:tcPr>
          <w:p w14:paraId="036BD8BD" w14:textId="77777777" w:rsidR="001405BF" w:rsidRPr="00F50D14" w:rsidRDefault="001405BF" w:rsidP="00E56E1D">
            <w:pPr>
              <w:ind w:right="2298"/>
              <w:rPr>
                <w:sz w:val="20"/>
              </w:rPr>
            </w:pPr>
          </w:p>
        </w:tc>
        <w:tc>
          <w:tcPr>
            <w:tcW w:w="2977" w:type="dxa"/>
          </w:tcPr>
          <w:p w14:paraId="036BD8BE" w14:textId="77777777" w:rsidR="001405BF" w:rsidRPr="00F50D14" w:rsidRDefault="001405BF" w:rsidP="00E56E1D">
            <w:pPr>
              <w:ind w:right="2298"/>
              <w:rPr>
                <w:sz w:val="20"/>
              </w:rPr>
            </w:pPr>
          </w:p>
        </w:tc>
      </w:tr>
      <w:tr w:rsidR="001405BF" w:rsidRPr="00F50D14" w14:paraId="036BD8C8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C0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5.2</w:t>
            </w:r>
          </w:p>
        </w:tc>
        <w:tc>
          <w:tcPr>
            <w:tcW w:w="992" w:type="dxa"/>
          </w:tcPr>
          <w:p w14:paraId="036BD8C1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Skysčio atsiurbimo našumas</w:t>
            </w:r>
          </w:p>
        </w:tc>
        <w:tc>
          <w:tcPr>
            <w:tcW w:w="2127" w:type="dxa"/>
          </w:tcPr>
          <w:p w14:paraId="036BD8C2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≥  0 ÷ 60 cm³ /min ribose</w:t>
            </w:r>
          </w:p>
        </w:tc>
        <w:tc>
          <w:tcPr>
            <w:tcW w:w="2551" w:type="dxa"/>
          </w:tcPr>
          <w:p w14:paraId="036BD8C3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8C4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8C5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8C6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8C7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8D2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C9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5.3</w:t>
            </w:r>
          </w:p>
        </w:tc>
        <w:tc>
          <w:tcPr>
            <w:tcW w:w="992" w:type="dxa"/>
          </w:tcPr>
          <w:p w14:paraId="036BD8CA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Priekinės kameros akispūdžio valdymą užtikrinanti infuzija</w:t>
            </w:r>
          </w:p>
        </w:tc>
        <w:tc>
          <w:tcPr>
            <w:tcW w:w="2127" w:type="dxa"/>
          </w:tcPr>
          <w:p w14:paraId="036BD8CB" w14:textId="77777777" w:rsidR="001405BF" w:rsidRPr="00EB2E40" w:rsidRDefault="001405BF" w:rsidP="00E56E1D">
            <w:pPr>
              <w:rPr>
                <w:sz w:val="20"/>
              </w:rPr>
            </w:pPr>
            <w:r w:rsidRPr="00EB2E40">
              <w:rPr>
                <w:sz w:val="20"/>
              </w:rPr>
              <w:t>Būtina</w:t>
            </w:r>
          </w:p>
        </w:tc>
        <w:tc>
          <w:tcPr>
            <w:tcW w:w="2551" w:type="dxa"/>
          </w:tcPr>
          <w:p w14:paraId="036BD8CC" w14:textId="77777777" w:rsidR="001405BF" w:rsidRPr="00EB2E40" w:rsidRDefault="001405BF" w:rsidP="00E56E1D">
            <w:pPr>
              <w:rPr>
                <w:sz w:val="20"/>
              </w:rPr>
            </w:pPr>
            <w:r w:rsidRPr="00EB2E40">
              <w:rPr>
                <w:sz w:val="20"/>
              </w:rPr>
              <w:t>Reikėtų patikslinti reikalavimą, nes tai svarbus kokybinis parametras.  Aprašoma turi būti prietaiso funkcija, o ne veiksmas (infuzija).</w:t>
            </w:r>
          </w:p>
          <w:p w14:paraId="036BD8CD" w14:textId="77777777" w:rsidR="001405BF" w:rsidRPr="00EB2E40" w:rsidRDefault="001405BF" w:rsidP="00E56E1D">
            <w:pPr>
              <w:rPr>
                <w:sz w:val="20"/>
              </w:rPr>
            </w:pPr>
            <w:r w:rsidRPr="00EB2E40">
              <w:rPr>
                <w:sz w:val="20"/>
              </w:rPr>
              <w:t>Priekinės kameros akispūdžio palaikymas mažina galimybę traumuoti akį operacijos metu.</w:t>
            </w:r>
          </w:p>
        </w:tc>
        <w:tc>
          <w:tcPr>
            <w:tcW w:w="2410" w:type="dxa"/>
          </w:tcPr>
          <w:p w14:paraId="036BD8CE" w14:textId="77777777" w:rsidR="001405BF" w:rsidRPr="00F50D14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 xml:space="preserve">Priekinės kameros akispūdžio valdymą ir </w:t>
            </w:r>
            <w:r w:rsidRPr="008643F9">
              <w:rPr>
                <w:sz w:val="20"/>
                <w:u w:val="single"/>
              </w:rPr>
              <w:t>palaikymą</w:t>
            </w:r>
            <w:r>
              <w:rPr>
                <w:sz w:val="20"/>
              </w:rPr>
              <w:t xml:space="preserve"> užtikrinanti funkcija.</w:t>
            </w:r>
          </w:p>
        </w:tc>
        <w:tc>
          <w:tcPr>
            <w:tcW w:w="2268" w:type="dxa"/>
          </w:tcPr>
          <w:p w14:paraId="036BD8CF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8D0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15517D89" w14:textId="77777777" w:rsidR="00E1223E" w:rsidRDefault="007C7462" w:rsidP="00E56E1D">
            <w:pPr>
              <w:rPr>
                <w:sz w:val="20"/>
              </w:rPr>
            </w:pPr>
            <w:r w:rsidRPr="007C7462">
              <w:rPr>
                <w:sz w:val="20"/>
              </w:rPr>
              <w:t xml:space="preserve">Priekinės kameros akispūdžio valdymą užtikrinanti infuzija apima ir palaikymą. </w:t>
            </w:r>
          </w:p>
          <w:p w14:paraId="0ECA0F94" w14:textId="77777777" w:rsidR="00E1223E" w:rsidRDefault="00E1223E" w:rsidP="00E56E1D">
            <w:pPr>
              <w:rPr>
                <w:sz w:val="20"/>
              </w:rPr>
            </w:pPr>
          </w:p>
          <w:p w14:paraId="036BD8D1" w14:textId="376E7844" w:rsidR="001405BF" w:rsidRDefault="001322D7" w:rsidP="00E56E1D">
            <w:pPr>
              <w:rPr>
                <w:sz w:val="20"/>
              </w:rPr>
            </w:pPr>
            <w:r>
              <w:rPr>
                <w:sz w:val="20"/>
              </w:rPr>
              <w:t>Perkančioji organizacija nekeičia reikalavimo.</w:t>
            </w:r>
          </w:p>
        </w:tc>
      </w:tr>
      <w:tr w:rsidR="001405BF" w:rsidRPr="00F50D14" w14:paraId="036BD8DC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D3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6.</w:t>
            </w:r>
          </w:p>
        </w:tc>
        <w:tc>
          <w:tcPr>
            <w:tcW w:w="992" w:type="dxa"/>
          </w:tcPr>
          <w:p w14:paraId="036BD8D4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Priekinė </w:t>
            </w:r>
            <w:proofErr w:type="spellStart"/>
            <w:r w:rsidRPr="00F50D14">
              <w:rPr>
                <w:sz w:val="20"/>
              </w:rPr>
              <w:t>vitrektomija</w:t>
            </w:r>
            <w:proofErr w:type="spellEnd"/>
          </w:p>
        </w:tc>
        <w:tc>
          <w:tcPr>
            <w:tcW w:w="2127" w:type="dxa"/>
          </w:tcPr>
          <w:p w14:paraId="036BD8D5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1. Kirpimo greitis ≥ 2000 kirpimų/min;</w:t>
            </w:r>
          </w:p>
          <w:p w14:paraId="036BD8D6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2. Pneumatinis priekinės </w:t>
            </w:r>
            <w:proofErr w:type="spellStart"/>
            <w:r w:rsidRPr="00F50D14">
              <w:rPr>
                <w:sz w:val="20"/>
              </w:rPr>
              <w:t>vitrektomijos</w:t>
            </w:r>
            <w:proofErr w:type="spellEnd"/>
            <w:r w:rsidRPr="00F50D14">
              <w:rPr>
                <w:sz w:val="20"/>
              </w:rPr>
              <w:t xml:space="preserve"> antgalis panaudojant integruotą kompresorių.</w:t>
            </w:r>
          </w:p>
        </w:tc>
        <w:tc>
          <w:tcPr>
            <w:tcW w:w="2551" w:type="dxa"/>
          </w:tcPr>
          <w:p w14:paraId="036BD8D7" w14:textId="77777777" w:rsidR="001405BF" w:rsidRPr="00F50D14" w:rsidRDefault="001405BF" w:rsidP="00E56E1D">
            <w:pPr>
              <w:rPr>
                <w:sz w:val="20"/>
                <w:lang w:eastAsia="ja-JP"/>
              </w:rPr>
            </w:pPr>
          </w:p>
        </w:tc>
        <w:tc>
          <w:tcPr>
            <w:tcW w:w="2410" w:type="dxa"/>
          </w:tcPr>
          <w:p w14:paraId="036BD8D8" w14:textId="77777777" w:rsidR="001405BF" w:rsidRPr="00F50D14" w:rsidRDefault="001405BF" w:rsidP="00E56E1D">
            <w:pPr>
              <w:rPr>
                <w:sz w:val="20"/>
                <w:lang w:eastAsia="ja-JP"/>
              </w:rPr>
            </w:pPr>
          </w:p>
        </w:tc>
        <w:tc>
          <w:tcPr>
            <w:tcW w:w="2268" w:type="dxa"/>
          </w:tcPr>
          <w:p w14:paraId="036BD8D9" w14:textId="77777777" w:rsidR="001405BF" w:rsidRPr="00F50D14" w:rsidRDefault="001405BF" w:rsidP="00E56E1D">
            <w:pPr>
              <w:rPr>
                <w:sz w:val="20"/>
                <w:lang w:eastAsia="ja-JP"/>
              </w:rPr>
            </w:pPr>
          </w:p>
        </w:tc>
        <w:tc>
          <w:tcPr>
            <w:tcW w:w="1701" w:type="dxa"/>
          </w:tcPr>
          <w:p w14:paraId="036BD8DA" w14:textId="77777777" w:rsidR="001405BF" w:rsidRPr="00F50D14" w:rsidRDefault="001405BF" w:rsidP="00E56E1D">
            <w:pPr>
              <w:rPr>
                <w:sz w:val="20"/>
                <w:lang w:eastAsia="ja-JP"/>
              </w:rPr>
            </w:pPr>
          </w:p>
        </w:tc>
        <w:tc>
          <w:tcPr>
            <w:tcW w:w="2977" w:type="dxa"/>
          </w:tcPr>
          <w:p w14:paraId="036BD8DB" w14:textId="77777777" w:rsidR="001405BF" w:rsidRPr="00F50D14" w:rsidRDefault="001405BF" w:rsidP="00E56E1D">
            <w:pPr>
              <w:rPr>
                <w:sz w:val="20"/>
                <w:lang w:eastAsia="ja-JP"/>
              </w:rPr>
            </w:pPr>
          </w:p>
        </w:tc>
      </w:tr>
      <w:tr w:rsidR="001405BF" w:rsidRPr="00F50D14" w14:paraId="036BD8E8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DD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7.</w:t>
            </w:r>
          </w:p>
        </w:tc>
        <w:tc>
          <w:tcPr>
            <w:tcW w:w="992" w:type="dxa"/>
          </w:tcPr>
          <w:p w14:paraId="036BD8DE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Aparato funkcijų valdymas</w:t>
            </w:r>
          </w:p>
        </w:tc>
        <w:tc>
          <w:tcPr>
            <w:tcW w:w="2127" w:type="dxa"/>
          </w:tcPr>
          <w:p w14:paraId="036BD8DF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1. Pedalo pagalba;</w:t>
            </w:r>
          </w:p>
          <w:p w14:paraId="036BD8E0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2. Iš aparato panelės, prisilietimui jautraus ekrano („</w:t>
            </w:r>
            <w:proofErr w:type="spellStart"/>
            <w:r w:rsidRPr="00F50D14">
              <w:rPr>
                <w:sz w:val="20"/>
              </w:rPr>
              <w:t>touch</w:t>
            </w:r>
            <w:proofErr w:type="spellEnd"/>
            <w:r w:rsidRPr="00F50D14">
              <w:rPr>
                <w:sz w:val="20"/>
              </w:rPr>
              <w:t xml:space="preserve"> </w:t>
            </w:r>
            <w:proofErr w:type="spellStart"/>
            <w:r w:rsidRPr="00F50D14">
              <w:rPr>
                <w:sz w:val="20"/>
              </w:rPr>
              <w:t>screen</w:t>
            </w:r>
            <w:proofErr w:type="spellEnd"/>
            <w:r w:rsidRPr="00F50D14">
              <w:rPr>
                <w:sz w:val="20"/>
              </w:rPr>
              <w:t>“).</w:t>
            </w:r>
          </w:p>
        </w:tc>
        <w:tc>
          <w:tcPr>
            <w:tcW w:w="2551" w:type="dxa"/>
          </w:tcPr>
          <w:p w14:paraId="036BD8E1" w14:textId="77777777" w:rsidR="001405BF" w:rsidRPr="00F50D14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 xml:space="preserve">Valdymas nuotoliniu valdymo pultu leidžia </w:t>
            </w:r>
            <w:proofErr w:type="spellStart"/>
            <w:r>
              <w:rPr>
                <w:sz w:val="20"/>
              </w:rPr>
              <w:t>instrumentatorei</w:t>
            </w:r>
            <w:proofErr w:type="spellEnd"/>
            <w:r>
              <w:rPr>
                <w:sz w:val="20"/>
              </w:rPr>
              <w:t xml:space="preserve"> liekant steriliai, keisti chirurginius nustatymus, kurių negalima valdyti pedalo pagalba. </w:t>
            </w:r>
          </w:p>
        </w:tc>
        <w:tc>
          <w:tcPr>
            <w:tcW w:w="2410" w:type="dxa"/>
          </w:tcPr>
          <w:p w14:paraId="036BD8E2" w14:textId="77777777" w:rsidR="001405BF" w:rsidRDefault="001405BF" w:rsidP="00E56E1D">
            <w:pPr>
              <w:rPr>
                <w:sz w:val="20"/>
              </w:rPr>
            </w:pPr>
          </w:p>
          <w:p w14:paraId="036BD8E3" w14:textId="77777777" w:rsidR="001405BF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>Įtraukti punktą</w:t>
            </w:r>
          </w:p>
          <w:p w14:paraId="036BD8E4" w14:textId="77777777" w:rsidR="001405BF" w:rsidRPr="00F50D14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>3. Nuotoliniu valdymo pultu.</w:t>
            </w:r>
          </w:p>
        </w:tc>
        <w:tc>
          <w:tcPr>
            <w:tcW w:w="2268" w:type="dxa"/>
          </w:tcPr>
          <w:p w14:paraId="036BD8E5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8E6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53045F82" w14:textId="77777777" w:rsidR="001322D7" w:rsidRDefault="0090061F" w:rsidP="00E56E1D">
            <w:pPr>
              <w:rPr>
                <w:sz w:val="20"/>
              </w:rPr>
            </w:pPr>
            <w:r w:rsidRPr="0090061F">
              <w:rPr>
                <w:sz w:val="20"/>
              </w:rPr>
              <w:t xml:space="preserve">Nuotolinis valdymo pultas Lietuvos praktikoje nėra naudojamas. Nėra tikslinga papildomai jį įtraukti ir taip apriboti kitų dalyvių siūlomus </w:t>
            </w:r>
            <w:proofErr w:type="spellStart"/>
            <w:r w:rsidRPr="0090061F">
              <w:rPr>
                <w:sz w:val="20"/>
              </w:rPr>
              <w:t>fakoemulsifikatorius</w:t>
            </w:r>
            <w:proofErr w:type="spellEnd"/>
            <w:r w:rsidRPr="0090061F">
              <w:rPr>
                <w:sz w:val="20"/>
              </w:rPr>
              <w:t xml:space="preserve">. </w:t>
            </w:r>
          </w:p>
          <w:p w14:paraId="0DAD0274" w14:textId="77777777" w:rsidR="001322D7" w:rsidRDefault="001322D7" w:rsidP="00E56E1D">
            <w:pPr>
              <w:rPr>
                <w:sz w:val="20"/>
              </w:rPr>
            </w:pPr>
          </w:p>
          <w:p w14:paraId="036BD8E7" w14:textId="4AD9ACB5" w:rsidR="001405BF" w:rsidRDefault="001322D7" w:rsidP="00E56E1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Perkančioji organizacija nekeičia reikalavimo.</w:t>
            </w:r>
          </w:p>
        </w:tc>
      </w:tr>
      <w:tr w:rsidR="001405BF" w:rsidRPr="00F50D14" w14:paraId="036BD8F2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E9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8.</w:t>
            </w:r>
          </w:p>
        </w:tc>
        <w:tc>
          <w:tcPr>
            <w:tcW w:w="992" w:type="dxa"/>
          </w:tcPr>
          <w:p w14:paraId="036BD8EA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Pedalas</w:t>
            </w:r>
          </w:p>
        </w:tc>
        <w:tc>
          <w:tcPr>
            <w:tcW w:w="2127" w:type="dxa"/>
          </w:tcPr>
          <w:p w14:paraId="036BD8EB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1. Belaidis;</w:t>
            </w:r>
          </w:p>
          <w:p w14:paraId="036BD8EC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2. Pageidautina galimybė prijungti pedalą laidu.</w:t>
            </w:r>
          </w:p>
        </w:tc>
        <w:tc>
          <w:tcPr>
            <w:tcW w:w="2551" w:type="dxa"/>
          </w:tcPr>
          <w:p w14:paraId="036BD8ED" w14:textId="77777777" w:rsidR="001405BF" w:rsidRPr="00F50D14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>Pedalo prijungimo būdas nėra prietaiso veikimo kokybinis parametras, įtakojantis rezultatus. Todėl, siekiant neriboti gamintojų konkurencijos, siūlome naudoti „arba“</w:t>
            </w:r>
          </w:p>
        </w:tc>
        <w:tc>
          <w:tcPr>
            <w:tcW w:w="2410" w:type="dxa"/>
          </w:tcPr>
          <w:p w14:paraId="036BD8EE" w14:textId="77777777" w:rsidR="001405BF" w:rsidRPr="00F50D14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>Belaidis arba prijungiamas laidu</w:t>
            </w:r>
          </w:p>
        </w:tc>
        <w:tc>
          <w:tcPr>
            <w:tcW w:w="2268" w:type="dxa"/>
          </w:tcPr>
          <w:p w14:paraId="036BD8EF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8F0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8F1" w14:textId="557C8C95" w:rsidR="001405BF" w:rsidRDefault="005645B0" w:rsidP="00E56E1D">
            <w:pPr>
              <w:rPr>
                <w:sz w:val="20"/>
              </w:rPr>
            </w:pPr>
            <w:r>
              <w:rPr>
                <w:sz w:val="20"/>
              </w:rPr>
              <w:t xml:space="preserve">Perkančioji organizacija </w:t>
            </w:r>
            <w:r w:rsidR="008D54C5">
              <w:rPr>
                <w:sz w:val="20"/>
              </w:rPr>
              <w:t>koreguoja reikalavimą:</w:t>
            </w:r>
            <w:r w:rsidRPr="005645B0">
              <w:rPr>
                <w:sz w:val="20"/>
              </w:rPr>
              <w:t xml:space="preserve"> </w:t>
            </w:r>
            <w:r w:rsidRPr="008D54C5">
              <w:rPr>
                <w:i/>
                <w:iCs/>
                <w:sz w:val="20"/>
              </w:rPr>
              <w:t>Belaidis arba prijungiamas laidu</w:t>
            </w:r>
          </w:p>
        </w:tc>
      </w:tr>
      <w:tr w:rsidR="001405BF" w:rsidRPr="00F50D14" w14:paraId="036BD8FB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F3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9.</w:t>
            </w:r>
          </w:p>
        </w:tc>
        <w:tc>
          <w:tcPr>
            <w:tcW w:w="992" w:type="dxa"/>
          </w:tcPr>
          <w:p w14:paraId="036BD8F4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Skysčių tiekimo sistema</w:t>
            </w:r>
          </w:p>
        </w:tc>
        <w:tc>
          <w:tcPr>
            <w:tcW w:w="2127" w:type="dxa"/>
          </w:tcPr>
          <w:p w14:paraId="036BD8F5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Gravitacinė arba aktyvi irigacija</w:t>
            </w:r>
          </w:p>
        </w:tc>
        <w:tc>
          <w:tcPr>
            <w:tcW w:w="2551" w:type="dxa"/>
          </w:tcPr>
          <w:p w14:paraId="036BD8F6" w14:textId="77777777" w:rsidR="001405BF" w:rsidRPr="00F50D14" w:rsidRDefault="001405BF" w:rsidP="00E56E1D">
            <w:pPr>
              <w:rPr>
                <w:sz w:val="20"/>
              </w:rPr>
            </w:pPr>
            <w:r w:rsidRPr="00181ACE">
              <w:rPr>
                <w:sz w:val="20"/>
              </w:rPr>
              <w:t xml:space="preserve">Klinikiniai tyrimai rodo, kad “Aktyvi, slėginė irigacija leidžianti kontroliuoti </w:t>
            </w:r>
            <w:proofErr w:type="spellStart"/>
            <w:r w:rsidRPr="00181ACE">
              <w:rPr>
                <w:sz w:val="20"/>
              </w:rPr>
              <w:t>intraokulinį</w:t>
            </w:r>
            <w:proofErr w:type="spellEnd"/>
            <w:r w:rsidRPr="00181ACE">
              <w:rPr>
                <w:sz w:val="20"/>
              </w:rPr>
              <w:t xml:space="preserve"> spaudimą” yra pažangesnė, saugesnė už fiksuoto slėgio ar gravitacines sistemas, leidžia saugiai dirbti naudojant ženkliai žemesnį </w:t>
            </w:r>
            <w:proofErr w:type="spellStart"/>
            <w:r w:rsidRPr="00181ACE">
              <w:rPr>
                <w:sz w:val="20"/>
              </w:rPr>
              <w:t>intraokulinį</w:t>
            </w:r>
            <w:proofErr w:type="spellEnd"/>
            <w:r w:rsidRPr="00181ACE">
              <w:rPr>
                <w:sz w:val="20"/>
              </w:rPr>
              <w:t xml:space="preserve"> spaudimą, o tai mažina akies traumavimą operacijos metu. </w:t>
            </w:r>
            <w:hyperlink r:id="rId4" w:history="1">
              <w:r w:rsidRPr="00341C6D">
                <w:rPr>
                  <w:rStyle w:val="Hipersaitas"/>
                  <w:sz w:val="20"/>
                  <w:lang w:val="en-US"/>
                </w:rPr>
                <w:t>https://pubmed.ncbi.nlm.nih.gov/38076276/</w:t>
              </w:r>
            </w:hyperlink>
          </w:p>
        </w:tc>
        <w:tc>
          <w:tcPr>
            <w:tcW w:w="2410" w:type="dxa"/>
          </w:tcPr>
          <w:p w14:paraId="036BD8F7" w14:textId="77777777" w:rsidR="001405BF" w:rsidRPr="00F50D14" w:rsidRDefault="001405BF" w:rsidP="00E56E1D">
            <w:pPr>
              <w:rPr>
                <w:sz w:val="20"/>
              </w:rPr>
            </w:pPr>
            <w:r>
              <w:rPr>
                <w:sz w:val="20"/>
              </w:rPr>
              <w:t xml:space="preserve">Aktyvi irigacija leidžianti kontroliuoti ir palaikyti </w:t>
            </w:r>
            <w:proofErr w:type="spellStart"/>
            <w:r>
              <w:rPr>
                <w:sz w:val="20"/>
              </w:rPr>
              <w:t>intraokulinį</w:t>
            </w:r>
            <w:proofErr w:type="spellEnd"/>
            <w:r>
              <w:rPr>
                <w:sz w:val="20"/>
              </w:rPr>
              <w:t xml:space="preserve"> spaudimą turėtų būti kaip kokybinis parametras</w:t>
            </w:r>
          </w:p>
        </w:tc>
        <w:tc>
          <w:tcPr>
            <w:tcW w:w="2268" w:type="dxa"/>
          </w:tcPr>
          <w:p w14:paraId="036BD8F8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8F9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3FE1BF6F" w14:textId="77777777" w:rsidR="00666262" w:rsidRDefault="00666262" w:rsidP="00E56E1D">
            <w:pPr>
              <w:rPr>
                <w:sz w:val="20"/>
              </w:rPr>
            </w:pPr>
            <w:r w:rsidRPr="00666262">
              <w:rPr>
                <w:sz w:val="20"/>
              </w:rPr>
              <w:t xml:space="preserve">Gravitacinė arba aktyvi irigacija neapriboja galimybės siūlyti tiek gravitacinę, tiek aktyvią irigaciją. </w:t>
            </w:r>
          </w:p>
          <w:p w14:paraId="2A8CA7BF" w14:textId="77777777" w:rsidR="00666262" w:rsidRDefault="00666262" w:rsidP="00E56E1D">
            <w:pPr>
              <w:rPr>
                <w:sz w:val="20"/>
              </w:rPr>
            </w:pPr>
          </w:p>
          <w:p w14:paraId="036BD8FA" w14:textId="47E18502" w:rsidR="001405BF" w:rsidRDefault="00666262" w:rsidP="00E56E1D">
            <w:pPr>
              <w:rPr>
                <w:sz w:val="20"/>
              </w:rPr>
            </w:pPr>
            <w:r>
              <w:rPr>
                <w:sz w:val="20"/>
              </w:rPr>
              <w:t xml:space="preserve">Perkančioji organizacija </w:t>
            </w:r>
            <w:r w:rsidR="00CA3F60">
              <w:rPr>
                <w:sz w:val="20"/>
              </w:rPr>
              <w:t>nekeičia reikalavimo.</w:t>
            </w:r>
          </w:p>
        </w:tc>
      </w:tr>
      <w:tr w:rsidR="001405BF" w:rsidRPr="00F50D14" w14:paraId="036BD906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8FC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10.</w:t>
            </w:r>
          </w:p>
        </w:tc>
        <w:tc>
          <w:tcPr>
            <w:tcW w:w="992" w:type="dxa"/>
          </w:tcPr>
          <w:p w14:paraId="036BD8FD" w14:textId="77777777" w:rsidR="001405BF" w:rsidRPr="00D76BAB" w:rsidRDefault="001405BF" w:rsidP="00E56E1D">
            <w:pPr>
              <w:rPr>
                <w:sz w:val="20"/>
              </w:rPr>
            </w:pPr>
            <w:r w:rsidRPr="00D76BAB">
              <w:rPr>
                <w:sz w:val="20"/>
              </w:rPr>
              <w:t>Kitos savybės</w:t>
            </w:r>
          </w:p>
        </w:tc>
        <w:tc>
          <w:tcPr>
            <w:tcW w:w="2127" w:type="dxa"/>
          </w:tcPr>
          <w:p w14:paraId="036BD8FE" w14:textId="77777777" w:rsidR="001405BF" w:rsidRPr="00D76BAB" w:rsidRDefault="001405BF" w:rsidP="00E56E1D">
            <w:pPr>
              <w:rPr>
                <w:sz w:val="20"/>
              </w:rPr>
            </w:pPr>
            <w:r w:rsidRPr="00D76BAB">
              <w:rPr>
                <w:sz w:val="20"/>
              </w:rPr>
              <w:t>1. Galima pastovi irigacija;</w:t>
            </w:r>
          </w:p>
          <w:p w14:paraId="036BD8FF" w14:textId="77777777" w:rsidR="001405BF" w:rsidRPr="00D76BAB" w:rsidRDefault="001405BF" w:rsidP="00E56E1D">
            <w:pPr>
              <w:rPr>
                <w:sz w:val="20"/>
              </w:rPr>
            </w:pPr>
            <w:r w:rsidRPr="00D76BAB">
              <w:rPr>
                <w:sz w:val="20"/>
              </w:rPr>
              <w:t xml:space="preserve">2. Slėgio </w:t>
            </w:r>
            <w:proofErr w:type="spellStart"/>
            <w:r w:rsidRPr="00D76BAB">
              <w:rPr>
                <w:sz w:val="20"/>
              </w:rPr>
              <w:t>refliukso</w:t>
            </w:r>
            <w:proofErr w:type="spellEnd"/>
            <w:r w:rsidRPr="00D76BAB">
              <w:rPr>
                <w:sz w:val="20"/>
              </w:rPr>
              <w:t xml:space="preserve"> funkcija, aktyvuojama valdymo pedalu;</w:t>
            </w:r>
          </w:p>
          <w:p w14:paraId="036BD900" w14:textId="77777777" w:rsidR="001405BF" w:rsidRPr="00D76BAB" w:rsidRDefault="001405BF" w:rsidP="00E56E1D">
            <w:pPr>
              <w:rPr>
                <w:sz w:val="20"/>
              </w:rPr>
            </w:pPr>
            <w:r w:rsidRPr="00D76BAB">
              <w:rPr>
                <w:sz w:val="20"/>
              </w:rPr>
              <w:t>3. Numatyto paciento akies lygio nustatymas.</w:t>
            </w:r>
          </w:p>
        </w:tc>
        <w:tc>
          <w:tcPr>
            <w:tcW w:w="2551" w:type="dxa"/>
          </w:tcPr>
          <w:p w14:paraId="036BD901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02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03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04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05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910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907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11.</w:t>
            </w:r>
          </w:p>
        </w:tc>
        <w:tc>
          <w:tcPr>
            <w:tcW w:w="992" w:type="dxa"/>
          </w:tcPr>
          <w:p w14:paraId="036BD908" w14:textId="77777777" w:rsidR="001405BF" w:rsidRPr="00D76BAB" w:rsidRDefault="001405BF" w:rsidP="00E56E1D">
            <w:pPr>
              <w:rPr>
                <w:sz w:val="20"/>
              </w:rPr>
            </w:pPr>
            <w:r w:rsidRPr="00D76BAB">
              <w:rPr>
                <w:sz w:val="20"/>
              </w:rPr>
              <w:t>Maitinimo įtampa</w:t>
            </w:r>
          </w:p>
        </w:tc>
        <w:tc>
          <w:tcPr>
            <w:tcW w:w="2127" w:type="dxa"/>
          </w:tcPr>
          <w:p w14:paraId="036BD909" w14:textId="77777777" w:rsidR="001405BF" w:rsidRPr="00D76BAB" w:rsidRDefault="001405BF" w:rsidP="00E56E1D">
            <w:pPr>
              <w:rPr>
                <w:sz w:val="20"/>
              </w:rPr>
            </w:pPr>
            <w:r w:rsidRPr="00D76BAB">
              <w:rPr>
                <w:sz w:val="20"/>
              </w:rPr>
              <w:t>Iš elektros tinklo 100 – 240 V, 50 Hz.</w:t>
            </w:r>
          </w:p>
        </w:tc>
        <w:tc>
          <w:tcPr>
            <w:tcW w:w="2551" w:type="dxa"/>
          </w:tcPr>
          <w:p w14:paraId="036BD90A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0B" w14:textId="77777777" w:rsidR="001405BF" w:rsidRDefault="001405BF" w:rsidP="00E56E1D">
            <w:pPr>
              <w:rPr>
                <w:sz w:val="20"/>
              </w:rPr>
            </w:pPr>
          </w:p>
          <w:p w14:paraId="036BD90C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0D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0E" w14:textId="77777777" w:rsidR="001405BF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0F" w14:textId="77777777" w:rsidR="001405BF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919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911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12.</w:t>
            </w:r>
          </w:p>
        </w:tc>
        <w:tc>
          <w:tcPr>
            <w:tcW w:w="992" w:type="dxa"/>
          </w:tcPr>
          <w:p w14:paraId="036BD912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Komplektacija:</w:t>
            </w:r>
          </w:p>
        </w:tc>
        <w:tc>
          <w:tcPr>
            <w:tcW w:w="2127" w:type="dxa"/>
          </w:tcPr>
          <w:p w14:paraId="036BD913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551" w:type="dxa"/>
          </w:tcPr>
          <w:p w14:paraId="036BD914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15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16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17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18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922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91A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13.</w:t>
            </w:r>
          </w:p>
        </w:tc>
        <w:tc>
          <w:tcPr>
            <w:tcW w:w="992" w:type="dxa"/>
          </w:tcPr>
          <w:p w14:paraId="036BD91B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Ultragarsinė </w:t>
            </w:r>
            <w:proofErr w:type="spellStart"/>
            <w:r w:rsidRPr="00F50D14">
              <w:rPr>
                <w:sz w:val="20"/>
              </w:rPr>
              <w:t>fakoemulsifikacijos</w:t>
            </w:r>
            <w:proofErr w:type="spellEnd"/>
            <w:r w:rsidRPr="00F50D14">
              <w:rPr>
                <w:sz w:val="20"/>
              </w:rPr>
              <w:t xml:space="preserve"> rankena</w:t>
            </w:r>
          </w:p>
        </w:tc>
        <w:tc>
          <w:tcPr>
            <w:tcW w:w="2127" w:type="dxa"/>
          </w:tcPr>
          <w:p w14:paraId="036BD91C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Sterilizuojama, skirta dirbti su </w:t>
            </w:r>
            <w:proofErr w:type="spellStart"/>
            <w:r w:rsidRPr="00F50D14">
              <w:rPr>
                <w:sz w:val="20"/>
              </w:rPr>
              <w:t>atgaliukais</w:t>
            </w:r>
            <w:proofErr w:type="spellEnd"/>
            <w:r w:rsidRPr="00F50D14">
              <w:rPr>
                <w:sz w:val="20"/>
              </w:rPr>
              <w:t>, 2 vnt.</w:t>
            </w:r>
          </w:p>
        </w:tc>
        <w:tc>
          <w:tcPr>
            <w:tcW w:w="2551" w:type="dxa"/>
          </w:tcPr>
          <w:p w14:paraId="036BD91D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1E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1F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20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21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92B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923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lastRenderedPageBreak/>
              <w:t>14.</w:t>
            </w:r>
          </w:p>
        </w:tc>
        <w:tc>
          <w:tcPr>
            <w:tcW w:w="992" w:type="dxa"/>
          </w:tcPr>
          <w:p w14:paraId="036BD924" w14:textId="77777777" w:rsidR="001405BF" w:rsidRPr="00F50D14" w:rsidRDefault="001405BF" w:rsidP="00E56E1D">
            <w:pPr>
              <w:rPr>
                <w:sz w:val="20"/>
              </w:rPr>
            </w:pPr>
            <w:proofErr w:type="spellStart"/>
            <w:r w:rsidRPr="00F50D14">
              <w:rPr>
                <w:sz w:val="20"/>
              </w:rPr>
              <w:t>Bimanualinės</w:t>
            </w:r>
            <w:proofErr w:type="spellEnd"/>
            <w:r w:rsidRPr="00F50D14">
              <w:rPr>
                <w:sz w:val="20"/>
              </w:rPr>
              <w:t xml:space="preserve"> irigacijos ir aspiracijos rankenų su antgaliais komplektas</w:t>
            </w:r>
          </w:p>
        </w:tc>
        <w:tc>
          <w:tcPr>
            <w:tcW w:w="2127" w:type="dxa"/>
          </w:tcPr>
          <w:p w14:paraId="036BD925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Sterilizuojamos, 2 komplektai</w:t>
            </w:r>
          </w:p>
        </w:tc>
        <w:tc>
          <w:tcPr>
            <w:tcW w:w="2551" w:type="dxa"/>
          </w:tcPr>
          <w:p w14:paraId="036BD926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27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28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29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2A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934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92C" w14:textId="77777777" w:rsidR="001405BF" w:rsidRPr="00F50D14" w:rsidRDefault="001405BF" w:rsidP="00E56E1D">
            <w:pPr>
              <w:jc w:val="center"/>
              <w:rPr>
                <w:sz w:val="20"/>
              </w:rPr>
            </w:pPr>
            <w:r w:rsidRPr="00F50D14">
              <w:rPr>
                <w:sz w:val="20"/>
              </w:rPr>
              <w:t>15.</w:t>
            </w:r>
          </w:p>
        </w:tc>
        <w:tc>
          <w:tcPr>
            <w:tcW w:w="992" w:type="dxa"/>
          </w:tcPr>
          <w:p w14:paraId="036BD92D" w14:textId="77777777" w:rsidR="001405BF" w:rsidRPr="00F50D14" w:rsidRDefault="001405BF" w:rsidP="00E56E1D">
            <w:pPr>
              <w:rPr>
                <w:sz w:val="20"/>
              </w:rPr>
            </w:pPr>
            <w:proofErr w:type="spellStart"/>
            <w:r w:rsidRPr="00F50D14">
              <w:rPr>
                <w:sz w:val="20"/>
              </w:rPr>
              <w:t>Diatermijos</w:t>
            </w:r>
            <w:proofErr w:type="spellEnd"/>
            <w:r w:rsidRPr="00F50D14">
              <w:rPr>
                <w:sz w:val="20"/>
              </w:rPr>
              <w:t xml:space="preserve"> pincetas su laidu</w:t>
            </w:r>
          </w:p>
        </w:tc>
        <w:tc>
          <w:tcPr>
            <w:tcW w:w="2127" w:type="dxa"/>
          </w:tcPr>
          <w:p w14:paraId="036BD92E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Sterilizuojamas, 1 vnt.</w:t>
            </w:r>
          </w:p>
        </w:tc>
        <w:tc>
          <w:tcPr>
            <w:tcW w:w="2551" w:type="dxa"/>
          </w:tcPr>
          <w:p w14:paraId="036BD92F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30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31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32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33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93F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935" w14:textId="77777777" w:rsidR="001405BF" w:rsidRPr="00F50D14" w:rsidRDefault="001405BF" w:rsidP="00E56E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36BD936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>Vienkartinės naudojimo priemonės:</w:t>
            </w:r>
          </w:p>
        </w:tc>
        <w:tc>
          <w:tcPr>
            <w:tcW w:w="2127" w:type="dxa"/>
          </w:tcPr>
          <w:p w14:paraId="036BD937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>Kasetės skysčių valdymui ≥ 6 vnt.</w:t>
            </w:r>
          </w:p>
          <w:p w14:paraId="036BD938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  <w:proofErr w:type="spellStart"/>
            <w:r w:rsidRPr="00F50D14">
              <w:rPr>
                <w:sz w:val="20"/>
              </w:rPr>
              <w:t>Fako</w:t>
            </w:r>
            <w:proofErr w:type="spellEnd"/>
            <w:r w:rsidRPr="00F50D14">
              <w:rPr>
                <w:sz w:val="20"/>
              </w:rPr>
              <w:t xml:space="preserve"> </w:t>
            </w:r>
            <w:proofErr w:type="spellStart"/>
            <w:r w:rsidRPr="00F50D14">
              <w:rPr>
                <w:sz w:val="20"/>
              </w:rPr>
              <w:t>antgaliukai</w:t>
            </w:r>
            <w:proofErr w:type="spellEnd"/>
            <w:r w:rsidRPr="00F50D14">
              <w:rPr>
                <w:sz w:val="20"/>
              </w:rPr>
              <w:t xml:space="preserve"> 30° ir rankovės ≥ 6 vnt.</w:t>
            </w:r>
          </w:p>
          <w:p w14:paraId="036BD939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Priekinės </w:t>
            </w:r>
            <w:proofErr w:type="spellStart"/>
            <w:r w:rsidRPr="00F50D14">
              <w:rPr>
                <w:sz w:val="20"/>
              </w:rPr>
              <w:t>vitrektomijos</w:t>
            </w:r>
            <w:proofErr w:type="spellEnd"/>
            <w:r w:rsidRPr="00F50D14">
              <w:rPr>
                <w:sz w:val="20"/>
              </w:rPr>
              <w:t xml:space="preserve"> 23G antgalis ≥ 6 vnt.</w:t>
            </w:r>
          </w:p>
        </w:tc>
        <w:tc>
          <w:tcPr>
            <w:tcW w:w="2551" w:type="dxa"/>
          </w:tcPr>
          <w:p w14:paraId="036BD93A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3B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3C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3D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3E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948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940" w14:textId="77777777" w:rsidR="001405BF" w:rsidRPr="00F50D14" w:rsidRDefault="001405BF" w:rsidP="00E56E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36BD941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Garantija aparatui </w:t>
            </w:r>
          </w:p>
        </w:tc>
        <w:tc>
          <w:tcPr>
            <w:tcW w:w="2127" w:type="dxa"/>
          </w:tcPr>
          <w:p w14:paraId="036BD942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≥ </w:t>
            </w:r>
            <w:r>
              <w:rPr>
                <w:sz w:val="20"/>
              </w:rPr>
              <w:t>24</w:t>
            </w:r>
            <w:r w:rsidRPr="00F50D14">
              <w:rPr>
                <w:sz w:val="20"/>
              </w:rPr>
              <w:t xml:space="preserve"> mėn.</w:t>
            </w:r>
          </w:p>
        </w:tc>
        <w:tc>
          <w:tcPr>
            <w:tcW w:w="2551" w:type="dxa"/>
          </w:tcPr>
          <w:p w14:paraId="036BD943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44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45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46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47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  <w:tr w:rsidR="001405BF" w:rsidRPr="00F50D14" w14:paraId="036BD951" w14:textId="77777777" w:rsidTr="00DD6B3B">
        <w:tblPrEx>
          <w:tblCellMar>
            <w:left w:w="108" w:type="dxa"/>
            <w:right w:w="108" w:type="dxa"/>
          </w:tblCellMar>
        </w:tblPrEx>
        <w:tc>
          <w:tcPr>
            <w:tcW w:w="704" w:type="dxa"/>
          </w:tcPr>
          <w:p w14:paraId="036BD949" w14:textId="77777777" w:rsidR="001405BF" w:rsidRPr="00F50D14" w:rsidRDefault="001405BF" w:rsidP="00E56E1D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14:paraId="036BD94A" w14:textId="77777777" w:rsidR="001405BF" w:rsidRPr="00F50D14" w:rsidRDefault="001405BF" w:rsidP="00E56E1D">
            <w:pPr>
              <w:rPr>
                <w:sz w:val="20"/>
              </w:rPr>
            </w:pPr>
            <w:r w:rsidRPr="00F50D14">
              <w:rPr>
                <w:sz w:val="20"/>
              </w:rPr>
              <w:t xml:space="preserve">Garantija ultragarsinei </w:t>
            </w:r>
            <w:proofErr w:type="spellStart"/>
            <w:r w:rsidRPr="00F50D14">
              <w:rPr>
                <w:sz w:val="20"/>
              </w:rPr>
              <w:t>fakoemulsifikavimo</w:t>
            </w:r>
            <w:proofErr w:type="spellEnd"/>
            <w:r w:rsidRPr="00F50D14">
              <w:rPr>
                <w:sz w:val="20"/>
              </w:rPr>
              <w:t xml:space="preserve"> rankenai</w:t>
            </w:r>
          </w:p>
        </w:tc>
        <w:tc>
          <w:tcPr>
            <w:tcW w:w="2127" w:type="dxa"/>
          </w:tcPr>
          <w:p w14:paraId="036BD94B" w14:textId="77777777" w:rsidR="001405BF" w:rsidRPr="00F50D14" w:rsidRDefault="001405BF" w:rsidP="00E56E1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50D14">
              <w:rPr>
                <w:sz w:val="20"/>
              </w:rPr>
              <w:t xml:space="preserve">≥ </w:t>
            </w:r>
            <w:r>
              <w:rPr>
                <w:sz w:val="20"/>
              </w:rPr>
              <w:t>12</w:t>
            </w:r>
            <w:r w:rsidRPr="00F50D14">
              <w:rPr>
                <w:sz w:val="20"/>
              </w:rPr>
              <w:t xml:space="preserve"> mėn.</w:t>
            </w:r>
          </w:p>
        </w:tc>
        <w:tc>
          <w:tcPr>
            <w:tcW w:w="2551" w:type="dxa"/>
          </w:tcPr>
          <w:p w14:paraId="036BD94C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410" w:type="dxa"/>
          </w:tcPr>
          <w:p w14:paraId="036BD94D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268" w:type="dxa"/>
          </w:tcPr>
          <w:p w14:paraId="036BD94E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1701" w:type="dxa"/>
          </w:tcPr>
          <w:p w14:paraId="036BD94F" w14:textId="77777777" w:rsidR="001405BF" w:rsidRPr="00F50D14" w:rsidRDefault="001405BF" w:rsidP="00E56E1D">
            <w:pPr>
              <w:rPr>
                <w:sz w:val="20"/>
              </w:rPr>
            </w:pPr>
          </w:p>
        </w:tc>
        <w:tc>
          <w:tcPr>
            <w:tcW w:w="2977" w:type="dxa"/>
          </w:tcPr>
          <w:p w14:paraId="036BD950" w14:textId="77777777" w:rsidR="001405BF" w:rsidRPr="00F50D14" w:rsidRDefault="001405BF" w:rsidP="00E56E1D">
            <w:pPr>
              <w:rPr>
                <w:sz w:val="20"/>
              </w:rPr>
            </w:pPr>
          </w:p>
        </w:tc>
      </w:tr>
    </w:tbl>
    <w:p w14:paraId="036BD952" w14:textId="77777777" w:rsidR="001405BF" w:rsidRPr="00F50D14" w:rsidRDefault="001405BF" w:rsidP="001405BF">
      <w:r>
        <w:br w:type="textWrapping" w:clear="all"/>
      </w:r>
    </w:p>
    <w:p w14:paraId="036BD953" w14:textId="77777777" w:rsidR="001405BF" w:rsidRPr="00F50D14" w:rsidRDefault="001405BF" w:rsidP="001405BF"/>
    <w:p w14:paraId="036BD954" w14:textId="77777777" w:rsidR="00A62EC1" w:rsidRDefault="00A62EC1"/>
    <w:sectPr w:rsidR="00A62EC1" w:rsidSect="001405BF">
      <w:pgSz w:w="16838" w:h="11906" w:orient="landscape"/>
      <w:pgMar w:top="1417" w:right="85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4D"/>
    <w:rsid w:val="001322D7"/>
    <w:rsid w:val="001405BF"/>
    <w:rsid w:val="00184277"/>
    <w:rsid w:val="00344135"/>
    <w:rsid w:val="0047449C"/>
    <w:rsid w:val="004863AF"/>
    <w:rsid w:val="005525F6"/>
    <w:rsid w:val="00561E4D"/>
    <w:rsid w:val="005645B0"/>
    <w:rsid w:val="00666262"/>
    <w:rsid w:val="00745AAC"/>
    <w:rsid w:val="007C7462"/>
    <w:rsid w:val="00821BB9"/>
    <w:rsid w:val="008D54C5"/>
    <w:rsid w:val="0090061F"/>
    <w:rsid w:val="0095456B"/>
    <w:rsid w:val="00A14FC9"/>
    <w:rsid w:val="00A41A68"/>
    <w:rsid w:val="00A62EC1"/>
    <w:rsid w:val="00B44CA8"/>
    <w:rsid w:val="00C654BB"/>
    <w:rsid w:val="00CA3F60"/>
    <w:rsid w:val="00CD6053"/>
    <w:rsid w:val="00D92950"/>
    <w:rsid w:val="00DD6B3B"/>
    <w:rsid w:val="00E1223E"/>
    <w:rsid w:val="00E3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D860"/>
  <w15:chartTrackingRefBased/>
  <w15:docId w15:val="{A60ABCE9-653B-44D4-8F98-0050D37B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05BF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E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E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E4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E4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E4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E4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E4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E4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E4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E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E4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E4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E4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E4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E4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E4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E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E4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E4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E4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E4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E4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E4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E4D"/>
    <w:rPr>
      <w:b/>
      <w:bCs/>
      <w:smallCaps/>
      <w:color w:val="2F5496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rsid w:val="001405B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405BF"/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1405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3807627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4336</Words>
  <Characters>2473</Characters>
  <Application>Microsoft Office Word</Application>
  <DocSecurity>0</DocSecurity>
  <Lines>20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Karpol Office Account 2021</dc:creator>
  <cp:keywords/>
  <dc:description/>
  <cp:lastModifiedBy>Elžbieta Taločkaitė</cp:lastModifiedBy>
  <cp:revision>19</cp:revision>
  <dcterms:created xsi:type="dcterms:W3CDTF">2025-01-22T13:24:00Z</dcterms:created>
  <dcterms:modified xsi:type="dcterms:W3CDTF">2025-01-23T12:42:00Z</dcterms:modified>
</cp:coreProperties>
</file>