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39D" w:rsidR="0018306A" w:rsidP="0018306A" w:rsidRDefault="0018306A" w14:paraId="0FBE2393" w14:textId="77777777">
      <w:pPr>
        <w:pStyle w:val="Heading2"/>
        <w:ind w:left="5103"/>
        <w:rPr>
          <w:rFonts w:ascii="Times New Roman" w:hAnsi="Times New Roman" w:eastAsia="Calibri" w:cs="Times New Roman"/>
          <w:color w:val="0070C0"/>
          <w:sz w:val="24"/>
          <w:szCs w:val="24"/>
        </w:rPr>
      </w:pPr>
      <w:bookmarkStart w:name="_Toc205366799" w:id="0"/>
      <w:bookmarkStart w:name="_Ref38899023" w:id="1"/>
      <w:bookmarkStart w:name="_Ref38539939" w:id="2"/>
      <w:bookmarkStart w:name="_Ref38541068" w:id="3"/>
      <w:bookmarkStart w:name="_Ref38885053" w:id="4"/>
      <w:r w:rsidRPr="00E6039D">
        <w:rPr>
          <w:rFonts w:ascii="Times New Roman" w:hAnsi="Times New Roman" w:eastAsia="Calibri" w:cs="Times New Roman"/>
          <w:color w:val="0070C0"/>
          <w:sz w:val="24"/>
          <w:szCs w:val="24"/>
        </w:rPr>
        <w:t>Pirkimo sąlygų 2 priedas „Techninė specifikacija“</w:t>
      </w:r>
      <w:bookmarkEnd w:id="0"/>
      <w:bookmarkEnd w:id="1"/>
      <w:bookmarkEnd w:id="2"/>
      <w:bookmarkEnd w:id="3"/>
      <w:bookmarkEnd w:id="4"/>
    </w:p>
    <w:p w:rsidRPr="00E6039D" w:rsidR="0018306A" w:rsidP="0018306A" w:rsidRDefault="0018306A" w14:paraId="0C6787E9" w14:textId="77777777">
      <w:pPr>
        <w:jc w:val="center"/>
        <w:rPr>
          <w:rFonts w:ascii="Times New Roman" w:hAnsi="Times New Roman" w:cs="Times New Roman"/>
          <w:b/>
          <w:bCs/>
          <w:sz w:val="24"/>
          <w:szCs w:val="24"/>
        </w:rPr>
      </w:pPr>
    </w:p>
    <w:p w:rsidRPr="00E6039D" w:rsidR="0018306A" w:rsidP="0018306A" w:rsidRDefault="0018306A" w14:paraId="7AD5B063" w14:textId="77777777">
      <w:pPr>
        <w:pStyle w:val="Subtitle"/>
        <w:jc w:val="center"/>
        <w:rPr>
          <w:rFonts w:ascii="Times New Roman" w:hAnsi="Times New Roman" w:cs="Times New Roman"/>
          <w:b/>
          <w:bCs/>
          <w:sz w:val="24"/>
          <w:szCs w:val="24"/>
        </w:rPr>
      </w:pPr>
      <w:r w:rsidRPr="00E6039D">
        <w:rPr>
          <w:rFonts w:ascii="Times New Roman" w:hAnsi="Times New Roman" w:cs="Times New Roman"/>
          <w:b/>
          <w:bCs/>
          <w:sz w:val="24"/>
          <w:szCs w:val="24"/>
        </w:rPr>
        <w:t>TECHNINĖ SPECIFIKACIJA</w:t>
      </w:r>
    </w:p>
    <w:p w:rsidRPr="00E6039D" w:rsidR="0018306A" w:rsidP="0018306A" w:rsidRDefault="0018306A" w14:paraId="72DCAF63" w14:textId="77777777">
      <w:pPr>
        <w:pStyle w:val="NormalWeb"/>
        <w:jc w:val="center"/>
        <w:rPr>
          <w:rStyle w:val="Strong"/>
          <w:rFonts w:ascii="Times New Roman" w:hAnsi="Times New Roman" w:cs="Times New Roman" w:eastAsiaTheme="majorEastAsia"/>
          <w:sz w:val="24"/>
          <w:szCs w:val="24"/>
        </w:rPr>
      </w:pPr>
      <w:r w:rsidRPr="00E6039D">
        <w:rPr>
          <w:rStyle w:val="Strong"/>
          <w:rFonts w:ascii="Times New Roman" w:hAnsi="Times New Roman" w:cs="Times New Roman" w:eastAsiaTheme="majorEastAsia"/>
          <w:sz w:val="24"/>
          <w:szCs w:val="24"/>
        </w:rPr>
        <w:t>1. Pirkimo objektas</w:t>
      </w:r>
    </w:p>
    <w:p w:rsidRPr="00E6039D" w:rsidR="0018306A" w:rsidP="0018306A" w:rsidRDefault="0018306A" w14:paraId="174158B0" w14:textId="77777777">
      <w:pPr>
        <w:pStyle w:val="NormalWeb"/>
        <w:jc w:val="both"/>
        <w:rPr>
          <w:rFonts w:ascii="Times New Roman" w:hAnsi="Times New Roman" w:cs="Times New Roman"/>
          <w:sz w:val="24"/>
          <w:szCs w:val="24"/>
        </w:rPr>
      </w:pPr>
      <w:r w:rsidRPr="00E6039D">
        <w:rPr>
          <w:rFonts w:ascii="Times New Roman" w:hAnsi="Times New Roman" w:cs="Times New Roman"/>
          <w:sz w:val="24"/>
          <w:szCs w:val="24"/>
        </w:rPr>
        <w:t>1.1. Pirkimo objektas – Lietuvos žemės ir maisto ūkio, tautinio paveldo produktų ir patiekalų ekspozicijos koncepcijos sukūrimo, projektavimo, įrengimo, aptarnavimo ir išmontavimo paslaugos tarptautinėje parodoje „Žalioji savaitė“, vyksiančioje 2027 m. sausio 15-24 d. Berlyne, Vokietijoje (toliau – Ekspozicija).</w:t>
      </w:r>
    </w:p>
    <w:p w:rsidRPr="00E6039D" w:rsidR="0018306A" w:rsidP="0018306A" w:rsidRDefault="0018306A" w14:paraId="40F404D2" w14:textId="77777777">
      <w:pPr>
        <w:pStyle w:val="NormalWeb"/>
        <w:jc w:val="both"/>
        <w:rPr>
          <w:rFonts w:ascii="Times New Roman" w:hAnsi="Times New Roman" w:cs="Times New Roman"/>
          <w:sz w:val="24"/>
          <w:szCs w:val="24"/>
        </w:rPr>
      </w:pPr>
      <w:r w:rsidRPr="00E6039D">
        <w:rPr>
          <w:rFonts w:ascii="Times New Roman" w:hAnsi="Times New Roman" w:cs="Times New Roman"/>
          <w:sz w:val="24"/>
          <w:szCs w:val="24"/>
        </w:rPr>
        <w:t>1.2. Ekspozicija turi būti sukurta kaip reprezentacinė Lietuvos Respublikos žemės ūkio ministerijos erdvė, skirta Lietuvos žemės ir maisto ūkio, tautinio paveldo, lietuviškų produktų, kulinarinio paveldo, inovacijų, tvarumo ir Lietuvos pirmininkavimo Europos Sąjungos Tarybai 2027 m. pristatymui.</w:t>
      </w:r>
    </w:p>
    <w:p w:rsidRPr="00E6039D" w:rsidR="0018306A" w:rsidP="0018306A" w:rsidRDefault="0018306A" w14:paraId="6C69BE8F" w14:textId="77777777">
      <w:pPr>
        <w:pStyle w:val="NormalWeb"/>
        <w:ind w:firstLine="720"/>
        <w:jc w:val="center"/>
        <w:rPr>
          <w:rStyle w:val="Strong"/>
          <w:rFonts w:ascii="Times New Roman" w:hAnsi="Times New Roman" w:cs="Times New Roman" w:eastAsiaTheme="majorEastAsia"/>
          <w:sz w:val="24"/>
          <w:szCs w:val="24"/>
        </w:rPr>
      </w:pPr>
      <w:r w:rsidRPr="00E6039D">
        <w:rPr>
          <w:rStyle w:val="Strong"/>
          <w:rFonts w:ascii="Times New Roman" w:hAnsi="Times New Roman" w:cs="Times New Roman" w:eastAsiaTheme="majorEastAsia"/>
          <w:sz w:val="24"/>
          <w:szCs w:val="24"/>
        </w:rPr>
        <w:t>2. Pirkimo tikslas</w:t>
      </w:r>
    </w:p>
    <w:p w:rsidRPr="00E6039D" w:rsidR="0018306A" w:rsidP="0018306A" w:rsidRDefault="0018306A" w14:paraId="2FC05EB9"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2.1. Pirkimo tikslas – įsigyti kokybiškas, funkcionalias ir reprezentatyvias Ekspozicijos sukūrimo, įrengimo ir aptarnavimo paslaugas, užtikrinant, kad Ekspozicija būtų pritaikyta ne tik parodos lankytojų informavimui ir lietuviškų produktų pristatymui, bet ir aukšto lygio susitikimams, pasitarimams, oficialių delegacijų priėmimui bei Lietuvos, kaip 2027 m. Europos Sąjungos Tarybai pirmininkausiančios valstybės, įvaizdžio stiprinimui.</w:t>
      </w:r>
    </w:p>
    <w:p w:rsidRPr="00E6039D" w:rsidR="0018306A" w:rsidP="0018306A" w:rsidRDefault="0018306A" w14:paraId="01FEB2E8"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2.2. Ekspozicija turi būti kuriama kaip vientisa architektūrinė, funkcinė ir komunikacinė erdvė, atspindinti šiuolaikišką, atvirą ir tvarią Lietuvą, kartu išlaikant aiškią sąsają su Lietuvos žemės ūkiu, maisto kultūra, regionų savitumu, tautiniu paveldu ir inovatyviais sprendimais.</w:t>
      </w:r>
    </w:p>
    <w:p w:rsidRPr="00E6039D" w:rsidR="0018306A" w:rsidP="0018306A" w:rsidRDefault="0018306A" w14:paraId="23221DA3"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2.3. Tiekėjo siūloma Ekspozicijos koncepcija turi užtikrinti aukštą vizualinę kokybę, patogų ir saugų lankytojų srautų valdymą, aiškų funkcinių zonų išdėstymą, pakankamą erdvių privatumą oficialiems susitikimams ir sklandų visų numatytų veiklų vykdymą parodos metu.</w:t>
      </w:r>
    </w:p>
    <w:p w:rsidRPr="00E6039D" w:rsidR="0018306A" w:rsidP="0018306A" w:rsidRDefault="0018306A" w14:paraId="6ED7C843" w14:textId="77777777">
      <w:pPr>
        <w:pStyle w:val="NormalWeb"/>
        <w:jc w:val="center"/>
        <w:rPr>
          <w:rStyle w:val="Strong"/>
          <w:rFonts w:ascii="Times New Roman" w:hAnsi="Times New Roman" w:cs="Times New Roman" w:eastAsiaTheme="majorEastAsia"/>
          <w:sz w:val="24"/>
          <w:szCs w:val="24"/>
        </w:rPr>
      </w:pPr>
      <w:r w:rsidRPr="00E6039D">
        <w:rPr>
          <w:rStyle w:val="Strong"/>
          <w:rFonts w:ascii="Times New Roman" w:hAnsi="Times New Roman" w:cs="Times New Roman" w:eastAsiaTheme="majorEastAsia"/>
          <w:sz w:val="24"/>
          <w:szCs w:val="24"/>
        </w:rPr>
        <w:t>3. Pasiūlymo reikalavimai</w:t>
      </w:r>
    </w:p>
    <w:p w:rsidRPr="00E6039D" w:rsidR="0018306A" w:rsidP="0018306A" w:rsidRDefault="0018306A" w14:paraId="672A9F35"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3.1. Tiekėjas kartu su pasiūlymu turi pateikti naują Ekspozicijos architektūrinę ir funkcinę koncepciją. Koncepcija negali būti vien ankstesnių metų Ekspozicijos sprendinių atkartojimas. Ji turi būti pritaikyta 2027 m. parodos kontekstui, Lietuvos pirmininkavimo Europos Sąjungos Tarybai komunikacijai ir padidintam oficialių susitikimų, pasitarimų bei delegacijų priėmimo poreikiui.</w:t>
      </w:r>
    </w:p>
    <w:p w:rsidRPr="00E6039D" w:rsidR="0018306A" w:rsidP="0018306A" w:rsidRDefault="0018306A" w14:paraId="692AB19B"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3.3. Ankstesnių metų (2026 m.) Ekspozicijos projektas (priedas Nr. 1) yra tik informacinė ir pagalbinė medžiaga, skirta parodyti ankstesnį funkcijų mastą ir veiklų pobūdį. </w:t>
      </w:r>
    </w:p>
    <w:p w:rsidRPr="00E6039D" w:rsidR="0018306A" w:rsidP="0018306A" w:rsidRDefault="0018306A" w14:paraId="25EC8318"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3.4. Tiekėjas privalo pasiūlyti savarankišką, pagrįstą ir vientisą Ekspozicijos sprendinį, kuris atitiktų šioje techninėje specifikacijoje nustatytus minimalius funkcinius, techninius ir kokybinius reikalavimus.</w:t>
      </w:r>
    </w:p>
    <w:p w:rsidRPr="00E6039D" w:rsidR="0018306A" w:rsidP="0018306A" w:rsidRDefault="0018306A" w14:paraId="7D6DE5E3" w14:textId="77777777">
      <w:pPr>
        <w:pStyle w:val="NormalWeb"/>
        <w:jc w:val="center"/>
        <w:rPr>
          <w:rFonts w:ascii="Times New Roman" w:hAnsi="Times New Roman" w:cs="Times New Roman"/>
          <w:sz w:val="24"/>
          <w:szCs w:val="24"/>
        </w:rPr>
      </w:pPr>
      <w:r w:rsidRPr="00E6039D">
        <w:rPr>
          <w:rStyle w:val="Strong"/>
          <w:rFonts w:ascii="Times New Roman" w:hAnsi="Times New Roman" w:cs="Times New Roman" w:eastAsiaTheme="majorEastAsia"/>
          <w:sz w:val="24"/>
          <w:szCs w:val="24"/>
        </w:rPr>
        <w:t>4. Reikalavimai Ekspozicijai</w:t>
      </w:r>
    </w:p>
    <w:p w:rsidRPr="00E6039D" w:rsidR="0018306A" w:rsidP="0018306A" w:rsidRDefault="0018306A" w14:paraId="7C19422D"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4.1. Ekspozicijos erdvė turi apimti 190 m² pirmame aukšte ir ne mažiau kaip 100 m² antrame aukšte. Bendras Ekspozicijos „grindų“ plotas ir parodos organizatoriaus suteiktos erdvės ribos negali būti keičiamos, išskyrus atvejus, kai parodos organizatorius nustato kitokius privalomus techninius ar ploto reikalavimus (Ekspozicijos plotą parodos organizatorius patvirtins iki 2026 metų lapkričio mėnesio).</w:t>
      </w:r>
    </w:p>
    <w:p w:rsidRPr="00E6039D" w:rsidR="0018306A" w:rsidP="0018306A" w:rsidRDefault="0018306A" w14:paraId="700CBD58"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4.2. Tiekėjas turi pasiūlyti optimalų pirmo ir antro aukšto funkcinį išplanavimą. Funkcinių zonų plotai gali skirtis nuo Perkančiosios organizacijos nurodytų dydžių, jeigu tiekėjas pagrindžia, kad toks sprendimas geriau užtikrina Ekspozicijos funkcionalumą, lankytojų srautų valdymą, oficialių susitikimų organizavimą ir reprezentacinę kokybę ir jeigu siūlymas atitinka Messe Berlin parodų rūmų techninius reikalavimus bei neviršija numatytos Ekspozicijos erdvės. </w:t>
      </w:r>
    </w:p>
    <w:p w:rsidRPr="00E6039D" w:rsidR="0018306A" w:rsidP="0018306A" w:rsidRDefault="0018306A" w14:paraId="33C8C2B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4.3. Atsižvelgiant į Lietuvos pirmininkavimą Europos Sąjungos Tarybai 2027 m., antras Ekspozicijos aukštas turi būti projektuojamas kaip reprezentatyvi susitikimų, pasitarimų, delegacijų priėmimo ir uždarų pokalbių erdvė. Jame turi būti užtikrintas didesnis privatumas, tinkamas akustinis komfortas, vėdinimas, galimybė organizuoti formalius ir neformalius susitikimus, taip pat patogi darbo aplinka Perkančiosios organizacijos ir delegacijų atstovams. Turi būti numatyta vieta fotografavimui. </w:t>
      </w:r>
    </w:p>
    <w:p w:rsidRPr="00E6039D" w:rsidR="0018306A" w:rsidP="0018306A" w:rsidRDefault="0018306A" w14:paraId="37E1E588"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4.4. Pirmas Ekspozicijos aukštas turi būti skirtas  Lietuvos pristatymui, lankytojų priėmimui, lietuviškų žemės ūkio ir maisto produktų, tautinio paveldo, kulinarinio paveldo produktų pristatymui bei degustavimui, Lietuvos žemės ūkio ir kaimo plėtros 2023–2027 m. strateginio plano bei kitų aktualių temų pristatymui. Pirmame aukšte turi būti erdvė, skirta maisto ruošimui. Pirmojo aukšto erdvė gali būti suskirstyta į tris dalis: I zona – apie 87 m², II zona – apie 60 m²  ir III zona – apie  43 m² (tiekėjas turi pats paskirstyti erdves, kad būtų užtikrintos visos pagrindinės funkcijos).</w:t>
      </w:r>
    </w:p>
    <w:p w:rsidRPr="00E6039D" w:rsidR="0018306A" w:rsidP="0018306A" w:rsidRDefault="0018306A" w14:paraId="702F5517"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4.5. Ekspozicija turi būti pritaikyta šioms pagrindinėms funkcijoms:</w:t>
      </w:r>
    </w:p>
    <w:p w:rsidRPr="00E6039D" w:rsidR="0018306A" w:rsidP="7065A416" w:rsidRDefault="0018306A" w14:paraId="62E04685" w14:textId="40E9828D">
      <w:pPr>
        <w:spacing w:before="100" w:beforeAutospacing="on" w:after="100" w:afterAutospacing="on" w:line="240" w:lineRule="auto"/>
        <w:jc w:val="both"/>
        <w:rPr>
          <w:rFonts w:ascii="Times New Roman" w:hAnsi="Times New Roman" w:eastAsia="Times New Roman" w:cs="Times New Roman"/>
          <w:sz w:val="24"/>
          <w:szCs w:val="24"/>
        </w:rPr>
      </w:pPr>
      <w:r w:rsidRPr="7065A416" w:rsidR="0018306A">
        <w:rPr>
          <w:rFonts w:ascii="Times New Roman" w:hAnsi="Times New Roman" w:eastAsia="Times New Roman" w:cs="Times New Roman"/>
          <w:sz w:val="24"/>
          <w:szCs w:val="24"/>
        </w:rPr>
        <w:t>4.5.1. Lietuvos žemės ir maisto ūkio, tautinio paveldo produktų ir patiekalų gaminimui, pristatymui bei degustacijoms</w:t>
      </w:r>
      <w:r w:rsidRPr="7065A416" w:rsidR="0018306A">
        <w:rPr>
          <w:rFonts w:ascii="Times New Roman" w:hAnsi="Times New Roman" w:cs="Times New Roman"/>
          <w:sz w:val="24"/>
          <w:szCs w:val="24"/>
        </w:rPr>
        <w:t xml:space="preserve"> </w:t>
      </w:r>
      <w:r w:rsidRPr="7065A416" w:rsidR="0018306A">
        <w:rPr>
          <w:rFonts w:ascii="Times New Roman" w:hAnsi="Times New Roman" w:cs="Times New Roman"/>
          <w:sz w:val="24"/>
          <w:szCs w:val="24"/>
        </w:rPr>
        <w:t>ar pristatymams, o pati aplinka turi būti patogi tiek svečiams, tiek stendo personalui)</w:t>
      </w:r>
      <w:r w:rsidRPr="7065A416" w:rsidR="0018306A">
        <w:rPr>
          <w:rFonts w:ascii="Times New Roman" w:hAnsi="Times New Roman" w:eastAsia="Times New Roman" w:cs="Times New Roman"/>
          <w:sz w:val="24"/>
          <w:szCs w:val="24"/>
        </w:rPr>
        <w:t>;</w:t>
      </w:r>
    </w:p>
    <w:p w:rsidRPr="00E6039D" w:rsidR="0018306A" w:rsidP="7065A416" w:rsidRDefault="0018306A" w14:paraId="50FE3D33" w14:textId="4350428B">
      <w:pPr>
        <w:spacing w:before="100" w:beforeAutospacing="on" w:after="100" w:afterAutospacing="on" w:line="240" w:lineRule="auto"/>
        <w:jc w:val="both"/>
        <w:rPr>
          <w:rFonts w:ascii="Times New Roman" w:hAnsi="Times New Roman" w:eastAsia="Times New Roman" w:cs="Times New Roman"/>
          <w:sz w:val="24"/>
          <w:szCs w:val="24"/>
        </w:rPr>
      </w:pPr>
      <w:r w:rsidRPr="3D60AA48" w:rsidR="0018306A">
        <w:rPr>
          <w:rFonts w:ascii="Times New Roman" w:hAnsi="Times New Roman" w:eastAsia="Times New Roman" w:cs="Times New Roman"/>
          <w:sz w:val="24"/>
          <w:szCs w:val="24"/>
        </w:rPr>
        <w:t>4.5.2. informacijai apie Lietuvos žemės ūkio ir kaimo plėtros 2023–2027 m. strateginį planą, jo naudą, rezultatus ir gerosios praktikos pavyzdžius pristatyti (šioje z</w:t>
      </w:r>
      <w:r w:rsidRPr="3D60AA48" w:rsidR="0018306A">
        <w:rPr>
          <w:rFonts w:ascii="Times New Roman" w:hAnsi="Times New Roman" w:cs="Times New Roman"/>
          <w:sz w:val="24"/>
          <w:szCs w:val="24"/>
        </w:rPr>
        <w:t>onoje turi būti suformuotos kelios aiškiai atskirtos funkcinės erdvės: pagrindinė ekspozicinė dalis su 7 darbo vietomis  (perkančioji organizacija rekomenduoja numatyti galimybę dirbti bent 14 darbuotojų)</w:t>
      </w:r>
      <w:r w:rsidRPr="3D60AA48" w:rsidR="0AFA4462">
        <w:rPr>
          <w:rFonts w:ascii="Times New Roman" w:hAnsi="Times New Roman" w:cs="Times New Roman"/>
          <w:sz w:val="24"/>
          <w:szCs w:val="24"/>
        </w:rPr>
        <w:t xml:space="preserve"> </w:t>
      </w:r>
      <w:r w:rsidRPr="3D60AA48" w:rsidR="0AFA4462">
        <w:rPr>
          <w:rFonts w:ascii="Times New Roman" w:hAnsi="Times New Roman" w:cs="Times New Roman"/>
          <w:sz w:val="24"/>
          <w:szCs w:val="24"/>
        </w:rPr>
        <w:t>ir kita dalis su 5 darbo vietomis</w:t>
      </w:r>
      <w:r w:rsidRPr="3D60AA48" w:rsidR="0018306A">
        <w:rPr>
          <w:rFonts w:ascii="Times New Roman" w:hAnsi="Times New Roman" w:cs="Times New Roman"/>
          <w:sz w:val="24"/>
          <w:szCs w:val="24"/>
        </w:rPr>
        <w:t xml:space="preserve"> lankytojams aptarnauti, informacinių leidinių pateikimo zona bei dvi pagalbinės patalpos, skirtos sandėliavimui, drabužinei ir trumpalaikei darbuotojų poilsio zonai. Reikalinga įranga ir baldai (pvz., šaldytuvai-vitrinos, spintelės, lentynos, stelažai) turi būti išdėstyti taip, kad būtų užtikrinta sklandžiai organizuota veikla ir estetiškas stendo pateikimas)</w:t>
      </w:r>
      <w:r w:rsidRPr="3D60AA48" w:rsidR="0018306A">
        <w:rPr>
          <w:rFonts w:ascii="Times New Roman" w:hAnsi="Times New Roman" w:eastAsia="Times New Roman" w:cs="Times New Roman"/>
          <w:sz w:val="24"/>
          <w:szCs w:val="24"/>
        </w:rPr>
        <w:t>;</w:t>
      </w:r>
    </w:p>
    <w:p w:rsidRPr="00E6039D" w:rsidR="0018306A" w:rsidP="0018306A" w:rsidRDefault="0018306A" w14:paraId="447EA20C"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4.5.3. Lietuvos, kaip 2027 m. Europos Sąjungos Tarybai pirmininkausiančios valstybės, reprezentaciniam pristatymui;</w:t>
      </w:r>
    </w:p>
    <w:p w:rsidRPr="00E6039D" w:rsidR="0018306A" w:rsidP="0018306A" w:rsidRDefault="0018306A" w14:paraId="491B7C01"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4.5.4. oficialiems dvišaliams ir trišaliams susitikimams, pasitarimams, delegacijų priėmimui ir neformaliam bendravimui (</w:t>
      </w:r>
      <w:r w:rsidRPr="00E6039D">
        <w:rPr>
          <w:rFonts w:ascii="Times New Roman" w:hAnsi="Times New Roman" w:cs="Times New Roman"/>
          <w:sz w:val="24"/>
          <w:szCs w:val="24"/>
        </w:rPr>
        <w:t>turi būti galimybė rengti priėmimus iki 100 asmenų</w:t>
      </w:r>
      <w:r w:rsidRPr="00E6039D">
        <w:rPr>
          <w:rFonts w:ascii="Times New Roman" w:hAnsi="Times New Roman" w:eastAsia="Times New Roman" w:cs="Times New Roman"/>
          <w:sz w:val="24"/>
          <w:szCs w:val="24"/>
        </w:rPr>
        <w:t>);</w:t>
      </w:r>
    </w:p>
    <w:p w:rsidRPr="00E6039D" w:rsidR="0018306A" w:rsidP="0018306A" w:rsidRDefault="0018306A" w14:paraId="3E70FD71"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4.5.5. spaudos, komunikacijos, pristatymų ir kitų reprezentacinių veiklų organizavimui;</w:t>
      </w:r>
    </w:p>
    <w:p w:rsidRPr="00E6039D" w:rsidR="0018306A" w:rsidP="0018306A" w:rsidRDefault="0018306A" w14:paraId="0FB7B20B"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4.5.6. parodos lankytojų, verslo atstovų, institucijų, partnerių ir kitų Ekspozicijos svečių priėmimui.</w:t>
      </w:r>
    </w:p>
    <w:p w:rsidRPr="00E6039D" w:rsidR="0018306A" w:rsidP="0018306A" w:rsidRDefault="0018306A" w14:paraId="1536093F" w14:textId="77777777">
      <w:pPr>
        <w:pStyle w:val="NormalWeb"/>
        <w:ind w:firstLine="720"/>
        <w:jc w:val="center"/>
        <w:rPr>
          <w:rFonts w:ascii="Times New Roman" w:hAnsi="Times New Roman" w:cs="Times New Roman"/>
          <w:sz w:val="24"/>
          <w:szCs w:val="24"/>
        </w:rPr>
      </w:pPr>
      <w:r w:rsidRPr="00E6039D">
        <w:rPr>
          <w:rStyle w:val="Strong"/>
          <w:rFonts w:ascii="Times New Roman" w:hAnsi="Times New Roman" w:cs="Times New Roman" w:eastAsiaTheme="majorEastAsia"/>
          <w:sz w:val="24"/>
          <w:szCs w:val="24"/>
        </w:rPr>
        <w:t>5. Paslaugų teikimas</w:t>
      </w:r>
    </w:p>
    <w:p w:rsidRPr="00E6039D" w:rsidR="0018306A" w:rsidP="0018306A" w:rsidRDefault="0018306A" w14:paraId="550D60AB"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5.1. Ekspozicijos projektavimas ir derinimas</w:t>
      </w:r>
    </w:p>
    <w:p w:rsidRPr="00E6039D" w:rsidR="0018306A" w:rsidP="0018306A" w:rsidRDefault="0018306A" w14:paraId="7D427575"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5.1.1. </w:t>
      </w:r>
      <w:r w:rsidRPr="00E6039D">
        <w:rPr>
          <w:rFonts w:ascii="Times New Roman" w:hAnsi="Times New Roman" w:cs="Times New Roman"/>
          <w:sz w:val="24"/>
          <w:szCs w:val="24"/>
        </w:rPr>
        <w:t>Tiekėjas privalo parengti ir įgyvendinti Ekspozicijos architektūrinę, funkcinę ir vizualinę koncepciją pagal techninės specifikacijos reikalavimus ir pagal tiekėjo su pasiūlymu pateiktą kūrybinę, vizualinę bei funkcinę Ekspozicijos koncepciją, kuri buvo vertinama pagal pirkimo sąlygose nustatytus ekonominio naudingumo vertinimo kriterijus.</w:t>
      </w:r>
    </w:p>
    <w:p w:rsidRPr="00E6039D" w:rsidR="0018306A" w:rsidP="0018306A" w:rsidRDefault="0018306A" w14:paraId="79A0F493" w14:textId="77777777">
      <w:pPr>
        <w:pStyle w:val="NormalWeb"/>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5.1.2. Per 15 kalendorinių dienų nuo sutarties įsigaliojimo tiekėjas turi pateikti Perkančiajai organizacijai detalizuotus Ekspozicijos projektinius sprendinius, parengtus pagal su pasiūlymu pateiktą ir įvertintą Ekspozicijos kūrybinę, vizualinę bei funkcinę koncepciją. Kartu turi būti pateikta ne mažiau kaip 3 Ekspozicijos vizualizacijos, pirmo ir antro aukšto išplanavimo sprendiniai, funkcinių zonų schema, lankytojų, personalo, aptarnavimo ir delegacijų judėjimo srautų schema, pagrindinių techninių ir inžinerinių sprendinių aprašymas bei aiškinamasis raštas, pagrindžiantis siūlomų sprendinių atitiktį techninės specifikacijos reikalavimams ir su pasiūlymu pateiktai koncepcijai.</w:t>
      </w:r>
    </w:p>
    <w:p w:rsidRPr="00E6039D" w:rsidR="0018306A" w:rsidP="0018306A" w:rsidRDefault="0018306A" w14:paraId="2ED39AF9"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5.1.3. Po sutarties įsigaliojimo tiekėjo pateikiami projektiniai sprendiniai gali būti tikslinami, detalizuojami ir derinami su Perkančiąja organizacija, tačiau tokie tikslinimai negali pakeisti su pasiūlymu pateiktos ir ekonominio naudingumo vertinimo metu įvertintos Ekspozicijos koncepcijos esmės, pagrindinių kūrybinių, vizualinių, architektūrinių ir funkcinių sprendinių, išskyrus atvejus, kai pakeitimai būtini dėl parodos organizatoriaus privalomų techninių, saugos, priešgaisrinių ar kitų reikalavimų arba kai pakeitimams raštu pritaria Perkančioji organizacija.</w:t>
      </w:r>
    </w:p>
    <w:p w:rsidRPr="00E6039D" w:rsidR="0018306A" w:rsidP="0018306A" w:rsidRDefault="0018306A" w14:paraId="06ED07C5"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5.1.4. Galutinis Ekspozicijos projektas turi būti suderintas su Perkančiąja organizacija ne vėliau kaip per 30 kalendorinių dienų nuo sutarties įsigaliojimo. Galutinis projektas turi apimti suderintas vizualizacijas, pirmo ir antro aukšto planus, funkcinių zonų išdėstymą, techninių ir inžinerinių sprendinių aprašymą, pagrindinių konstrukcinių, apšvietimo, garso, vaizdo, ženklinimo, interaktyvių sprendinių ir kitų Ekspozicijos elementų sprendinius.</w:t>
      </w:r>
    </w:p>
    <w:p w:rsidRPr="00E6039D" w:rsidR="0018306A" w:rsidP="7065A416" w:rsidRDefault="0018306A" w14:paraId="4E4FC4B7" w14:textId="23E24DAF">
      <w:pPr>
        <w:pStyle w:val="Normal"/>
        <w:spacing w:before="100" w:beforeAutospacing="on" w:after="100" w:afterAutospacing="on" w:line="240" w:lineRule="auto"/>
        <w:jc w:val="both"/>
        <w:rPr>
          <w:rFonts w:ascii="Times New Roman" w:hAnsi="Times New Roman" w:eastAsia="Times New Roman" w:cs="Times New Roman"/>
          <w:sz w:val="24"/>
          <w:szCs w:val="24"/>
        </w:rPr>
      </w:pPr>
      <w:r w:rsidRPr="3D60AA48" w:rsidR="0018306A">
        <w:rPr>
          <w:rFonts w:ascii="Times New Roman" w:hAnsi="Times New Roman" w:eastAsia="Times New Roman" w:cs="Times New Roman"/>
          <w:sz w:val="24"/>
          <w:szCs w:val="24"/>
        </w:rPr>
        <w:t xml:space="preserve">5.1.5. Tiekėjas privalo užtikrinti, kad </w:t>
      </w:r>
      <w:r w:rsidRPr="3D60AA48" w:rsidR="557AD521">
        <w:rPr>
          <w:rFonts w:ascii="Times New Roman" w:hAnsi="Times New Roman" w:eastAsia="Times New Roman" w:cs="Times New Roman"/>
          <w:sz w:val="24"/>
          <w:szCs w:val="24"/>
        </w:rPr>
        <w:t xml:space="preserve"> </w:t>
      </w:r>
      <w:r w:rsidRPr="3D60AA48" w:rsidR="557AD521">
        <w:rPr>
          <w:rFonts w:ascii="Times New Roman" w:hAnsi="Times New Roman" w:eastAsia="Times New Roman" w:cs="Times New Roman"/>
          <w:sz w:val="24"/>
          <w:szCs w:val="24"/>
        </w:rPr>
        <w:t>galutiniai</w:t>
      </w:r>
      <w:r w:rsidRPr="3D60AA48" w:rsidR="0018306A">
        <w:rPr>
          <w:rFonts w:ascii="Times New Roman" w:hAnsi="Times New Roman" w:eastAsia="Times New Roman" w:cs="Times New Roman"/>
          <w:sz w:val="24"/>
          <w:szCs w:val="24"/>
        </w:rPr>
        <w:t xml:space="preserve"> </w:t>
      </w:r>
      <w:r w:rsidRPr="3D60AA48" w:rsidR="48160ABD">
        <w:rPr>
          <w:rFonts w:ascii="Times New Roman" w:hAnsi="Times New Roman" w:eastAsia="Times New Roman" w:cs="Times New Roman"/>
          <w:sz w:val="24"/>
          <w:szCs w:val="24"/>
        </w:rPr>
        <w:t xml:space="preserve">Ekspozicijos </w:t>
      </w:r>
      <w:r w:rsidRPr="3D60AA48" w:rsidR="0018306A">
        <w:rPr>
          <w:rFonts w:ascii="Times New Roman" w:hAnsi="Times New Roman" w:eastAsia="Times New Roman" w:cs="Times New Roman"/>
          <w:sz w:val="24"/>
          <w:szCs w:val="24"/>
        </w:rPr>
        <w:t>projektiniai</w:t>
      </w:r>
      <w:r w:rsidRPr="3D60AA48" w:rsidR="0018306A">
        <w:rPr>
          <w:rFonts w:ascii="Times New Roman" w:hAnsi="Times New Roman" w:eastAsia="Times New Roman" w:cs="Times New Roman"/>
          <w:sz w:val="24"/>
          <w:szCs w:val="24"/>
        </w:rPr>
        <w:t xml:space="preserve"> sprendiniai atitiktų parodos organizatoriaus techninius, saugos, priešgaisrinius, konstrukcinius, higienos, leidimų išdavimo, montavimo, eksploatavimo ir </w:t>
      </w:r>
      <w:r w:rsidRPr="3D60AA48" w:rsidR="0018306A">
        <w:rPr>
          <w:rFonts w:ascii="Times New Roman" w:hAnsi="Times New Roman" w:eastAsia="Times New Roman" w:cs="Times New Roman"/>
          <w:sz w:val="24"/>
          <w:szCs w:val="24"/>
        </w:rPr>
        <w:t>demontavimo reikalavimus</w:t>
      </w:r>
      <w:r w:rsidRPr="3D60AA48" w:rsidR="0018306A">
        <w:rPr>
          <w:rFonts w:ascii="Times New Roman" w:hAnsi="Times New Roman" w:eastAsia="Times New Roman" w:cs="Times New Roman"/>
          <w:sz w:val="24"/>
          <w:szCs w:val="24"/>
        </w:rPr>
        <w:t>. Tiekėjas atsako už visų projektinių sprendinių suderinimą su parodos organizatoriumi ir už tai, kad parodos organizatoriaus privalomi reikalavimai būtų įgyvendinti nekeičiant su pasiūlymu pateiktos ir įvertintos Ekspozicijos koncepcijos esmės.</w:t>
      </w:r>
    </w:p>
    <w:p w:rsidRPr="00E6039D" w:rsidR="0018306A" w:rsidP="0018306A" w:rsidRDefault="0018306A" w14:paraId="653A8A81"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w:t>
      </w:r>
    </w:p>
    <w:p w:rsidRPr="00E6039D" w:rsidR="0018306A" w:rsidP="0018306A" w:rsidRDefault="0018306A" w14:paraId="11E05188"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5.2. Ekspozicijos įrengimas ir aptarnavimas</w:t>
      </w:r>
    </w:p>
    <w:p w:rsidRPr="00E6039D" w:rsidR="0018306A" w:rsidP="0018306A" w:rsidRDefault="0018306A" w14:paraId="65A479A3"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5.2.1. Tiekėjas privalo atlikti visus Ekspozicijos įrengimo leidimų ir kitų dokumentų suderinimo su parodos organizatoriumi, įrengimo, montavimo, dekoravimo, techninio aptarnavimo, priežiūros ir demontavimo darbus.</w:t>
      </w:r>
    </w:p>
    <w:p w:rsidRPr="00E6039D" w:rsidR="0018306A" w:rsidP="0018306A" w:rsidRDefault="0018306A" w14:paraId="71DB5AFF"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5.2.2. Tiekėjas atsako už visų reikalingų techninių sprendimų, inžinerinių tinklų, leidimų, suderinimų ir prijungimų organizavimą bei įgyvendinimą.</w:t>
      </w:r>
    </w:p>
    <w:p w:rsidRPr="00E6039D" w:rsidR="0018306A" w:rsidP="0018306A" w:rsidRDefault="0018306A" w14:paraId="073EE15A"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5.2.3. Ekspozicija turi būti visiškai įrengta, techniškai veikianti, saugi naudoti ir perduota Perkančiajai organizacijai ne vėliau kaip 1 dieną iki oficialios parodos pradžios.</w:t>
      </w:r>
    </w:p>
    <w:p w:rsidRPr="00E6039D" w:rsidR="0018306A" w:rsidP="0018306A" w:rsidRDefault="0018306A" w14:paraId="1257DECA"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5.3. Vizualiniai ir reprezentaciniai reikalavimai</w:t>
      </w:r>
    </w:p>
    <w:p w:rsidRPr="00E6039D" w:rsidR="0018306A" w:rsidP="0018306A" w:rsidRDefault="0018306A" w14:paraId="500A9B7C"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5.3.1. Tiekėjas, kurdamas Ekspozicijos vizualinį identitetą, privalo naudoti Lietuvos Respublikos žemės ūkio ministerijos logotipą, ženklą „Lithuania Co-create“, Lietuvos žemės ūkio ir kaimo plėtros 2023–2027 m. strateginio plano ženklinimą bei kitą Perkančiosios organizacijos pateiktą oficialią vizualinę atributiką.</w:t>
      </w:r>
    </w:p>
    <w:p w:rsidRPr="00E6039D" w:rsidR="0018306A" w:rsidP="0018306A" w:rsidRDefault="0018306A" w14:paraId="41FBD56A"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5.3.2. Ekspozicijos dizaino sprendiniai turi atitikti Nacionalinio eksporto stendo gaires bei būti orientuoti į šiuolaikišką, reprezentatyvų ir tarptautiniam renginiui tinkamą Lietuvos pristatymą.</w:t>
      </w:r>
    </w:p>
    <w:p w:rsidRPr="00E6039D" w:rsidR="0018306A" w:rsidP="0018306A" w:rsidRDefault="0018306A" w14:paraId="75371687"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5.3.3. Tiekėjas turi užtikrinti vientisą Ekspozicijos architektūrinę ir vizualinę stilistiką visuose aukštuose bei funkcinėse zonose.</w:t>
      </w:r>
    </w:p>
    <w:p w:rsidRPr="00E6039D" w:rsidR="0018306A" w:rsidP="0018306A" w:rsidRDefault="0018306A" w14:paraId="5D681CC5"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5.3.4. Visi logotipai, ženklinimas ir vizualiniai sprendiniai turi būti suderinti su Perkančiąja organizacija projektavimo etape.</w:t>
      </w:r>
    </w:p>
    <w:p w:rsidRPr="00E6039D" w:rsidR="0018306A" w:rsidP="0018306A" w:rsidRDefault="0018306A" w14:paraId="7E24A8C6"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5.3.5. </w:t>
      </w:r>
      <w:r w:rsidRPr="00E6039D">
        <w:rPr>
          <w:rFonts w:ascii="Times New Roman" w:hAnsi="Times New Roman" w:cs="Times New Roman"/>
          <w:sz w:val="24"/>
          <w:szCs w:val="24"/>
        </w:rPr>
        <w:t>Ekspozicijos viršutinėje dalyje ir (ar) kitoje aiškiai matomoje vietoje turi būti įrengtas reprezentacinis užrašas keliomis kalbomis, perteikiantis žinutę „Lietuva – čia gyvena skonis“. Užrašas turi būti pateiktas ne mažiau kaip lietuvių, anglų ir vokiečių kalbomis. Konkrečios užrašų formuluotės, jų vieta, dizainas, šriftas, dydis, spalviniai sprendiniai, apšvietimas, jei taikoma, ir integracija į bendrą Ekspozicijos architektūrinę koncepciją turi būti suderinti su Perkančiąja organizacija projektavimo etape.</w:t>
      </w:r>
    </w:p>
    <w:p w:rsidRPr="00E6039D" w:rsidR="0018306A" w:rsidP="0018306A" w:rsidRDefault="0018306A" w14:paraId="5F6BB3C1"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5.4. Funkciniai ir techniniai reikalavimai</w:t>
      </w:r>
    </w:p>
    <w:p w:rsidRPr="00E6039D" w:rsidR="0018306A" w:rsidP="0018306A" w:rsidRDefault="0018306A" w14:paraId="41DBEED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5.4.1. Tiekėjas privalo užtikrinti elektros, vandens, nuotekų, interneto ir kitų reikalingų inžinerinių tinklų įrengimą, apšvietimo, garso, vaizdo ir vėdinimo sprendinius, antro aukšto konstrukcijų techninį suderinimą, apsaugos, valymo ir techninės priežiūros paslaugas viso renginio metu bei visus leidimus, suderinimus ir mokesčius, susijusius su Ekspozicijos eksploatavimu.</w:t>
      </w:r>
    </w:p>
    <w:p w:rsidRPr="00E6039D" w:rsidR="0018306A" w:rsidP="0018306A" w:rsidRDefault="0018306A" w14:paraId="2D65C3DC"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5.4.2. Tiekėjas turi užtikrinti, kad visi naudojami sprendiniai, medžiagos ir įranga atitiktų Messe Berlin techninius ir saugos reikalavimus. </w:t>
      </w:r>
      <w:r w:rsidRPr="00E6039D">
        <w:rPr>
          <w:rFonts w:ascii="Times New Roman" w:hAnsi="Times New Roman" w:cs="Times New Roman"/>
          <w:sz w:val="24"/>
          <w:szCs w:val="24"/>
        </w:rPr>
        <w:t>Tiekėjas privalo prisijungti prie parodos organizatoriaus inžinerinių sistemų ir per jų infrastruktūrą užtikrinti šių paslaugų teikimą. Taip pat tiekėjas privalo derinti visus techninius klausimus su parodos organizatoriumi, gauti reikiamus leidimus Ekspozicijai įrengti ir eksploatuoti, apmokėti parodos organizatoriaus sąskaitas už suteiktas paslaugas, statybos leidimus, leidimus muzikinei veiklai. Tiekėjas viso renginio metu privalo užtikrinti:</w:t>
      </w:r>
    </w:p>
    <w:p w:rsidRPr="00E6039D" w:rsidR="0018306A" w:rsidP="0018306A" w:rsidRDefault="0018306A" w14:paraId="34179308"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Karšto ir šalto vandens tiekimą;</w:t>
      </w:r>
    </w:p>
    <w:p w:rsidRPr="00E6039D" w:rsidR="0018306A" w:rsidP="0018306A" w:rsidRDefault="0018306A" w14:paraId="07707805"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Priešgaisrinės sistemos įrengimą ir palaikymą;</w:t>
      </w:r>
    </w:p>
    <w:p w:rsidRPr="00E6039D" w:rsidR="0018306A" w:rsidP="0018306A" w:rsidRDefault="0018306A" w14:paraId="00B910B1"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Ventiliacijos sistemą (ypač virtuvei);</w:t>
      </w:r>
    </w:p>
    <w:p w:rsidRPr="00E6039D" w:rsidR="0018306A" w:rsidP="0018306A" w:rsidRDefault="0018306A" w14:paraId="56C2049B"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Oro kondicionavimą;</w:t>
      </w:r>
    </w:p>
    <w:p w:rsidRPr="00E6039D" w:rsidR="0018306A" w:rsidP="0018306A" w:rsidRDefault="0018306A" w14:paraId="6C3791E3"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Elektros tiekimą ir įvadą;</w:t>
      </w:r>
    </w:p>
    <w:p w:rsidRPr="00E6039D" w:rsidR="0018306A" w:rsidP="0018306A" w:rsidRDefault="0018306A" w14:paraId="2AE4A621"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Interneto liniją;</w:t>
      </w:r>
    </w:p>
    <w:p w:rsidRPr="00E6039D" w:rsidR="0018306A" w:rsidP="0018306A" w:rsidRDefault="0018306A" w14:paraId="20C612C9"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Vandens ir nuotekų įrengimą (indaplovei ir kriauklėms);</w:t>
      </w:r>
    </w:p>
    <w:p w:rsidRPr="00E6039D" w:rsidR="0018306A" w:rsidP="0018306A" w:rsidRDefault="0018306A" w14:paraId="69CB77D8"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Pakabinimo taškus;</w:t>
      </w:r>
    </w:p>
    <w:p w:rsidRPr="00E6039D" w:rsidR="0018306A" w:rsidP="0018306A" w:rsidRDefault="0018306A" w14:paraId="3DC1769B"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Šiukšlių konteinerius ir kasdienį stendo valymą;</w:t>
      </w:r>
    </w:p>
    <w:p w:rsidRPr="00E6039D" w:rsidR="0018306A" w:rsidP="0018306A" w:rsidRDefault="0018306A" w14:paraId="41EFE9AE"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Ekspozicijos apsaugą visą laikotarpį po parodos darbo valandų bei užtikrinti ekspozicijos apsaugą likus vienai parai iki parodos atidarymo ir vieną parą po parodos uždarymo;</w:t>
      </w:r>
    </w:p>
    <w:p w:rsidRPr="00E6039D" w:rsidR="0018306A" w:rsidP="0018306A" w:rsidRDefault="0018306A" w14:paraId="2BE49C18"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Indų, ūkio prekių ir įrankių įsigijimą arba nuomą;</w:t>
      </w:r>
    </w:p>
    <w:p w:rsidRPr="00E6039D" w:rsidR="0018306A" w:rsidP="3D60AA48" w:rsidRDefault="0018306A" w14:paraId="7C44FD10" w14:textId="77777777">
      <w:pPr>
        <w:pStyle w:val="NormalWeb"/>
        <w:numPr>
          <w:ilvl w:val="0"/>
          <w:numId w:val="57"/>
        </w:numPr>
        <w:spacing w:line="240" w:lineRule="auto"/>
        <w:jc w:val="both"/>
        <w:rPr>
          <w:rFonts w:ascii="Times New Roman" w:hAnsi="Times New Roman" w:cs="Times New Roman"/>
          <w:color w:val="auto"/>
          <w:sz w:val="24"/>
          <w:szCs w:val="24"/>
        </w:rPr>
      </w:pPr>
      <w:r w:rsidRPr="3D60AA48" w:rsidR="0018306A">
        <w:rPr>
          <w:rFonts w:ascii="Times New Roman" w:hAnsi="Times New Roman" w:cs="Times New Roman"/>
          <w:sz w:val="24"/>
          <w:szCs w:val="24"/>
        </w:rPr>
        <w:t>Garso ir vaizdo įrangos</w:t>
      </w:r>
      <w:r w:rsidRPr="3D60AA48" w:rsidR="0018306A">
        <w:rPr>
          <w:rFonts w:ascii="Times New Roman" w:hAnsi="Times New Roman" w:cs="Times New Roman"/>
          <w:color w:val="auto"/>
          <w:sz w:val="24"/>
          <w:szCs w:val="24"/>
        </w:rPr>
        <w:t xml:space="preserve"> </w:t>
      </w:r>
      <w:r w:rsidRPr="3D60AA48" w:rsidR="0018306A">
        <w:rPr>
          <w:rFonts w:ascii="Times New Roman" w:hAnsi="Times New Roman" w:cs="Times New Roman"/>
          <w:color w:val="auto"/>
          <w:sz w:val="24"/>
          <w:szCs w:val="24"/>
        </w:rPr>
        <w:t>nuomą</w:t>
      </w:r>
      <w:r w:rsidRPr="3D60AA48" w:rsidR="0018306A">
        <w:rPr>
          <w:rFonts w:ascii="Times New Roman" w:hAnsi="Times New Roman" w:cs="Times New Roman"/>
          <w:color w:val="auto"/>
          <w:sz w:val="24"/>
          <w:szCs w:val="24"/>
        </w:rPr>
        <w:t xml:space="preserve"> bei prijungimą;</w:t>
      </w:r>
    </w:p>
    <w:p w:rsidR="7F1BFDD3" w:rsidP="3D60AA48" w:rsidRDefault="7F1BFDD3" w14:paraId="00D80F67" w14:textId="44B37BCE">
      <w:pPr>
        <w:pStyle w:val="NormalWeb"/>
        <w:numPr>
          <w:ilvl w:val="0"/>
          <w:numId w:val="57"/>
        </w:numPr>
        <w:spacing w:line="240" w:lineRule="auto"/>
        <w:jc w:val="both"/>
        <w:rPr>
          <w:rFonts w:ascii="Times New Roman" w:hAnsi="Times New Roman" w:cs="Times New Roman"/>
          <w:color w:val="auto"/>
          <w:sz w:val="24"/>
          <w:szCs w:val="24"/>
        </w:rPr>
      </w:pPr>
      <w:r w:rsidRPr="3D60AA48" w:rsidR="7F1BFDD3">
        <w:rPr>
          <w:rFonts w:ascii="Times New Roman" w:hAnsi="Times New Roman" w:cs="Times New Roman"/>
          <w:color w:val="auto"/>
          <w:sz w:val="24"/>
          <w:szCs w:val="24"/>
        </w:rPr>
        <w:t>S</w:t>
      </w:r>
      <w:r w:rsidRPr="3D60AA48" w:rsidR="7F1BFDD3">
        <w:rPr>
          <w:rFonts w:ascii="Times New Roman" w:hAnsi="Times New Roman" w:cs="Times New Roman"/>
          <w:color w:val="auto"/>
          <w:sz w:val="24"/>
          <w:szCs w:val="24"/>
        </w:rPr>
        <w:t>pausdintuvo prijungimą;</w:t>
      </w:r>
    </w:p>
    <w:p w:rsidRPr="00E6039D" w:rsidR="0018306A" w:rsidP="0018306A" w:rsidRDefault="0018306A" w14:paraId="7DAD3F6D"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Antro aukšto techninę patikrą ir suderinimą su parodos organizatoriais;</w:t>
      </w:r>
    </w:p>
    <w:p w:rsidRPr="00E6039D" w:rsidR="0018306A" w:rsidP="0018306A" w:rsidRDefault="0018306A" w14:paraId="7A673919"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Leidimus aptarnaujančiam personalui ir delegacijos nariams;</w:t>
      </w:r>
    </w:p>
    <w:p w:rsidRPr="00E6039D" w:rsidR="0018306A" w:rsidP="0018306A" w:rsidRDefault="0018306A" w14:paraId="650661B3"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Vietos išpirkimą lauko šaldytuvui ir sandėliavimui;</w:t>
      </w:r>
    </w:p>
    <w:p w:rsidRPr="00E6039D" w:rsidR="0018306A" w:rsidP="0018306A" w:rsidRDefault="0018306A" w14:paraId="40DF0657"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Leidimą automobilio įvažiavimui į parodos teritoriją visą laikotarpį;</w:t>
      </w:r>
    </w:p>
    <w:p w:rsidRPr="00E6039D" w:rsidR="0018306A" w:rsidP="0018306A" w:rsidRDefault="0018306A" w14:paraId="47030A2D"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Leidimus renginiui (priėmimui) organizuoti;</w:t>
      </w:r>
    </w:p>
    <w:p w:rsidRPr="00E6039D" w:rsidR="0018306A" w:rsidP="0018306A" w:rsidRDefault="0018306A" w14:paraId="5AAA40A1"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Įvažiavimo leidimus į parodų rūmus vilkikams išsikrauti (jei reikalinga);</w:t>
      </w:r>
    </w:p>
    <w:p w:rsidRPr="00E6039D" w:rsidR="0018306A" w:rsidP="0018306A" w:rsidRDefault="0018306A" w14:paraId="507E49FD"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Papildomas dienas statymui (jei reikalinga);</w:t>
      </w:r>
    </w:p>
    <w:p w:rsidRPr="00E6039D" w:rsidR="0018306A" w:rsidP="0018306A" w:rsidRDefault="0018306A" w14:paraId="17E93F29"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GEMA mokesčio  apmokėjimą (jei taikoma);</w:t>
      </w:r>
    </w:p>
    <w:p w:rsidRPr="00E6039D" w:rsidR="0018306A" w:rsidP="0018306A" w:rsidRDefault="0018306A" w14:paraId="6A28CFF9"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Įrengti ne mažiau kaip vieną LED ekraną arba kitą lygiavertį vaizdo rodymo sprendimą, kurio įstrižainė – ne mažesnė kaip 55 coliai;</w:t>
      </w:r>
    </w:p>
    <w:p w:rsidRPr="00E6039D" w:rsidR="0018306A" w:rsidP="0018306A" w:rsidRDefault="0018306A" w14:paraId="3ABF799F"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Už vaizdo medžiagos, skirtos ekranams, parengimą, techninį pritaikymą ir transliavimą atsako tiekėjas;</w:t>
      </w:r>
    </w:p>
    <w:p w:rsidRPr="00E6039D" w:rsidR="0018306A" w:rsidP="0018306A" w:rsidRDefault="0018306A" w14:paraId="5EA98D65"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Transliuojama vaizdo medžiaga turi būti suderinta su perkančiąja organizacija ne vėliau kaip prieš 25 kalendorines dienas iki parodos pradžios;</w:t>
      </w:r>
    </w:p>
    <w:p w:rsidRPr="00E6039D" w:rsidR="0018306A" w:rsidP="0018306A" w:rsidRDefault="0018306A" w14:paraId="29A24438"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Rekomenduojama spalvinė gama pasirenkama tiekėjo, tačiau ji turi būti suderinta su perkančiąja organizacija vizualizacijos projekto derinimo metu;</w:t>
      </w:r>
    </w:p>
    <w:p w:rsidRPr="00E6039D" w:rsidR="0018306A" w:rsidP="0018306A" w:rsidRDefault="0018306A" w14:paraId="511FDABB" w14:textId="77777777">
      <w:pPr>
        <w:pStyle w:val="NormalWeb"/>
        <w:numPr>
          <w:ilvl w:val="0"/>
          <w:numId w:val="57"/>
        </w:numPr>
        <w:spacing w:line="240" w:lineRule="auto"/>
        <w:jc w:val="both"/>
        <w:rPr>
          <w:rFonts w:ascii="Times New Roman" w:hAnsi="Times New Roman" w:cs="Times New Roman"/>
          <w:sz w:val="24"/>
          <w:szCs w:val="24"/>
        </w:rPr>
      </w:pPr>
      <w:r w:rsidRPr="00E6039D">
        <w:rPr>
          <w:rFonts w:ascii="Times New Roman" w:hAnsi="Times New Roman" w:cs="Times New Roman"/>
          <w:sz w:val="24"/>
          <w:szCs w:val="24"/>
        </w:rPr>
        <w:t>Visi elektros, vandens, nuotekų įvadai turi būti numatyti ir įrengti pagal Berlyno parodų centro techninius reikalavimus;</w:t>
      </w:r>
    </w:p>
    <w:p w:rsidRPr="00E6039D" w:rsidR="0018306A" w:rsidP="3D60AA48" w:rsidRDefault="0018306A" w14:paraId="4E170F39" w14:textId="77777777">
      <w:pPr>
        <w:pStyle w:val="ListParagraph"/>
        <w:numPr>
          <w:ilvl w:val="0"/>
          <w:numId w:val="57"/>
        </w:numPr>
        <w:spacing w:before="100" w:beforeAutospacing="on" w:after="100" w:afterAutospacing="on" w:line="240" w:lineRule="auto"/>
        <w:jc w:val="both"/>
        <w:rPr>
          <w:rFonts w:ascii="Times New Roman" w:hAnsi="Times New Roman" w:cs="Times New Roman"/>
          <w:sz w:val="24"/>
          <w:szCs w:val="24"/>
        </w:rPr>
      </w:pPr>
      <w:r w:rsidRPr="3D60AA48" w:rsidR="0018306A">
        <w:rPr>
          <w:rFonts w:ascii="Times New Roman" w:hAnsi="Times New Roman" w:cs="Times New Roman"/>
          <w:sz w:val="24"/>
          <w:szCs w:val="24"/>
        </w:rPr>
        <w:t>Visa Ekspozicija ir jos įranga turi būti sumontuota, sujungta, išbandyta, paruošta naudoti ir perduota Perkančiajai organizacijai ne vėliau kaip pri</w:t>
      </w:r>
      <w:r w:rsidRPr="3D60AA48" w:rsidR="0018306A">
        <w:rPr>
          <w:rFonts w:ascii="Times New Roman" w:hAnsi="Times New Roman" w:cs="Times New Roman"/>
          <w:sz w:val="24"/>
          <w:szCs w:val="24"/>
        </w:rPr>
        <w:t xml:space="preserve">eš </w:t>
      </w:r>
      <w:r w:rsidRPr="3D60AA48" w:rsidR="0018306A">
        <w:rPr>
          <w:rFonts w:ascii="Times New Roman" w:hAnsi="Times New Roman" w:cs="Times New Roman"/>
          <w:sz w:val="24"/>
          <w:szCs w:val="24"/>
        </w:rPr>
        <w:t>1 dieną</w:t>
      </w:r>
      <w:r w:rsidRPr="3D60AA48" w:rsidR="0018306A">
        <w:rPr>
          <w:rFonts w:ascii="Times New Roman" w:hAnsi="Times New Roman" w:cs="Times New Roman"/>
          <w:sz w:val="24"/>
          <w:szCs w:val="24"/>
        </w:rPr>
        <w:t xml:space="preserve"> iki parodos atidarymo, o po parodos </w:t>
      </w:r>
      <w:r w:rsidRPr="3D60AA48" w:rsidR="0018306A">
        <w:rPr>
          <w:rFonts w:ascii="Times New Roman" w:hAnsi="Times New Roman" w:cs="Times New Roman"/>
          <w:sz w:val="24"/>
          <w:szCs w:val="24"/>
        </w:rPr>
        <w:t xml:space="preserve">išmontuota pagal parodos organizatoriaus </w:t>
      </w:r>
      <w:r w:rsidRPr="3D60AA48" w:rsidR="0018306A">
        <w:rPr>
          <w:rFonts w:ascii="Times New Roman" w:hAnsi="Times New Roman" w:cs="Times New Roman"/>
          <w:sz w:val="24"/>
          <w:szCs w:val="24"/>
        </w:rPr>
        <w:t>nustatytus terminus</w:t>
      </w:r>
      <w:r w:rsidRPr="3D60AA48" w:rsidR="0018306A">
        <w:rPr>
          <w:rFonts w:ascii="Times New Roman" w:hAnsi="Times New Roman" w:cs="Times New Roman"/>
          <w:sz w:val="24"/>
          <w:szCs w:val="24"/>
        </w:rPr>
        <w:t xml:space="preserve"> </w:t>
      </w:r>
      <w:r w:rsidRPr="3D60AA48" w:rsidR="0018306A">
        <w:rPr>
          <w:rFonts w:ascii="Times New Roman" w:hAnsi="Times New Roman" w:cs="Times New Roman"/>
          <w:sz w:val="24"/>
          <w:szCs w:val="24"/>
        </w:rPr>
        <w:t>ir techninius reikalavimus;</w:t>
      </w:r>
    </w:p>
    <w:p w:rsidRPr="00E6039D" w:rsidR="0018306A" w:rsidP="0018306A" w:rsidRDefault="0018306A" w14:paraId="65AFEEFF" w14:textId="77777777">
      <w:pPr>
        <w:pStyle w:val="NormalWeb"/>
        <w:numPr>
          <w:ilvl w:val="0"/>
          <w:numId w:val="57"/>
        </w:numPr>
        <w:spacing w:line="240" w:lineRule="auto"/>
        <w:jc w:val="both"/>
        <w:rPr>
          <w:rFonts w:ascii="Times New Roman" w:hAnsi="Times New Roman" w:cs="Times New Roman"/>
          <w:sz w:val="24"/>
          <w:szCs w:val="24"/>
        </w:rPr>
      </w:pPr>
      <w:r w:rsidRPr="3D60AA48" w:rsidR="0018306A">
        <w:rPr>
          <w:rFonts w:ascii="Times New Roman" w:hAnsi="Times New Roman" w:cs="Times New Roman"/>
          <w:sz w:val="24"/>
          <w:szCs w:val="24"/>
        </w:rPr>
        <w:t>Gauti visus reikiamus leidimus virtuvės įrangos naudojimui pagal parod</w:t>
      </w:r>
      <w:r w:rsidRPr="3D60AA48" w:rsidR="0018306A">
        <w:rPr>
          <w:rFonts w:ascii="Times New Roman" w:hAnsi="Times New Roman" w:cs="Times New Roman"/>
          <w:sz w:val="24"/>
          <w:szCs w:val="24"/>
        </w:rPr>
        <w:t>os organizatorių taisykles; privalo užtikrinti tinkamą įrangos funkcionavimą viso renginio metu;</w:t>
      </w:r>
    </w:p>
    <w:p w:rsidRPr="00E6039D" w:rsidR="0018306A" w:rsidP="0018306A" w:rsidRDefault="0018306A" w14:paraId="29709F0E" w14:textId="77777777">
      <w:pPr>
        <w:pStyle w:val="ListParagraph"/>
        <w:numPr>
          <w:ilvl w:val="0"/>
          <w:numId w:val="57"/>
        </w:numPr>
        <w:spacing w:before="100" w:beforeAutospacing="1" w:after="100" w:afterAutospacing="1" w:line="240" w:lineRule="auto"/>
        <w:jc w:val="both"/>
        <w:rPr>
          <w:rFonts w:ascii="Times New Roman" w:hAnsi="Times New Roman" w:cs="Times New Roman"/>
          <w:sz w:val="24"/>
          <w:szCs w:val="24"/>
        </w:rPr>
      </w:pPr>
      <w:r w:rsidRPr="00E6039D">
        <w:rPr>
          <w:rFonts w:ascii="Times New Roman" w:hAnsi="Times New Roman" w:cs="Times New Roman"/>
          <w:sz w:val="24"/>
          <w:szCs w:val="24"/>
        </w:rPr>
        <w:t>Tiekėjas turi numatyti, kad ekspozicijos plotas gali keistis ±5 m</w:t>
      </w:r>
      <w:r w:rsidRPr="00E6039D">
        <w:rPr>
          <w:rFonts w:ascii="Times New Roman" w:hAnsi="Times New Roman" w:cs="Times New Roman"/>
          <w:sz w:val="24"/>
          <w:szCs w:val="24"/>
          <w:vertAlign w:val="superscript"/>
        </w:rPr>
        <w:t>2</w:t>
      </w:r>
      <w:r w:rsidRPr="00E6039D">
        <w:rPr>
          <w:rFonts w:ascii="Times New Roman" w:hAnsi="Times New Roman" w:cs="Times New Roman"/>
          <w:sz w:val="24"/>
          <w:szCs w:val="24"/>
        </w:rPr>
        <w:t xml:space="preserve"> ribose, ir padengti visus dėl to atsirandančius kaštus savo lėšomis.</w:t>
      </w:r>
    </w:p>
    <w:p w:rsidRPr="00E6039D" w:rsidR="0018306A" w:rsidP="0018306A" w:rsidRDefault="0018306A" w14:paraId="60929D92" w14:textId="77777777">
      <w:pPr>
        <w:pStyle w:val="NormalWeb"/>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5.4.3. Tiekėjas privalo sutarties vykdymui paskirti pagrindinius specialistus – projekto vadovą ir Ekspozicijos konstruktorių. Projekto vadovas turi būti atsakingas už Ekspozicijos įgyvendinimo planavimą, projektavimo, įrengimo, aptarnavimo ir išmontavimo darbų koordinavimą, komunikaciją su Perkančiąja organizacija, parodos organizatoriumi, subtiekėjais ir kitais susijusiais asmenimis, techninės priežiūros organizavimą bei operatyvų problemų sprendimą visą sutarties vykdymo laikotarpį. Ekspozicijos konstruktorius turi būti atsakingas už Ekspozicijos konstrukcinių sprendinių parengimą, jų techninį pagrįstumą, antro aukšto konstrukcijų sprendinius, konstrukcijų atitiktį parodos organizatoriaus techniniams, saugos ir kitiems privalomiems reikalavimams, taip pat už reikalingų konstrukcinių sprendinių suderinimą su parodos organizatoriumi.</w:t>
      </w:r>
    </w:p>
    <w:p w:rsidRPr="00E6039D" w:rsidR="0018306A" w:rsidP="0018306A" w:rsidRDefault="0018306A" w14:paraId="73B3E0CC"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5.4.4. Projekto vadovas ir Ekspozicijos konstruktorius turi būti tie patys asmenys, kurie buvo nurodyti tiekėjo pasiūlyme ir kurių patirtis buvo vertinama pagal ekonominio naudingumo vertinimo kriterijus. Šių specialistų pakeitimas galimas tik iš anksto raštu suderinus su Perkančiąja organizacija. Keičiami specialistai turi turėti ne žemesnę kvalifikaciją ir patirtį nei pakeičiami specialistai arba ne žemesnę kvalifikaciją ir patirtį, nei buvo reikalaujama ir įvertinta pirkimo dokumentuose.</w:t>
      </w:r>
    </w:p>
    <w:p w:rsidRPr="00E6039D" w:rsidR="0018306A" w:rsidP="0018306A" w:rsidRDefault="0018306A" w14:paraId="56C3EE7D"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5.5. Maitinimo ir reprezentavimo paslaugos</w:t>
      </w:r>
    </w:p>
    <w:p w:rsidRPr="00E6039D" w:rsidR="0018306A" w:rsidP="0018306A" w:rsidRDefault="0018306A" w14:paraId="35A11F55" w14:textId="77777777">
      <w:pPr>
        <w:spacing w:before="100" w:beforeAutospacing="1" w:after="100" w:afterAutospacing="1" w:line="240" w:lineRule="auto"/>
        <w:jc w:val="both"/>
        <w:rPr>
          <w:rFonts w:ascii="Times New Roman" w:hAnsi="Times New Roman" w:eastAsia="Calibri" w:cs="Times New Roman"/>
          <w:sz w:val="24"/>
          <w:szCs w:val="24"/>
        </w:rPr>
      </w:pPr>
      <w:r w:rsidRPr="00E6039D">
        <w:rPr>
          <w:rFonts w:ascii="Times New Roman" w:hAnsi="Times New Roman" w:eastAsia="Times New Roman" w:cs="Times New Roman"/>
          <w:sz w:val="24"/>
          <w:szCs w:val="24"/>
        </w:rPr>
        <w:t>5.5.1. Tiekėjas turi užtikrinti, k</w:t>
      </w:r>
      <w:r w:rsidRPr="00E6039D">
        <w:rPr>
          <w:rFonts w:ascii="Times New Roman" w:hAnsi="Times New Roman" w:eastAsia="Calibri" w:cs="Times New Roman"/>
          <w:sz w:val="24"/>
          <w:szCs w:val="24"/>
        </w:rPr>
        <w:t>ad Ekspozicijoje būtų gaminami patiekalai, skirti degustacijoms bei oficialiems priėmimams (sertifikuoti tautinio paveldo, lietuviški patiekalai). Maitinimo funkcijai įgyvendinti tiekėjas turi  atrinkti viešojo maitinimo įstaigą, galinčią paruošti Lietuvai būdingus patiekalus,</w:t>
      </w:r>
      <w:r w:rsidRPr="00E6039D">
        <w:rPr>
          <w:rFonts w:ascii="Times New Roman" w:hAnsi="Times New Roman" w:eastAsia="Times New Roman" w:cs="Times New Roman"/>
          <w:sz w:val="24"/>
          <w:szCs w:val="24"/>
        </w:rPr>
        <w:t xml:space="preserve"> jų pristatymą bei degustacijas.</w:t>
      </w:r>
      <w:r w:rsidRPr="00E6039D">
        <w:rPr>
          <w:rFonts w:ascii="Times New Roman" w:hAnsi="Times New Roman" w:eastAsia="Calibri" w:cs="Times New Roman"/>
          <w:sz w:val="24"/>
          <w:szCs w:val="24"/>
        </w:rPr>
        <w:t xml:space="preserve">  </w:t>
      </w:r>
    </w:p>
    <w:p w:rsidRPr="00E6039D" w:rsidR="0018306A" w:rsidP="0018306A" w:rsidRDefault="0018306A" w14:paraId="013BC544"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5.5.2. Oficialių priėmimų, delegacijų susitikimų ir reprezentacinių renginių metu turi būti užtikrintas profesionalus aptarnavimas, tinkamas maisto pateikimas bei reprezentacinė kokybė.</w:t>
      </w:r>
    </w:p>
    <w:p w:rsidRPr="00E6039D" w:rsidR="0018306A" w:rsidP="0018306A" w:rsidRDefault="0018306A" w14:paraId="6D0B7CD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5.5.3. Aptarnaujantis personalas turi būti tinkamai pasirengęs darbui tarptautinėje aplinkoje, gebėti komunikuoti anglų ir (arba) vokiečių kalba bei dėvėti su Ekspozicijos dizainu suderintą aprangą.</w:t>
      </w:r>
    </w:p>
    <w:p w:rsidRPr="00E6039D" w:rsidR="0018306A" w:rsidP="0018306A" w:rsidRDefault="0018306A" w14:paraId="6CC06A31"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5.6. Renginiai ir delegacijų aptarnavimas</w:t>
      </w:r>
    </w:p>
    <w:p w:rsidRPr="00E6039D" w:rsidR="0018306A" w:rsidP="0018306A" w:rsidRDefault="0018306A" w14:paraId="2CB6C061" w14:textId="77777777">
      <w:pPr>
        <w:pStyle w:val="NormalWeb"/>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5.6.1. Ekspozicijoje turi būti sudaryta galimybė organizuoti oficialų priėmimą iki 100 asmenų, oficialių delegacijų susitikimus, pristatymus, degustacijas, verslo susitikimus ir nedidelės apimties konferencinio pobūdžio renginius. Tiekėjas privalo užtikrinti sąlygas oficialiems priėmimams, verslo susitikimams, delegacijų priėmimui, pristatymams ir kitiems reprezentaciniams renginiams Ekspozicijoje organizuoti, įskaitant:</w:t>
      </w:r>
    </w:p>
    <w:p w:rsidRPr="00E6039D" w:rsidR="0018306A" w:rsidP="0018306A" w:rsidRDefault="0018306A" w14:paraId="79FF1656"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vieno arba dviejų lietuviškų produktų ar patiekalų pristatymo–degustacijos parodos lankytojams organizavimą. Degustacijos trukmė – 3 valandos. Degustacijos organizavimas, pristatomas produktas ar patiekalas, jo kiekis, pateikimo forma, scenarijus ir sąmata turi būti iš anksto suderinti su Perkančiąja organizacija. Šiai veiklai skiriama 1 500 Eur su PVM suma, kuri turi būti įskaičiuota į pasiūlymo kainą;</w:t>
      </w:r>
    </w:p>
    <w:p w:rsidRPr="00E6039D" w:rsidR="0018306A" w:rsidP="0018306A" w:rsidRDefault="0018306A" w14:paraId="4A08DDEC"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oficialaus priėmimo iki 100 asmenų organizavimą, užtikrinant furšeto tipo maitinimą, tinkamą maisto ir gėrimų pateikimą, aptarnavimą, reikalingą inventorių ir reprezentacinę renginio kokybę. Šiai veiklai skiriama 5500 Eur su PVM suma, kuri turi būti įskaičiuota į pasiūlymo kainą. Priėmimo meniu, aptarnavimo forma, organizaciniai sprendiniai ir sąmata turi būti iš anksto suderinti su Perkančiąja organizacija;</w:t>
      </w:r>
    </w:p>
    <w:p w:rsidRPr="00E6039D" w:rsidR="0018306A" w:rsidP="7065A416" w:rsidRDefault="0018306A" w14:paraId="51368A2A" w14:textId="57A9170A">
      <w:pPr>
        <w:pStyle w:val="Normal"/>
        <w:suppressLineNumbers w:val="0"/>
        <w:bidi w:val="0"/>
        <w:spacing w:beforeAutospacing="on" w:afterAutospacing="on" w:line="240" w:lineRule="auto"/>
        <w:ind w:left="0" w:right="0" w:firstLine="567"/>
        <w:jc w:val="both"/>
        <w:rPr>
          <w:rFonts w:ascii="Times New Roman" w:hAnsi="Times New Roman" w:eastAsia="Times New Roman" w:cs="Times New Roman"/>
          <w:sz w:val="24"/>
          <w:szCs w:val="24"/>
        </w:rPr>
      </w:pPr>
      <w:r w:rsidRPr="7065A416" w:rsidR="0018306A">
        <w:rPr>
          <w:rFonts w:ascii="Times New Roman" w:hAnsi="Times New Roman" w:eastAsia="Times New Roman" w:cs="Times New Roman"/>
          <w:sz w:val="24"/>
          <w:szCs w:val="24"/>
        </w:rPr>
        <w:t xml:space="preserve">• 150 vienetų lietuviškų suvenyrų, t. y. lietuviškų maisto gaminių, parengimą ir įteikimo priėmimo metu organizavimą. Suvenyrų turinys, pakuotė, dizainas, įteikimo forma ir sąmata turi būti suderinti su Perkančiąja organizacija. Bendra šiai veiklai skiriama suma – </w:t>
      </w:r>
      <w:r w:rsidRPr="7065A416" w:rsidR="05945CD2">
        <w:rPr>
          <w:rFonts w:ascii="Times New Roman" w:hAnsi="Times New Roman" w:eastAsia="Times New Roman" w:cs="Times New Roman"/>
          <w:sz w:val="24"/>
          <w:szCs w:val="24"/>
        </w:rPr>
        <w:t>2000</w:t>
      </w:r>
      <w:r w:rsidRPr="7065A416" w:rsidR="0018306A">
        <w:rPr>
          <w:rFonts w:ascii="Times New Roman" w:hAnsi="Times New Roman" w:eastAsia="Times New Roman" w:cs="Times New Roman"/>
          <w:sz w:val="24"/>
          <w:szCs w:val="24"/>
        </w:rPr>
        <w:t xml:space="preserve"> Eur su PVM, kuri turi būti įskaičiuota į pasiūlymo kainą;</w:t>
      </w:r>
    </w:p>
    <w:p w:rsidRPr="00E6039D" w:rsidR="0018306A" w:rsidP="0018306A" w:rsidRDefault="0018306A" w14:paraId="345F4886"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aštuonių susitikimų su oficialiomis delegacijomis aptarnavimą. Kiekvienas susitikimas planuojamas iki 10 asmenų. Vienam asmeniui skiriama 25 Eur su PVM suma, kuri turi būti įskaičiuota į pasiūlymo kainą. Tiekėjas turi užtikrinti susitikimams reikalingą maitinimą ir aptarnavimą, o konkretus susitikimų laikas, dalyvių skaičius, aptarnavimo forma ir sąmata derinami su Perkančiąja organizacija;</w:t>
      </w:r>
    </w:p>
    <w:p w:rsidRPr="00E6039D" w:rsidR="0018306A" w:rsidP="0018306A" w:rsidRDefault="0018306A" w14:paraId="466DF94C"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ne mažiau kaip 30 vienetų vienodo dizaino, prie Ekspozicijos stiliaus derančių prijuosčių ir galvos apdangalų pagaminimą. Prijuostės ir galvos apdangalai turi būti tinkami naudoti dirbant su maisto produktais, o jų dizainas turi būti suderintas su Perkančiąja organizacija.</w:t>
      </w:r>
    </w:p>
    <w:p w:rsidRPr="00E6039D" w:rsidR="0018306A" w:rsidP="0018306A" w:rsidRDefault="0018306A" w14:paraId="0401B06E"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5.6.2. Tiekėjas taip pat privalo užtikrinti su renginių ir delegacijų aptarnavimu susijusius leidimus, kelionių, apgyvendinimo ir transporto organizavimo paslaugas, įskaitant:</w:t>
      </w:r>
    </w:p>
    <w:p w:rsidRPr="00E6039D" w:rsidR="0018306A" w:rsidP="0018306A" w:rsidRDefault="0018306A" w14:paraId="4FDA1AF1"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leidimų automobiliams įvažiuoti į parodos teritoriją gavimą ir galimybės juos statyti parodos teritorijoje ar kitoje su parodos organizatoriumi suderintoje vietoje viso renginio laikotarpiu užtikrinimą;</w:t>
      </w:r>
    </w:p>
    <w:p w:rsidRPr="00E6039D" w:rsidR="0018306A" w:rsidP="7065A416" w:rsidRDefault="0018306A" w14:paraId="7D48651E" w14:textId="386650A8">
      <w:pPr>
        <w:spacing w:beforeAutospacing="on" w:afterAutospacing="on" w:line="240" w:lineRule="auto"/>
        <w:ind w:firstLine="567"/>
        <w:jc w:val="both"/>
        <w:rPr>
          <w:rFonts w:ascii="Times New Roman" w:hAnsi="Times New Roman" w:eastAsia="Times New Roman" w:cs="Times New Roman"/>
          <w:sz w:val="24"/>
          <w:szCs w:val="24"/>
        </w:rPr>
      </w:pPr>
      <w:r w:rsidRPr="7065A416" w:rsidR="0018306A">
        <w:rPr>
          <w:rFonts w:ascii="Times New Roman" w:hAnsi="Times New Roman" w:eastAsia="Times New Roman" w:cs="Times New Roman"/>
          <w:sz w:val="24"/>
          <w:szCs w:val="24"/>
        </w:rPr>
        <w:t xml:space="preserve">• 9 seminaro-konferencijos dalyvių </w:t>
      </w:r>
      <w:r w:rsidRPr="7065A416" w:rsidR="7607A023">
        <w:rPr>
          <w:rFonts w:ascii="Times New Roman" w:hAnsi="Times New Roman" w:eastAsia="Times New Roman" w:cs="Times New Roman"/>
          <w:sz w:val="24"/>
          <w:szCs w:val="24"/>
        </w:rPr>
        <w:t xml:space="preserve"> </w:t>
      </w:r>
      <w:r w:rsidRPr="7065A416" w:rsidR="7607A023">
        <w:rPr>
          <w:rFonts w:ascii="Times New Roman" w:hAnsi="Times New Roman" w:eastAsia="Times New Roman" w:cs="Times New Roman"/>
          <w:sz w:val="24"/>
          <w:szCs w:val="24"/>
        </w:rPr>
        <w:t>maitinimo</w:t>
      </w:r>
      <w:r w:rsidRPr="7065A416" w:rsidR="4F796329">
        <w:rPr>
          <w:rFonts w:ascii="Times New Roman" w:hAnsi="Times New Roman" w:eastAsia="Times New Roman" w:cs="Times New Roman"/>
          <w:sz w:val="24"/>
          <w:szCs w:val="24"/>
        </w:rPr>
        <w:t xml:space="preserve"> Ekspozicijoje</w:t>
      </w:r>
      <w:r w:rsidRPr="7065A416" w:rsidR="0018306A">
        <w:rPr>
          <w:rFonts w:ascii="Times New Roman" w:hAnsi="Times New Roman" w:eastAsia="Times New Roman" w:cs="Times New Roman"/>
          <w:sz w:val="24"/>
          <w:szCs w:val="24"/>
        </w:rPr>
        <w:t xml:space="preserve"> organizavimą</w:t>
      </w:r>
      <w:r w:rsidRPr="7065A416" w:rsidR="0018306A">
        <w:rPr>
          <w:rFonts w:ascii="Times New Roman" w:hAnsi="Times New Roman" w:eastAsia="Times New Roman" w:cs="Times New Roman"/>
          <w:sz w:val="24"/>
          <w:szCs w:val="24"/>
        </w:rPr>
        <w:t>;</w:t>
      </w:r>
    </w:p>
    <w:p w:rsidRPr="00E6039D" w:rsidR="0018306A" w:rsidP="7065A416" w:rsidRDefault="0018306A" w14:paraId="5D5C1A5F" w14:textId="0F4DB1DA">
      <w:pPr>
        <w:spacing w:before="100" w:beforeAutospacing="on" w:after="100" w:afterAutospacing="on" w:line="240" w:lineRule="auto"/>
        <w:ind w:firstLine="567"/>
        <w:jc w:val="both"/>
        <w:rPr>
          <w:rFonts w:ascii="Times New Roman" w:hAnsi="Times New Roman" w:eastAsia="Times New Roman" w:cs="Times New Roman"/>
          <w:sz w:val="24"/>
          <w:szCs w:val="24"/>
        </w:rPr>
      </w:pPr>
      <w:r w:rsidRPr="7065A416" w:rsidR="0018306A">
        <w:rPr>
          <w:rFonts w:ascii="Times New Roman" w:hAnsi="Times New Roman" w:eastAsia="Times New Roman" w:cs="Times New Roman"/>
          <w:sz w:val="24"/>
          <w:szCs w:val="24"/>
        </w:rPr>
        <w:t>• 9 seminaro-konferencijos dalyviams lėktuvo bilietų</w:t>
      </w:r>
      <w:r w:rsidRPr="7065A416" w:rsidR="35E469B9">
        <w:rPr>
          <w:rFonts w:ascii="Times New Roman" w:hAnsi="Times New Roman" w:eastAsia="Times New Roman" w:cs="Times New Roman"/>
          <w:sz w:val="24"/>
          <w:szCs w:val="24"/>
        </w:rPr>
        <w:t xml:space="preserve"> </w:t>
      </w:r>
      <w:r w:rsidRPr="7065A416" w:rsidR="35E469B9">
        <w:rPr>
          <w:rFonts w:ascii="Times New Roman" w:hAnsi="Times New Roman" w:eastAsia="Times New Roman" w:cs="Times New Roman"/>
          <w:sz w:val="24"/>
          <w:szCs w:val="24"/>
        </w:rPr>
        <w:t>(</w:t>
      </w:r>
      <w:r w:rsidRPr="7065A416" w:rsidR="35E469B9">
        <w:rPr>
          <w:rFonts w:ascii="Times New Roman" w:hAnsi="Times New Roman" w:eastAsia="Times New Roman" w:cs="Times New Roman"/>
          <w:sz w:val="24"/>
          <w:szCs w:val="24"/>
        </w:rPr>
        <w:t>Vilnius-Berlynas; Berlynas-Vilnius)</w:t>
      </w:r>
      <w:r w:rsidRPr="7065A416" w:rsidR="0018306A">
        <w:rPr>
          <w:rFonts w:ascii="Times New Roman" w:hAnsi="Times New Roman" w:eastAsia="Times New Roman" w:cs="Times New Roman"/>
          <w:sz w:val="24"/>
          <w:szCs w:val="24"/>
        </w:rPr>
        <w:t>,</w:t>
      </w:r>
      <w:r w:rsidRPr="7065A416" w:rsidR="0018306A">
        <w:rPr>
          <w:rFonts w:ascii="Times New Roman" w:hAnsi="Times New Roman" w:eastAsia="Times New Roman" w:cs="Times New Roman"/>
          <w:sz w:val="24"/>
          <w:szCs w:val="24"/>
        </w:rPr>
        <w:t xml:space="preserve"> kelionės draudimo, 2 nakvynių ne žemesnės kaip 3 žvaigždučių kategorijos viešbutyje, taip pat transporto iš Berlyno oro uosto į viešbutį ir iš viešbučio į Berlyno oro uostą organizavimą ir apmokėjimą;</w:t>
      </w:r>
    </w:p>
    <w:p w:rsidRPr="00E6039D" w:rsidR="0018306A" w:rsidP="0018306A" w:rsidRDefault="0018306A" w14:paraId="316C8CB3"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oficialios delegacijos, kurią sudaro ne mažiau kaip 14 asmenų, ir 9 seminaro-konferencijos dalyvių transportavimo 3–4 dienas organizavimą. Transportavimas turi apimti keliones iš viešbučių į parodų centrą, į renginius Vokietijos institucijose, ambasadose ar kitose Perkančiosios organizacijos nurodytose vietose bei atgal.</w:t>
      </w:r>
    </w:p>
    <w:p w:rsidRPr="00E6039D" w:rsidR="0018306A" w:rsidP="0018306A" w:rsidRDefault="0018306A" w14:paraId="2C5E6EDE"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5.6.3. Tiekėjas privalo užtikrinti vieno vokiečių–lietuvių ir lietuvių–vokiečių kalbų vertėjo paslaugas pirmąsias 3 parodos dienas. Vertėjas turi būti pasiekiamas Perkančiosios organizacijos nurodytu laiku ir teikti vertimo žodžiu paslaugas oficialių susitikimų, delegacijų priėmimo, pristatymų ar kitų reprezentacinių veiklų metu.</w:t>
      </w:r>
    </w:p>
    <w:p w:rsidRPr="00E6039D" w:rsidR="0018306A" w:rsidP="0018306A" w:rsidRDefault="0018306A" w14:paraId="3DD00B3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5.6.4. Tiekėjas turi užtikrinti, kad visi renginių organizavimo, delegacijų aptarnavimo, maitinimo, transporto, vertimo ir reprezentaciniai sprendiniai būtų suderinti su Perkančiąja organizacija ir integruoti į bendrą Ekspozicijos architektūrinę, funkcinę ir vizualinę koncepciją.</w:t>
      </w:r>
    </w:p>
    <w:p w:rsidRPr="00E6039D" w:rsidR="0018306A" w:rsidP="0018306A" w:rsidRDefault="0018306A" w14:paraId="714A611E"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w:t>
      </w:r>
    </w:p>
    <w:p w:rsidRPr="00E6039D" w:rsidR="0018306A" w:rsidP="0018306A" w:rsidRDefault="0018306A" w14:paraId="4D7CA193"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5.7. Produktų ir ekspozicinių elementų pristatymas</w:t>
      </w:r>
    </w:p>
    <w:p w:rsidRPr="00E6039D" w:rsidR="0018306A" w:rsidP="0018306A" w:rsidRDefault="0018306A" w14:paraId="414F70F9"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5.7.1. Tiekėjas turi organizuoti lietuviškų produktų, maisto gaminių, tautinio paveldo gaminių ir kitų reprezentacinių elementų atranką bei pristatymą Ekspozicijoje. Tiekėjas privalo:</w:t>
      </w:r>
    </w:p>
    <w:p w:rsidRPr="00E6039D" w:rsidR="0018306A" w:rsidP="0018306A" w:rsidRDefault="0018306A" w14:paraId="1FADE1DE"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organizuoti ne mažiau kaip 36 produktų-eksponatų atranką iš ne mažiau kaip 12 Lietuvos maisto produktų ir gėrimų gamintojų bei tautinio paveldo amatininkų;</w:t>
      </w:r>
    </w:p>
    <w:p w:rsidRPr="00E6039D" w:rsidR="0018306A" w:rsidP="0018306A" w:rsidRDefault="0018306A" w14:paraId="6CBEBA38"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apie eksponatų atranką paskelbti viešą kvietimą Lietuvos naujienų portale, pagal „GemiusAudience“ duomenis turinčiame didžiausią vidutinį dienos realių vartotojų skaičių;</w:t>
      </w:r>
    </w:p>
    <w:p w:rsidRPr="00E6039D" w:rsidR="0018306A" w:rsidP="0018306A" w:rsidRDefault="0018306A" w14:paraId="6BFAD580"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ne vėliau kaip per 20 kalendorinių dienų nuo sutarties įsigaliojimo dienos pateikti Perkančiajai organizacijai atrinktų gamintojų, amatininkų ir produktų-eksponatų sąrašą.</w:t>
      </w:r>
    </w:p>
    <w:p w:rsidRPr="00E6039D" w:rsidR="0018306A" w:rsidP="0018306A" w:rsidRDefault="0018306A" w14:paraId="10DD83B8"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5.7.2. Atrenkami produktai-eksponatai turi reprezentuoti Lietuvos žemės ir maisto sektoriaus kokybę, inovatyvumą, tvarumą ir tautinį identitetą. Tiekėjas turi užtikrinti, kad:</w:t>
      </w:r>
    </w:p>
    <w:p w:rsidRPr="00E6039D" w:rsidR="0018306A" w:rsidP="0018306A" w:rsidRDefault="0018306A" w14:paraId="1D12D2D5"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ne daugiau kaip 6 produktai-eksponatai būtų tautinio paveldo amatininkų gaminiai, nepriskiriami maisto produktams;</w:t>
      </w:r>
    </w:p>
    <w:p w:rsidRPr="00E6039D" w:rsidR="0018306A" w:rsidP="0018306A" w:rsidRDefault="0018306A" w14:paraId="762EF690"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ne mažiau kaip 30 proc. produktų-eksponatų Lietuvos stende šioje parodoje būtų pristatomi pirmą kartą;</w:t>
      </w:r>
    </w:p>
    <w:p w:rsidRPr="00E6039D" w:rsidR="0018306A" w:rsidP="0018306A" w:rsidRDefault="0018306A" w14:paraId="02B5F391"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visi maisto produktai-eksponatai būtų pagaminti iš ne mažiau kaip 70 proc. lietuviškos kilmės žaliavų, kai tai objektyviai taikytina pagal produkto pobūdį.</w:t>
      </w:r>
    </w:p>
    <w:p w:rsidRPr="00E6039D" w:rsidR="0018306A" w:rsidP="0018306A" w:rsidRDefault="0018306A" w14:paraId="194DC1E4"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5.7.3. Perkančioji organizacija per 10 darbo dienų nuo sutarties įsigaliojimo dienos gali pateikti tiekėjui papildomus produktų-eksponatų atrankos kriterijus, jei tokie kriterijai turės būti taikomi. Tiekėjas, vykdydamas produktų-eksponatų atranką, privalo į juos atsižvelgti. Perkančioji organizacija turi teisę derinti atrinktų gamintojų, amatininkų, produktų-eksponatų, ekspozicinių elementų ir reprezentacinių sprendinių turinį.</w:t>
      </w:r>
    </w:p>
    <w:p w:rsidRPr="00E6039D" w:rsidR="0018306A" w:rsidP="0018306A" w:rsidRDefault="0018306A" w14:paraId="571414DB"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5.7.4. Tiekėjas privalo užtikrinti produktų-eksponatų pristatymą visos parodos veikimo metu. Šiam tikslui tiekėjas turi užtikrinti ne mažiau kaip 24 produktus-eksponatus pristatančių asmenų dalyvavimą parodoje. Šie asmenys turi pristatyti atrinktus produktus-eksponatus lankytojams, dalyvauti degustacijose, teikti informaciją apie gamintojus, produktus, jų kilmę, gamybos būdą ir reprezentacinę reikšmę.</w:t>
      </w:r>
    </w:p>
    <w:p w:rsidRPr="00E6039D" w:rsidR="0018306A" w:rsidP="0018306A" w:rsidRDefault="0018306A" w14:paraId="3870FBE9"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5.7.5. Tiekėjas, organizuodamas produktų-eksponatų pristatymą, privalo:</w:t>
      </w:r>
    </w:p>
    <w:p w:rsidRPr="00E6039D" w:rsidR="0018306A" w:rsidP="0018306A" w:rsidRDefault="0018306A" w14:paraId="617CF821"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parengti produktus-eksponatus pagal parodos organizatoriaus reikalavimus ir užtikrinti, kad jie būtų tinkamai supakuoti, paženklinti, paruošti transportuoti ir eksponuoti, taip pat parengti visus reikalingus dokumentus;</w:t>
      </w:r>
    </w:p>
    <w:p w:rsidRPr="00E6039D" w:rsidR="0018306A" w:rsidP="0018306A" w:rsidRDefault="0018306A" w14:paraId="1247E5B4"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aprūpinti eksponavimo vietą priemonėmis ir reikmenimis, reikalingais produktų-eksponatų pristatymui ir degustacijai, užtikrinant visų priemonių atitiktį saugos, higienos ir parodos organizatoriaus reikalavimams;</w:t>
      </w:r>
    </w:p>
    <w:p w:rsidRPr="00E6039D" w:rsidR="0018306A" w:rsidP="0018306A" w:rsidRDefault="0018306A" w14:paraId="6B43EA74"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pasirūpinti leidimais produktus-eksponatus pristatantiems asmenims, jų transportui, taip pat, jei taikoma, padėti gauti sveikatos pažymėjimus ar kitus pagal Vokietijoje galiojančius teisės aktus ir parodos organizatoriaus reikalavimus būtinus dokumentus;</w:t>
      </w:r>
    </w:p>
    <w:p w:rsidRPr="00E6039D" w:rsidR="0018306A" w:rsidP="0018306A" w:rsidRDefault="0018306A" w14:paraId="27864998"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padengti visas išlaidas, susijusias su produktų-eksponatų pristatymu, transportavimu, demonstravimu, degustacijomis ir produktus-eksponatus pristatančių asmenų dalyvavimu parodoje;</w:t>
      </w:r>
    </w:p>
    <w:p w:rsidRPr="00E6039D" w:rsidR="0018306A" w:rsidP="0018306A" w:rsidRDefault="0018306A" w14:paraId="65C223F5"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organizuoti produktus-eksponatus pristatančių asmenų apgyvendinimą;</w:t>
      </w:r>
    </w:p>
    <w:p w:rsidRPr="00E6039D" w:rsidR="0018306A" w:rsidP="0018306A" w:rsidRDefault="0018306A" w14:paraId="63EA62BE" w14:textId="77777777">
      <w:pPr>
        <w:spacing w:before="100" w:beforeAutospacing="1" w:after="100" w:afterAutospacing="1" w:line="240" w:lineRule="auto"/>
        <w:ind w:firstLine="567"/>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užtikrinti leidimą vienam Perkančiosios organizacijos atstovui patekti į parodą visomis parodos dienomis ir vykdyti informacinę priežiūrą parodos metu.</w:t>
      </w:r>
    </w:p>
    <w:p w:rsidRPr="00E6039D" w:rsidR="0018306A" w:rsidP="0018306A" w:rsidRDefault="0018306A" w14:paraId="31DAECB7"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5.7.6. Perkančioji organizacija nereguliuoja tiekėjo pasirinktų produktų-eksponatų atrankos, pristatymo, transportavimo, apgyvendinimo ir kitų organizacinių procesų vykdymo būdų, tačiau galutinis rezultatas turi atitikti techninės specifikacijos, parodos organizatoriaus ir kitus taikytinus reikalavimus bei nustatytus terminus.</w:t>
      </w:r>
    </w:p>
    <w:p w:rsidRPr="00E6039D" w:rsidR="0018306A" w:rsidP="0018306A" w:rsidRDefault="0018306A" w14:paraId="36B7EC37" w14:textId="77777777">
      <w:pPr>
        <w:spacing w:before="100" w:beforeAutospacing="1" w:after="100" w:afterAutospacing="1" w:line="240" w:lineRule="auto"/>
        <w:jc w:val="both"/>
        <w:rPr>
          <w:rFonts w:ascii="Times New Roman" w:hAnsi="Times New Roman" w:eastAsia="Times New Roman" w:cs="Times New Roman"/>
          <w:sz w:val="24"/>
          <w:szCs w:val="24"/>
        </w:rPr>
      </w:pPr>
    </w:p>
    <w:p w:rsidRPr="00E6039D" w:rsidR="0018306A" w:rsidP="0018306A" w:rsidRDefault="0018306A" w14:paraId="48EDDB9D"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5.8. Papildomi reikalavimai</w:t>
      </w:r>
    </w:p>
    <w:p w:rsidRPr="00E6039D" w:rsidR="0018306A" w:rsidP="0018306A" w:rsidRDefault="0018306A" w14:paraId="680EE38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 xml:space="preserve">5.8.1. </w:t>
      </w:r>
      <w:r w:rsidRPr="00E6039D">
        <w:rPr>
          <w:rFonts w:ascii="Times New Roman" w:hAnsi="Times New Roman" w:cs="Times New Roman"/>
          <w:sz w:val="24"/>
          <w:szCs w:val="24"/>
        </w:rPr>
        <w:t>Tiekėjas privalo užtikrinti, kad Ekspozicijoje visos parodos metu būtų įrengta ir lengvai pasiekiama pirmosios pagalbos vaistinėlė, taip pat būtų laikomasi visų taikytinų darbų saugos, priešgaisrinės saugos, higienos, lankytojų saugos ir parodos organizatoriaus nustatytų reikalavimų.</w:t>
      </w:r>
    </w:p>
    <w:p w:rsidRPr="00E6039D" w:rsidR="0018306A" w:rsidP="0018306A" w:rsidRDefault="0018306A" w14:paraId="1E3AEB63" w14:textId="77777777">
      <w:pPr>
        <w:pStyle w:val="NormalWeb"/>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5.8.2. Jeigu parodos organizatorius, kompetentingos institucijos ar kiti įgalioti asmenys pateikia privalomus reikalavimus keisti, tikslinti ar koreguoti Ekspozicijos projektinius, techninius, konstrukcinius, inžinerinius, saugos ar kitus sprendinius, tiekėjas privalo tokius pakeitimus atlikti savo lėšomis, užtikrindamas, kad galutinis Ekspozicijos sprendinys atitiktų techninės specifikacijos, parodos organizatoriaus ir kitus taikytinus reikalavimus.</w:t>
      </w:r>
    </w:p>
    <w:p w:rsidRPr="00E6039D" w:rsidR="0018306A" w:rsidP="0018306A" w:rsidRDefault="0018306A" w14:paraId="556503CA"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5.8.3. Tiekėjas nuo sutarties įsigaliojimo dienos ir visą sutarties vykdymo laikotarpį privalo turėti galiojantį bendrosios civilinės atsakomybės draudimą, apimantį parodų, ekspozicijų ar stendų projektavimo, įrengimo, eksploatavimo, aptarnavimo ir išmontavimo veiklą. Perkančiosios organizacijos prašymu tiekėjas privalo pateikti draudimo galiojimą patvirtinančius dokumentus.</w:t>
      </w:r>
    </w:p>
    <w:p w:rsidRPr="00E6039D" w:rsidR="0018306A" w:rsidP="0018306A" w:rsidRDefault="0018306A" w14:paraId="1F4F3985" w14:textId="77777777">
      <w:pPr>
        <w:spacing w:before="100" w:beforeAutospacing="1" w:after="100" w:afterAutospacing="1" w:line="240" w:lineRule="auto"/>
        <w:jc w:val="both"/>
        <w:rPr>
          <w:rFonts w:ascii="Times New Roman" w:hAnsi="Times New Roman" w:eastAsia="Times New Roman" w:cs="Times New Roman"/>
          <w:sz w:val="24"/>
          <w:szCs w:val="24"/>
        </w:rPr>
      </w:pPr>
      <w:r w:rsidRPr="1A5D405F" w:rsidR="0018306A">
        <w:rPr>
          <w:rStyle w:val="Strong"/>
          <w:rFonts w:ascii="Times New Roman" w:hAnsi="Times New Roman" w:cs="Times New Roman"/>
          <w:b w:val="0"/>
          <w:bCs w:val="0"/>
          <w:sz w:val="24"/>
          <w:szCs w:val="24"/>
        </w:rPr>
        <w:t>5.8.4.</w:t>
      </w:r>
      <w:r w:rsidRPr="1A5D405F" w:rsidR="0018306A">
        <w:rPr>
          <w:rFonts w:ascii="Times New Roman" w:hAnsi="Times New Roman" w:cs="Times New Roman"/>
          <w:b w:val="1"/>
          <w:bCs w:val="1"/>
          <w:sz w:val="24"/>
          <w:szCs w:val="24"/>
        </w:rPr>
        <w:t xml:space="preserve"> </w:t>
      </w:r>
      <w:r w:rsidRPr="1A5D405F" w:rsidR="0018306A">
        <w:rPr>
          <w:rFonts w:ascii="Times New Roman" w:hAnsi="Times New Roman" w:cs="Times New Roman"/>
          <w:sz w:val="24"/>
          <w:szCs w:val="24"/>
        </w:rPr>
        <w:t>Tiekėjas atsako už žalą, padarytą Perkančiajai organizacijai, parodos organizatoriui, tretiesiems asmenims, Ekspozicijai, parodos infrastruktūrai ar kitam turtui, jeigu žala atsirado dėl tiekėjo, jo darbuotojų, subtiekėjų ar kitų tiekėjo pasitelktų asmenų veiksmų ar neveikimo.</w:t>
      </w:r>
    </w:p>
    <w:p w:rsidR="7C42B0D3" w:rsidP="3D60AA48" w:rsidRDefault="7C42B0D3" w14:paraId="7776EFF7" w14:textId="1C05D187">
      <w:pPr>
        <w:pStyle w:val="NormalWeb"/>
        <w:numPr>
          <w:ilvl w:val="0"/>
          <w:numId w:val="64"/>
        </w:numPr>
        <w:spacing w:line="240" w:lineRule="auto"/>
        <w:jc w:val="center"/>
        <w:rPr>
          <w:rStyle w:val="Strong"/>
          <w:rFonts w:ascii="Times New Roman" w:hAnsi="Times New Roman" w:eastAsia="游ゴシック Light" w:cs="Times New Roman" w:eastAsiaTheme="majorEastAsia"/>
          <w:sz w:val="24"/>
          <w:szCs w:val="24"/>
        </w:rPr>
      </w:pPr>
      <w:r w:rsidRPr="3D60AA48" w:rsidR="7C42B0D3">
        <w:rPr>
          <w:rStyle w:val="Strong"/>
          <w:rFonts w:ascii="Times New Roman" w:hAnsi="Times New Roman" w:eastAsia="游ゴシック Light" w:cs="Times New Roman" w:eastAsiaTheme="majorEastAsia"/>
          <w:sz w:val="24"/>
          <w:szCs w:val="24"/>
        </w:rPr>
        <w:t>Reikalavimai pasiūlymo kainai</w:t>
      </w:r>
    </w:p>
    <w:p w:rsidRPr="00E6039D" w:rsidR="0018306A" w:rsidP="7065A416" w:rsidRDefault="0018306A" w14:paraId="432E9BA3" w14:textId="2B9E00D4">
      <w:pPr>
        <w:pStyle w:val="NormalWeb"/>
        <w:spacing w:before="210" w:beforeAutospacing="off" w:after="210" w:afterAutospacing="off"/>
        <w:jc w:val="both"/>
        <w:rPr>
          <w:rFonts w:ascii="Times New Roman" w:hAnsi="Times New Roman" w:eastAsia="Calibri" w:cs="Times New Roman"/>
          <w:sz w:val="24"/>
          <w:szCs w:val="24"/>
        </w:rPr>
      </w:pPr>
      <w:r w:rsidRPr="1A5D405F" w:rsidR="0018306A">
        <w:rPr>
          <w:rStyle w:val="Strong"/>
          <w:rFonts w:ascii="Times New Roman" w:hAnsi="Times New Roman" w:eastAsia="游ゴシック Light" w:cs="Times New Roman" w:eastAsiaTheme="majorEastAsia"/>
          <w:b w:val="0"/>
          <w:bCs w:val="0"/>
          <w:sz w:val="24"/>
          <w:szCs w:val="24"/>
        </w:rPr>
        <w:t>6.1.</w:t>
      </w:r>
      <w:r w:rsidRPr="1A5D405F" w:rsidR="0018306A">
        <w:rPr>
          <w:rStyle w:val="Strong"/>
          <w:rFonts w:ascii="Times New Roman" w:hAnsi="Times New Roman" w:eastAsia="游ゴシック Light" w:cs="Times New Roman" w:eastAsiaTheme="majorEastAsia"/>
          <w:sz w:val="24"/>
          <w:szCs w:val="24"/>
        </w:rPr>
        <w:t xml:space="preserve"> </w:t>
      </w:r>
      <w:r w:rsidRPr="1A5D405F" w:rsidR="0018306A">
        <w:rPr>
          <w:rFonts w:ascii="Times New Roman" w:hAnsi="Times New Roman" w:eastAsia="Segoe UI" w:cs="Times New Roman"/>
          <w:i w:val="1"/>
          <w:iCs w:val="1"/>
          <w:color w:val="242424"/>
          <w:sz w:val="24"/>
          <w:szCs w:val="24"/>
        </w:rPr>
        <w:t>Visos su Ekspozicijos sukūrimo, įrengimo ir aptarnavimo</w:t>
      </w:r>
      <w:r w:rsidRPr="1A5D405F" w:rsidR="0B38B5E2">
        <w:rPr>
          <w:rFonts w:ascii="Times New Roman" w:hAnsi="Times New Roman" w:eastAsia="Segoe UI" w:cs="Times New Roman"/>
          <w:i w:val="1"/>
          <w:iCs w:val="1"/>
          <w:color w:val="242424"/>
          <w:sz w:val="24"/>
          <w:szCs w:val="24"/>
        </w:rPr>
        <w:t xml:space="preserve"> bei išmontavimo</w:t>
      </w:r>
      <w:r w:rsidRPr="1A5D405F" w:rsidR="0018306A">
        <w:rPr>
          <w:rFonts w:ascii="Times New Roman" w:hAnsi="Times New Roman" w:eastAsia="Segoe UI" w:cs="Times New Roman"/>
          <w:i w:val="1"/>
          <w:iCs w:val="1"/>
          <w:color w:val="242424"/>
          <w:sz w:val="24"/>
          <w:szCs w:val="24"/>
        </w:rPr>
        <w:t xml:space="preserve"> paslaugų teikimu</w:t>
      </w:r>
      <w:r w:rsidRPr="1A5D405F" w:rsidR="0018306A">
        <w:rPr>
          <w:rFonts w:ascii="Times New Roman" w:hAnsi="Times New Roman" w:eastAsia="Segoe UI" w:cs="Times New Roman"/>
          <w:i w:val="1"/>
          <w:iCs w:val="1"/>
          <w:color w:val="242424"/>
          <w:sz w:val="24"/>
          <w:szCs w:val="24"/>
        </w:rPr>
        <w:t xml:space="preserve"> susijusios papildomos išlaidos, įskaitant transporto, apgyvendinimo, maitinimo, suvenyrų įsigijimo, leidimų gavimo, paslaugų organizavimo bei kitas būtinas išlaidas, turi būti įskaičiuotos į bendrą pasiūlymo kainą. Šios išlaidos laikomos sudėtine paslaugų kainos dalimi ir atskirai neapmokamos.</w:t>
      </w:r>
    </w:p>
    <w:p w:rsidRPr="00E6039D" w:rsidR="0018306A" w:rsidP="0018306A" w:rsidRDefault="0018306A" w14:paraId="6E158677" w14:textId="77777777">
      <w:pPr>
        <w:pStyle w:val="NormalWeb"/>
        <w:ind w:firstLine="709"/>
        <w:jc w:val="center"/>
        <w:rPr>
          <w:rFonts w:ascii="Times New Roman" w:hAnsi="Times New Roman" w:cs="Times New Roman"/>
          <w:sz w:val="24"/>
          <w:szCs w:val="24"/>
        </w:rPr>
      </w:pPr>
      <w:r w:rsidRPr="00E6039D">
        <w:rPr>
          <w:rStyle w:val="Strong"/>
          <w:rFonts w:ascii="Times New Roman" w:hAnsi="Times New Roman" w:cs="Times New Roman" w:eastAsiaTheme="majorEastAsia"/>
          <w:sz w:val="24"/>
          <w:szCs w:val="24"/>
        </w:rPr>
        <w:t>7. Kiti reikalavimai</w:t>
      </w:r>
    </w:p>
    <w:p w:rsidRPr="00E6039D" w:rsidR="0018306A" w:rsidP="0018306A" w:rsidRDefault="0018306A" w14:paraId="4AD483A8"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7.1. Aplinkos apsaugos reikalavimai</w:t>
      </w:r>
    </w:p>
    <w:p w:rsidRPr="00E6039D" w:rsidR="0018306A" w:rsidP="0018306A" w:rsidRDefault="0018306A" w14:paraId="55CBAAC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7.1.1. Vykdant sutartį taikomi aplinkos apsaugos kriterijai, nustatyti Lietuvos Respublikos aplinkos ministro 2011 m. birželio 28 d. įsakyme Nr. D1-508 „Dėl Aplinkos apsaugos kriterijų taikymo, vykdant žaliuosius pirkimus, tvarkos aprašo patvirtinimo“.</w:t>
      </w:r>
    </w:p>
    <w:p w:rsidRPr="00E6039D" w:rsidR="0018306A" w:rsidP="0018306A" w:rsidRDefault="0018306A" w14:paraId="0162AF7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7.1.2. Tiekėjas privalo užtikrinti, kad Ekspozicijos įrengimui ir aptarnavimui naudojamos medžiagos, priemonės, popieriaus gaminiai, valymo priemonės ir kiti eksploataciniai sprendiniai, kiek tai objektyviai įmanoma, atitiktų aplinkos apsaugos reikalavimus ir būtų orientuoti į tvarių sprendimų taikymą.</w:t>
      </w:r>
    </w:p>
    <w:p w:rsidRPr="00E6039D" w:rsidR="0018306A" w:rsidP="0018306A" w:rsidRDefault="0018306A" w14:paraId="41F14928"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7.1.3. Tiekėjas privalo užtikrinti atliekų rūšiavimą Ekspozicijos įrengimo, eksploatavimo ir demontavimo metu.</w:t>
      </w:r>
    </w:p>
    <w:p w:rsidRPr="00E6039D" w:rsidR="0018306A" w:rsidP="0018306A" w:rsidRDefault="0018306A" w14:paraId="60906BD5"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7.1.4. Tiekėjas, organizuodamas maitinimo ir reprezentacines paslaugas, turi siekti naudoti aplinkai palankius, vietinės kilmės, tvarius bei kokybės sistemas atitinkančius maisto produktus.</w:t>
      </w:r>
    </w:p>
    <w:p w:rsidRPr="00E6039D" w:rsidR="0018306A" w:rsidP="0018306A" w:rsidRDefault="0018306A" w14:paraId="1F85A9B1"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7.1.5. Ne mažiau kaip 30 procentų maisto produktų, naudojamų degustacijoms, reprezentaciniams renginiams ar oficialiems priėmimams, turi atitikti bent vieną iš šių kriterijų:</w:t>
      </w:r>
    </w:p>
    <w:p w:rsidRPr="00E6039D" w:rsidR="0018306A" w:rsidP="0018306A" w:rsidRDefault="0018306A" w14:paraId="65CBA093" w14:textId="77777777">
      <w:pPr>
        <w:pStyle w:val="ListParagraph"/>
        <w:numPr>
          <w:ilvl w:val="0"/>
          <w:numId w:val="67"/>
        </w:num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būti ekologiški;</w:t>
      </w:r>
    </w:p>
    <w:p w:rsidRPr="00E6039D" w:rsidR="0018306A" w:rsidP="0018306A" w:rsidRDefault="0018306A" w14:paraId="4FDC06DC" w14:textId="77777777">
      <w:pPr>
        <w:pStyle w:val="ListParagraph"/>
        <w:numPr>
          <w:ilvl w:val="0"/>
          <w:numId w:val="67"/>
        </w:num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būti sertifikuoti pagal nacionalinę maisto kokybės sistemą;</w:t>
      </w:r>
    </w:p>
    <w:p w:rsidRPr="00E6039D" w:rsidR="0018306A" w:rsidP="0018306A" w:rsidRDefault="0018306A" w14:paraId="47000F7F" w14:textId="77777777">
      <w:pPr>
        <w:pStyle w:val="ListParagraph"/>
        <w:numPr>
          <w:ilvl w:val="0"/>
          <w:numId w:val="67"/>
        </w:num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turėti saugomą geografinę nuorodą, saugomą kilmės vietos nuorodą arba garantuoto tradicinio gaminio statusą;</w:t>
      </w:r>
    </w:p>
    <w:p w:rsidRPr="00E6039D" w:rsidR="0018306A" w:rsidP="0018306A" w:rsidRDefault="0018306A" w14:paraId="685F525A" w14:textId="77777777">
      <w:pPr>
        <w:pStyle w:val="ListParagraph"/>
        <w:numPr>
          <w:ilvl w:val="0"/>
          <w:numId w:val="67"/>
        </w:num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atitikti lygiavertes kitų Europos Sąjungos valstybių narių pripažintas kokybės sistemas.</w:t>
      </w:r>
    </w:p>
    <w:p w:rsidRPr="00E6039D" w:rsidR="0018306A" w:rsidP="0018306A" w:rsidRDefault="0018306A" w14:paraId="2BE73105"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7.1.6. Tiekėjas sutarties vykdymo metu, Perkančiosios organizacijos prašymu, privalo pateikti dokumentus, pagrindžiančius maisto produktų atitiktį šioje techninėje specifikacijoje nustatytiems aplinkos apsaugos ir kokybės reikalavimams.</w:t>
      </w:r>
    </w:p>
    <w:p w:rsidRPr="00E6039D" w:rsidR="0018306A" w:rsidP="0018306A" w:rsidRDefault="0018306A" w14:paraId="5F505CFD" w14:textId="77777777">
      <w:pPr>
        <w:spacing w:before="100" w:beforeAutospacing="1" w:after="100" w:afterAutospacing="1" w:line="240" w:lineRule="auto"/>
        <w:ind w:firstLine="709"/>
        <w:jc w:val="center"/>
        <w:outlineLvl w:val="2"/>
        <w:rPr>
          <w:rFonts w:ascii="Times New Roman" w:hAnsi="Times New Roman" w:eastAsia="Times New Roman" w:cs="Times New Roman"/>
          <w:b/>
          <w:bCs/>
          <w:sz w:val="24"/>
          <w:szCs w:val="24"/>
        </w:rPr>
      </w:pPr>
      <w:r w:rsidRPr="00E6039D">
        <w:rPr>
          <w:rFonts w:ascii="Times New Roman" w:hAnsi="Times New Roman" w:eastAsia="Times New Roman" w:cs="Times New Roman"/>
          <w:b/>
          <w:bCs/>
          <w:sz w:val="24"/>
          <w:szCs w:val="24"/>
        </w:rPr>
        <w:t>7.2. Dokumentacijos ir sprendinių derinimas</w:t>
      </w:r>
    </w:p>
    <w:p w:rsidRPr="00E6039D" w:rsidR="0018306A" w:rsidP="7065A416" w:rsidRDefault="0018306A" w14:paraId="290C3D63" w14:textId="3D52E7C2">
      <w:pPr>
        <w:spacing w:before="100" w:beforeAutospacing="on" w:after="100" w:afterAutospacing="on" w:line="240" w:lineRule="auto"/>
        <w:jc w:val="both"/>
        <w:rPr>
          <w:rFonts w:ascii="Times New Roman" w:hAnsi="Times New Roman" w:eastAsia="Times New Roman" w:cs="Times New Roman"/>
          <w:sz w:val="24"/>
          <w:szCs w:val="24"/>
        </w:rPr>
      </w:pPr>
      <w:r w:rsidRPr="3D60AA48" w:rsidR="0018306A">
        <w:rPr>
          <w:rFonts w:ascii="Times New Roman" w:hAnsi="Times New Roman" w:eastAsia="Times New Roman" w:cs="Times New Roman"/>
          <w:sz w:val="24"/>
          <w:szCs w:val="24"/>
        </w:rPr>
        <w:t>7.2.1. Visa Ekspozicijos projektinė dokumentacija, vizualizacijos, techniniai, architektūriniai, inžineriniai ir dizaino sprendiniai turi būti derinami su Perkančiąja organizacija</w:t>
      </w:r>
      <w:r w:rsidRPr="3D60AA48" w:rsidR="4E46D8B6">
        <w:rPr>
          <w:rFonts w:ascii="Times New Roman" w:hAnsi="Times New Roman" w:eastAsia="Times New Roman" w:cs="Times New Roman"/>
          <w:sz w:val="24"/>
          <w:szCs w:val="24"/>
        </w:rPr>
        <w:t xml:space="preserve"> per 30 kalendorinių dienų</w:t>
      </w:r>
      <w:r w:rsidRPr="3D60AA48" w:rsidR="0018306A">
        <w:rPr>
          <w:rFonts w:ascii="Times New Roman" w:hAnsi="Times New Roman" w:eastAsia="Times New Roman" w:cs="Times New Roman"/>
          <w:sz w:val="24"/>
          <w:szCs w:val="24"/>
        </w:rPr>
        <w:t>.</w:t>
      </w:r>
    </w:p>
    <w:p w:rsidRPr="00E6039D" w:rsidR="0018306A" w:rsidP="0018306A" w:rsidRDefault="0018306A" w14:paraId="559BD2E2"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7.2.2. Perkančioji organizacija turi teisę teikti pastabas ir siūlymus dėl pateiktų sprendinių, o tiekėjas privalo įvertinti jų pagrįstumą ir, jei reikia, atlikti suderinamus pakeitimus.</w:t>
      </w:r>
    </w:p>
    <w:p w:rsidRPr="00E6039D" w:rsidR="0018306A" w:rsidP="0018306A" w:rsidRDefault="0018306A" w14:paraId="55F612B9" w14:textId="77777777">
      <w:pPr>
        <w:spacing w:before="100" w:beforeAutospacing="1" w:after="100" w:afterAutospacing="1" w:line="240" w:lineRule="auto"/>
        <w:jc w:val="both"/>
        <w:rPr>
          <w:rFonts w:ascii="Times New Roman" w:hAnsi="Times New Roman" w:eastAsia="Times New Roman" w:cs="Times New Roman"/>
          <w:sz w:val="24"/>
          <w:szCs w:val="24"/>
        </w:rPr>
      </w:pPr>
      <w:r w:rsidRPr="00E6039D">
        <w:rPr>
          <w:rFonts w:ascii="Times New Roman" w:hAnsi="Times New Roman" w:eastAsia="Times New Roman" w:cs="Times New Roman"/>
          <w:sz w:val="24"/>
          <w:szCs w:val="24"/>
        </w:rPr>
        <w:t>7.2.3. Galutiniai sprendiniai turi atitikti techninės specifikacijos reikalavimus, parodos organizatorių nustatytas taisykles ir bendrą reprezentacinę Ekspozicijos koncepciją.</w:t>
      </w:r>
    </w:p>
    <w:p w:rsidRPr="00E6039D" w:rsidR="0018306A" w:rsidP="0018306A" w:rsidRDefault="0018306A" w14:paraId="5C392F41" w14:textId="77777777">
      <w:pPr>
        <w:pStyle w:val="NormalWeb"/>
        <w:tabs>
          <w:tab w:val="left" w:pos="709"/>
        </w:tabs>
        <w:jc w:val="both"/>
        <w:rPr>
          <w:rFonts w:ascii="Times New Roman" w:hAnsi="Times New Roman" w:cs="Times New Roman"/>
          <w:sz w:val="24"/>
          <w:szCs w:val="24"/>
        </w:rPr>
      </w:pPr>
      <w:r w:rsidRPr="00E6039D">
        <w:rPr>
          <w:rStyle w:val="Strong"/>
          <w:rFonts w:ascii="Times New Roman" w:hAnsi="Times New Roman" w:cs="Times New Roman" w:eastAsiaTheme="majorEastAsia"/>
          <w:b w:val="0"/>
          <w:bCs w:val="0"/>
          <w:sz w:val="24"/>
          <w:szCs w:val="24"/>
        </w:rPr>
        <w:tab/>
      </w:r>
      <w:r w:rsidRPr="00E6039D">
        <w:rPr>
          <w:rStyle w:val="Strong"/>
          <w:rFonts w:ascii="Times New Roman" w:hAnsi="Times New Roman" w:cs="Times New Roman" w:eastAsiaTheme="majorEastAsia"/>
          <w:b w:val="0"/>
          <w:bCs w:val="0"/>
          <w:sz w:val="24"/>
          <w:szCs w:val="24"/>
        </w:rPr>
        <w:t>Priedas Nr. 1. Parodų s</w:t>
      </w:r>
      <w:r w:rsidRPr="00E6039D">
        <w:rPr>
          <w:rFonts w:ascii="Times New Roman" w:hAnsi="Times New Roman" w:cs="Times New Roman"/>
          <w:sz w:val="24"/>
          <w:szCs w:val="24"/>
        </w:rPr>
        <w:t>alės planas, 2026 m. Ekspozicijos projektas ir 2026 m. konstrukcijų skaičiavimai.</w:t>
      </w:r>
    </w:p>
    <w:p w:rsidRPr="00AA15D1" w:rsidR="009635D7" w:rsidP="00AA15D1" w:rsidRDefault="009635D7" w14:paraId="1A72A31D" w14:textId="77777777"/>
    <w:sectPr w:rsidRPr="00AA15D1" w:rsidR="009635D7" w:rsidSect="00153FC8">
      <w:headerReference w:type="default" r:id="rId14"/>
      <w:footerReference w:type="default" r:id="rId15"/>
      <w:pgSz w:w="12240" w:h="15840" w:orient="portrait"/>
      <w:pgMar w:top="1134" w:right="567" w:bottom="1134" w:left="1701" w:header="720" w:footer="720" w:gutter="0"/>
      <w:pgNumType w:start="22"/>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C7C" w:rsidP="00D05666" w:rsidRDefault="00A14C7C" w14:paraId="70E8A2A7" w14:textId="77777777">
      <w:r>
        <w:separator/>
      </w:r>
    </w:p>
  </w:endnote>
  <w:endnote w:type="continuationSeparator" w:id="0">
    <w:p w:rsidR="00A14C7C" w:rsidP="00D05666" w:rsidRDefault="00A14C7C" w14:paraId="600FA92C" w14:textId="77777777">
      <w:r>
        <w:continuationSeparator/>
      </w:r>
    </w:p>
  </w:endnote>
  <w:endnote w:type="continuationNotice" w:id="1">
    <w:p w:rsidR="00A14C7C" w:rsidRDefault="00A14C7C" w14:paraId="69D92E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BD" w:rsidRDefault="000765BD" w14:paraId="1F28BA78" w14:textId="7777777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C7C" w:rsidP="00D05666" w:rsidRDefault="00A14C7C" w14:paraId="6882BDF8" w14:textId="77777777">
      <w:r>
        <w:separator/>
      </w:r>
    </w:p>
  </w:footnote>
  <w:footnote w:type="continuationSeparator" w:id="0">
    <w:p w:rsidR="00A14C7C" w:rsidP="00D05666" w:rsidRDefault="00A14C7C" w14:paraId="0480AA83" w14:textId="77777777">
      <w:r>
        <w:continuationSeparator/>
      </w:r>
    </w:p>
  </w:footnote>
  <w:footnote w:type="continuationNotice" w:id="1">
    <w:p w:rsidR="00A14C7C" w:rsidRDefault="00A14C7C" w14:paraId="1DD445C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BD" w:rsidRDefault="000765BD" w14:paraId="692DF41F" w14:textId="77777777">
    <w:pPr>
      <w:tabs>
        <w:tab w:val="center" w:pos="4680"/>
        <w:tab w:val="right" w:pos="9360"/>
      </w:tabs>
      <w:jc w:val="center"/>
      <w:rPr>
        <w:rFonts w:ascii="Arial" w:hAnsi="Arial" w:eastAsia="Arial" w:cs="Arial"/>
        <w:sz w:val="18"/>
        <w:szCs w:val="18"/>
      </w:rPr>
    </w:pPr>
    <w:r>
      <w:rPr>
        <w:rFonts w:ascii="Arial" w:hAnsi="Arial" w:eastAsia="Arial" w:cs="Arial"/>
        <w:sz w:val="18"/>
        <w:szCs w:val="18"/>
      </w:rPr>
      <w:fldChar w:fldCharType="begin"/>
    </w:r>
    <w:r>
      <w:rPr>
        <w:rFonts w:ascii="Arial" w:hAnsi="Arial" w:eastAsia="Arial" w:cs="Arial"/>
        <w:sz w:val="18"/>
        <w:szCs w:val="18"/>
      </w:rPr>
      <w:instrText>PAGE   \* MERGEFORMAT</w:instrText>
    </w:r>
    <w:r>
      <w:rPr>
        <w:rFonts w:ascii="Arial" w:hAnsi="Arial" w:eastAsia="Arial" w:cs="Arial"/>
        <w:sz w:val="18"/>
        <w:szCs w:val="18"/>
      </w:rPr>
      <w:fldChar w:fldCharType="separate"/>
    </w:r>
    <w:r>
      <w:rPr>
        <w:rFonts w:ascii="Arial" w:hAnsi="Arial" w:eastAsia="Arial" w:cs="Arial"/>
        <w:noProof/>
        <w:sz w:val="18"/>
        <w:szCs w:val="18"/>
      </w:rPr>
      <w:t>28</w:t>
    </w:r>
    <w:r>
      <w:rPr>
        <w:rFonts w:ascii="Arial" w:hAnsi="Arial" w:eastAsia="Arial" w:cs="Arial"/>
        <w:sz w:val="18"/>
        <w:szCs w:val="18"/>
      </w:rPr>
      <w:fldChar w:fldCharType="end"/>
    </w:r>
  </w:p>
  <w:p w:rsidR="000765BD" w:rsidRDefault="000765BD" w14:paraId="22FB2F51" w14:textId="77777777">
    <w:pPr>
      <w:tabs>
        <w:tab w:val="center" w:pos="4680"/>
        <w:tab w:val="right" w:pos="9360"/>
      </w:tabs>
      <w:jc w:val="both"/>
      <w:rPr>
        <w:rFonts w:ascii="Arial" w:hAnsi="Arial" w:eastAsia="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hint="default" w:eastAsia="Calibri"/>
      </w:rPr>
    </w:lvl>
    <w:lvl w:ilvl="1">
      <w:start w:val="1"/>
      <w:numFmt w:val="decimal"/>
      <w:lvlText w:val="%1.%2."/>
      <w:lvlJc w:val="left"/>
      <w:pPr>
        <w:ind w:left="1494" w:hanging="360"/>
      </w:pPr>
      <w:rPr>
        <w:rFonts w:hint="default" w:eastAsia="Calibri"/>
      </w:rPr>
    </w:lvl>
    <w:lvl w:ilvl="2">
      <w:start w:val="1"/>
      <w:numFmt w:val="decimal"/>
      <w:lvlText w:val="%1.%2.%3."/>
      <w:lvlJc w:val="left"/>
      <w:pPr>
        <w:ind w:left="2988" w:hanging="720"/>
      </w:pPr>
      <w:rPr>
        <w:rFonts w:hint="default" w:eastAsia="Calibri"/>
      </w:rPr>
    </w:lvl>
    <w:lvl w:ilvl="3">
      <w:start w:val="1"/>
      <w:numFmt w:val="decimal"/>
      <w:lvlText w:val="%1.%2.%3.%4."/>
      <w:lvlJc w:val="left"/>
      <w:pPr>
        <w:ind w:left="4122" w:hanging="720"/>
      </w:pPr>
      <w:rPr>
        <w:rFonts w:hint="default" w:eastAsia="Calibri"/>
      </w:rPr>
    </w:lvl>
    <w:lvl w:ilvl="4">
      <w:start w:val="1"/>
      <w:numFmt w:val="decimal"/>
      <w:lvlText w:val="%1.%2.%3.%4.%5."/>
      <w:lvlJc w:val="left"/>
      <w:pPr>
        <w:ind w:left="5616" w:hanging="1080"/>
      </w:pPr>
      <w:rPr>
        <w:rFonts w:hint="default" w:eastAsia="Calibri"/>
      </w:rPr>
    </w:lvl>
    <w:lvl w:ilvl="5">
      <w:start w:val="1"/>
      <w:numFmt w:val="decimal"/>
      <w:lvlText w:val="%1.%2.%3.%4.%5.%6."/>
      <w:lvlJc w:val="left"/>
      <w:pPr>
        <w:ind w:left="6750" w:hanging="1080"/>
      </w:pPr>
      <w:rPr>
        <w:rFonts w:hint="default" w:eastAsia="Calibri"/>
      </w:rPr>
    </w:lvl>
    <w:lvl w:ilvl="6">
      <w:start w:val="1"/>
      <w:numFmt w:val="decimal"/>
      <w:lvlText w:val="%1.%2.%3.%4.%5.%6.%7."/>
      <w:lvlJc w:val="left"/>
      <w:pPr>
        <w:ind w:left="8244" w:hanging="1440"/>
      </w:pPr>
      <w:rPr>
        <w:rFonts w:hint="default" w:eastAsia="Calibri"/>
      </w:rPr>
    </w:lvl>
    <w:lvl w:ilvl="7">
      <w:start w:val="1"/>
      <w:numFmt w:val="decimal"/>
      <w:lvlText w:val="%1.%2.%3.%4.%5.%6.%7.%8."/>
      <w:lvlJc w:val="left"/>
      <w:pPr>
        <w:ind w:left="9378" w:hanging="1440"/>
      </w:pPr>
      <w:rPr>
        <w:rFonts w:hint="default" w:eastAsia="Calibri"/>
      </w:rPr>
    </w:lvl>
    <w:lvl w:ilvl="8">
      <w:start w:val="1"/>
      <w:numFmt w:val="decimal"/>
      <w:lvlText w:val="%1.%2.%3.%4.%5.%6.%7.%8.%9."/>
      <w:lvlJc w:val="left"/>
      <w:pPr>
        <w:ind w:left="10872" w:hanging="1800"/>
      </w:pPr>
      <w:rPr>
        <w:rFonts w:hint="default" w:eastAsia="Calibri"/>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735871"/>
    <w:multiLevelType w:val="multilevel"/>
    <w:tmpl w:val="7D0E1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CFC5BE9"/>
    <w:multiLevelType w:val="multilevel"/>
    <w:tmpl w:val="9AB240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DB048D6"/>
    <w:multiLevelType w:val="multilevel"/>
    <w:tmpl w:val="20C0D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4" w15:restartNumberingAfterBreak="0">
    <w:nsid w:val="13892387"/>
    <w:multiLevelType w:val="multilevel"/>
    <w:tmpl w:val="677804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6CC39A3"/>
    <w:multiLevelType w:val="hybridMultilevel"/>
    <w:tmpl w:val="E83E1D7C"/>
    <w:lvl w:ilvl="0" w:tplc="04270001">
      <w:start w:val="1"/>
      <w:numFmt w:val="bullet"/>
      <w:lvlText w:val=""/>
      <w:lvlJc w:val="left"/>
      <w:pPr>
        <w:ind w:left="780" w:hanging="360"/>
      </w:pPr>
      <w:rPr>
        <w:rFonts w:hint="default" w:ascii="Symbol" w:hAnsi="Symbol"/>
      </w:rPr>
    </w:lvl>
    <w:lvl w:ilvl="1" w:tplc="04270003" w:tentative="1">
      <w:start w:val="1"/>
      <w:numFmt w:val="bullet"/>
      <w:lvlText w:val="o"/>
      <w:lvlJc w:val="left"/>
      <w:pPr>
        <w:ind w:left="1500" w:hanging="360"/>
      </w:pPr>
      <w:rPr>
        <w:rFonts w:hint="default" w:ascii="Courier New" w:hAnsi="Courier New" w:cs="Courier New"/>
      </w:rPr>
    </w:lvl>
    <w:lvl w:ilvl="2" w:tplc="04270005" w:tentative="1">
      <w:start w:val="1"/>
      <w:numFmt w:val="bullet"/>
      <w:lvlText w:val=""/>
      <w:lvlJc w:val="left"/>
      <w:pPr>
        <w:ind w:left="2220" w:hanging="360"/>
      </w:pPr>
      <w:rPr>
        <w:rFonts w:hint="default" w:ascii="Wingdings" w:hAnsi="Wingdings"/>
      </w:rPr>
    </w:lvl>
    <w:lvl w:ilvl="3" w:tplc="04270001" w:tentative="1">
      <w:start w:val="1"/>
      <w:numFmt w:val="bullet"/>
      <w:lvlText w:val=""/>
      <w:lvlJc w:val="left"/>
      <w:pPr>
        <w:ind w:left="2940" w:hanging="360"/>
      </w:pPr>
      <w:rPr>
        <w:rFonts w:hint="default" w:ascii="Symbol" w:hAnsi="Symbol"/>
      </w:rPr>
    </w:lvl>
    <w:lvl w:ilvl="4" w:tplc="04270003" w:tentative="1">
      <w:start w:val="1"/>
      <w:numFmt w:val="bullet"/>
      <w:lvlText w:val="o"/>
      <w:lvlJc w:val="left"/>
      <w:pPr>
        <w:ind w:left="3660" w:hanging="360"/>
      </w:pPr>
      <w:rPr>
        <w:rFonts w:hint="default" w:ascii="Courier New" w:hAnsi="Courier New" w:cs="Courier New"/>
      </w:rPr>
    </w:lvl>
    <w:lvl w:ilvl="5" w:tplc="04270005" w:tentative="1">
      <w:start w:val="1"/>
      <w:numFmt w:val="bullet"/>
      <w:lvlText w:val=""/>
      <w:lvlJc w:val="left"/>
      <w:pPr>
        <w:ind w:left="4380" w:hanging="360"/>
      </w:pPr>
      <w:rPr>
        <w:rFonts w:hint="default" w:ascii="Wingdings" w:hAnsi="Wingdings"/>
      </w:rPr>
    </w:lvl>
    <w:lvl w:ilvl="6" w:tplc="04270001" w:tentative="1">
      <w:start w:val="1"/>
      <w:numFmt w:val="bullet"/>
      <w:lvlText w:val=""/>
      <w:lvlJc w:val="left"/>
      <w:pPr>
        <w:ind w:left="5100" w:hanging="360"/>
      </w:pPr>
      <w:rPr>
        <w:rFonts w:hint="default" w:ascii="Symbol" w:hAnsi="Symbol"/>
      </w:rPr>
    </w:lvl>
    <w:lvl w:ilvl="7" w:tplc="04270003" w:tentative="1">
      <w:start w:val="1"/>
      <w:numFmt w:val="bullet"/>
      <w:lvlText w:val="o"/>
      <w:lvlJc w:val="left"/>
      <w:pPr>
        <w:ind w:left="5820" w:hanging="360"/>
      </w:pPr>
      <w:rPr>
        <w:rFonts w:hint="default" w:ascii="Courier New" w:hAnsi="Courier New" w:cs="Courier New"/>
      </w:rPr>
    </w:lvl>
    <w:lvl w:ilvl="8" w:tplc="04270005" w:tentative="1">
      <w:start w:val="1"/>
      <w:numFmt w:val="bullet"/>
      <w:lvlText w:val=""/>
      <w:lvlJc w:val="left"/>
      <w:pPr>
        <w:ind w:left="6540" w:hanging="360"/>
      </w:pPr>
      <w:rPr>
        <w:rFonts w:hint="default" w:ascii="Wingdings" w:hAnsi="Wingdings"/>
      </w:rPr>
    </w:lvl>
  </w:abstractNum>
  <w:abstractNum w:abstractNumId="19"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131BC9"/>
    <w:multiLevelType w:val="multilevel"/>
    <w:tmpl w:val="62D85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1223E8D"/>
    <w:multiLevelType w:val="multilevel"/>
    <w:tmpl w:val="B31826A0"/>
    <w:lvl w:ilvl="0">
      <w:start w:val="2"/>
      <w:numFmt w:val="decimal"/>
      <w:lvlText w:val="%1."/>
      <w:lvlJc w:val="left"/>
      <w:pPr>
        <w:ind w:left="360" w:hanging="360"/>
      </w:pPr>
      <w:rPr>
        <w:rFonts w:hint="default" w:ascii="Times New Roman" w:hAnsi="Times New Roman" w:cs="Times New Roman"/>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7" w15:restartNumberingAfterBreak="0">
    <w:nsid w:val="23867D86"/>
    <w:multiLevelType w:val="multilevel"/>
    <w:tmpl w:val="ADE6F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5F56C6E"/>
    <w:multiLevelType w:val="multilevel"/>
    <w:tmpl w:val="F1888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BAE6307"/>
    <w:multiLevelType w:val="multilevel"/>
    <w:tmpl w:val="86BE8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2BFE6A6A"/>
    <w:multiLevelType w:val="multilevel"/>
    <w:tmpl w:val="4B3CB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1761B0"/>
    <w:multiLevelType w:val="multilevel"/>
    <w:tmpl w:val="D5943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0305FE4"/>
    <w:multiLevelType w:val="multilevel"/>
    <w:tmpl w:val="D542F1AE"/>
    <w:lvl w:ilvl="0">
      <w:start w:val="1"/>
      <w:numFmt w:val="decimal"/>
      <w:lvlText w:val="%1."/>
      <w:lvlJc w:val="left"/>
      <w:pPr>
        <w:ind w:left="360" w:hanging="360"/>
      </w:pPr>
      <w:rPr>
        <w:rFonts w:hint="default" w:eastAsiaTheme="minorEastAsia"/>
      </w:rPr>
    </w:lvl>
    <w:lvl w:ilvl="1">
      <w:start w:val="8"/>
      <w:numFmt w:val="decimal"/>
      <w:lvlText w:val="%1.%2."/>
      <w:lvlJc w:val="left"/>
      <w:pPr>
        <w:ind w:left="927" w:hanging="360"/>
      </w:pPr>
      <w:rPr>
        <w:rFonts w:hint="default" w:eastAsiaTheme="minorEastAsia"/>
      </w:rPr>
    </w:lvl>
    <w:lvl w:ilvl="2">
      <w:start w:val="1"/>
      <w:numFmt w:val="decimal"/>
      <w:lvlText w:val="%1.%2.%3."/>
      <w:lvlJc w:val="left"/>
      <w:pPr>
        <w:ind w:left="1854" w:hanging="720"/>
      </w:pPr>
      <w:rPr>
        <w:rFonts w:hint="default" w:eastAsiaTheme="minorEastAsia"/>
      </w:rPr>
    </w:lvl>
    <w:lvl w:ilvl="3">
      <w:start w:val="1"/>
      <w:numFmt w:val="decimal"/>
      <w:lvlText w:val="%1.%2.%3.%4."/>
      <w:lvlJc w:val="left"/>
      <w:pPr>
        <w:ind w:left="2421" w:hanging="720"/>
      </w:pPr>
      <w:rPr>
        <w:rFonts w:hint="default" w:eastAsiaTheme="minorEastAsia"/>
      </w:rPr>
    </w:lvl>
    <w:lvl w:ilvl="4">
      <w:start w:val="1"/>
      <w:numFmt w:val="decimal"/>
      <w:lvlText w:val="%1.%2.%3.%4.%5."/>
      <w:lvlJc w:val="left"/>
      <w:pPr>
        <w:ind w:left="3348" w:hanging="1080"/>
      </w:pPr>
      <w:rPr>
        <w:rFonts w:hint="default" w:eastAsiaTheme="minorEastAsia"/>
      </w:rPr>
    </w:lvl>
    <w:lvl w:ilvl="5">
      <w:start w:val="1"/>
      <w:numFmt w:val="decimal"/>
      <w:lvlText w:val="%1.%2.%3.%4.%5.%6."/>
      <w:lvlJc w:val="left"/>
      <w:pPr>
        <w:ind w:left="3915" w:hanging="1080"/>
      </w:pPr>
      <w:rPr>
        <w:rFonts w:hint="default" w:eastAsiaTheme="minorEastAsia"/>
      </w:rPr>
    </w:lvl>
    <w:lvl w:ilvl="6">
      <w:start w:val="1"/>
      <w:numFmt w:val="decimal"/>
      <w:lvlText w:val="%1.%2.%3.%4.%5.%6.%7."/>
      <w:lvlJc w:val="left"/>
      <w:pPr>
        <w:ind w:left="4842" w:hanging="1440"/>
      </w:pPr>
      <w:rPr>
        <w:rFonts w:hint="default" w:eastAsiaTheme="minorEastAsia"/>
      </w:rPr>
    </w:lvl>
    <w:lvl w:ilvl="7">
      <w:start w:val="1"/>
      <w:numFmt w:val="decimal"/>
      <w:lvlText w:val="%1.%2.%3.%4.%5.%6.%7.%8."/>
      <w:lvlJc w:val="left"/>
      <w:pPr>
        <w:ind w:left="5409" w:hanging="1440"/>
      </w:pPr>
      <w:rPr>
        <w:rFonts w:hint="default" w:eastAsiaTheme="minorEastAsia"/>
      </w:rPr>
    </w:lvl>
    <w:lvl w:ilvl="8">
      <w:start w:val="1"/>
      <w:numFmt w:val="decimal"/>
      <w:lvlText w:val="%1.%2.%3.%4.%5.%6.%7.%8.%9."/>
      <w:lvlJc w:val="left"/>
      <w:pPr>
        <w:ind w:left="6336" w:hanging="1800"/>
      </w:pPr>
      <w:rPr>
        <w:rFonts w:hint="default" w:eastAsiaTheme="minorEastAsia"/>
      </w:rPr>
    </w:lvl>
  </w:abstractNum>
  <w:abstractNum w:abstractNumId="35"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733888"/>
    <w:multiLevelType w:val="multilevel"/>
    <w:tmpl w:val="D5B4E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2"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C37E89"/>
    <w:multiLevelType w:val="multilevel"/>
    <w:tmpl w:val="6750D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A05FCE"/>
    <w:multiLevelType w:val="multilevel"/>
    <w:tmpl w:val="4DA08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CEE19FA"/>
    <w:multiLevelType w:val="hybridMultilevel"/>
    <w:tmpl w:val="309C260A"/>
    <w:lvl w:ilvl="0" w:tplc="11CE800E">
      <w:numFmt w:val="bullet"/>
      <w:lvlText w:val="-"/>
      <w:lvlJc w:val="left"/>
      <w:pPr>
        <w:ind w:left="720" w:hanging="360"/>
      </w:pPr>
      <w:rPr>
        <w:rFonts w:hint="default" w:ascii="Times New Roman" w:hAnsi="Times New Roman" w:eastAsia="Times New Roman" w:cs="Times New Roman"/>
      </w:rPr>
    </w:lvl>
    <w:lvl w:ilvl="1" w:tplc="04270003">
      <w:start w:val="1"/>
      <w:numFmt w:val="bullet"/>
      <w:lvlText w:val="o"/>
      <w:lvlJc w:val="left"/>
      <w:pPr>
        <w:ind w:left="1440" w:hanging="360"/>
      </w:pPr>
      <w:rPr>
        <w:rFonts w:hint="default" w:ascii="Courier New" w:hAnsi="Courier New" w:cs="Courier New"/>
      </w:rPr>
    </w:lvl>
    <w:lvl w:ilvl="2" w:tplc="04270005">
      <w:start w:val="1"/>
      <w:numFmt w:val="bullet"/>
      <w:lvlText w:val=""/>
      <w:lvlJc w:val="left"/>
      <w:pPr>
        <w:ind w:left="2160" w:hanging="360"/>
      </w:pPr>
      <w:rPr>
        <w:rFonts w:hint="default" w:ascii="Wingdings" w:hAnsi="Wingdings"/>
      </w:rPr>
    </w:lvl>
    <w:lvl w:ilvl="3" w:tplc="04270001">
      <w:start w:val="1"/>
      <w:numFmt w:val="bullet"/>
      <w:lvlText w:val=""/>
      <w:lvlJc w:val="left"/>
      <w:pPr>
        <w:ind w:left="2880" w:hanging="360"/>
      </w:pPr>
      <w:rPr>
        <w:rFonts w:hint="default" w:ascii="Symbol" w:hAnsi="Symbol"/>
      </w:rPr>
    </w:lvl>
    <w:lvl w:ilvl="4" w:tplc="04270003">
      <w:start w:val="1"/>
      <w:numFmt w:val="bullet"/>
      <w:lvlText w:val="o"/>
      <w:lvlJc w:val="left"/>
      <w:pPr>
        <w:ind w:left="3600" w:hanging="360"/>
      </w:pPr>
      <w:rPr>
        <w:rFonts w:hint="default" w:ascii="Courier New" w:hAnsi="Courier New" w:cs="Courier New"/>
      </w:rPr>
    </w:lvl>
    <w:lvl w:ilvl="5" w:tplc="04270005">
      <w:start w:val="1"/>
      <w:numFmt w:val="bullet"/>
      <w:lvlText w:val=""/>
      <w:lvlJc w:val="left"/>
      <w:pPr>
        <w:ind w:left="4320" w:hanging="360"/>
      </w:pPr>
      <w:rPr>
        <w:rFonts w:hint="default" w:ascii="Wingdings" w:hAnsi="Wingdings"/>
      </w:rPr>
    </w:lvl>
    <w:lvl w:ilvl="6" w:tplc="04270001">
      <w:start w:val="1"/>
      <w:numFmt w:val="bullet"/>
      <w:lvlText w:val=""/>
      <w:lvlJc w:val="left"/>
      <w:pPr>
        <w:ind w:left="5040" w:hanging="360"/>
      </w:pPr>
      <w:rPr>
        <w:rFonts w:hint="default" w:ascii="Symbol" w:hAnsi="Symbol"/>
      </w:rPr>
    </w:lvl>
    <w:lvl w:ilvl="7" w:tplc="04270003">
      <w:start w:val="1"/>
      <w:numFmt w:val="bullet"/>
      <w:lvlText w:val="o"/>
      <w:lvlJc w:val="left"/>
      <w:pPr>
        <w:ind w:left="5760" w:hanging="360"/>
      </w:pPr>
      <w:rPr>
        <w:rFonts w:hint="default" w:ascii="Courier New" w:hAnsi="Courier New" w:cs="Courier New"/>
      </w:rPr>
    </w:lvl>
    <w:lvl w:ilvl="8" w:tplc="04270005">
      <w:start w:val="1"/>
      <w:numFmt w:val="bullet"/>
      <w:lvlText w:val=""/>
      <w:lvlJc w:val="left"/>
      <w:pPr>
        <w:ind w:left="6480" w:hanging="360"/>
      </w:pPr>
      <w:rPr>
        <w:rFonts w:hint="default" w:ascii="Wingdings" w:hAnsi="Wingdings"/>
      </w:rPr>
    </w:lvl>
  </w:abstractNum>
  <w:abstractNum w:abstractNumId="48" w15:restartNumberingAfterBreak="0">
    <w:nsid w:val="4EF8458E"/>
    <w:multiLevelType w:val="multilevel"/>
    <w:tmpl w:val="49E42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500809CB"/>
    <w:multiLevelType w:val="multilevel"/>
    <w:tmpl w:val="A44EF3D4"/>
    <w:lvl w:ilvl="0">
      <w:start w:val="6"/>
      <w:numFmt w:val="decimal"/>
      <w:lvlText w:val="%1."/>
      <w:lvlJc w:val="left"/>
      <w:pPr>
        <w:ind w:left="504" w:hanging="504"/>
      </w:pPr>
      <w:rPr>
        <w:rFonts w:hint="default" w:eastAsia="Calibri"/>
      </w:rPr>
    </w:lvl>
    <w:lvl w:ilvl="1">
      <w:start w:val="2"/>
      <w:numFmt w:val="decimal"/>
      <w:lvlText w:val="%1.%2."/>
      <w:lvlJc w:val="left"/>
      <w:pPr>
        <w:ind w:left="1355" w:hanging="504"/>
      </w:pPr>
      <w:rPr>
        <w:rFonts w:hint="default" w:eastAsia="Calibri"/>
      </w:rPr>
    </w:lvl>
    <w:lvl w:ilvl="2">
      <w:start w:val="2"/>
      <w:numFmt w:val="decimal"/>
      <w:lvlText w:val="%1.%2.%3."/>
      <w:lvlJc w:val="left"/>
      <w:pPr>
        <w:ind w:left="720" w:hanging="720"/>
      </w:pPr>
      <w:rPr>
        <w:rFonts w:hint="default" w:eastAsia="Calibri"/>
      </w:rPr>
    </w:lvl>
    <w:lvl w:ilvl="3">
      <w:start w:val="1"/>
      <w:numFmt w:val="decimal"/>
      <w:lvlText w:val="%1.%2.%3.%4."/>
      <w:lvlJc w:val="left"/>
      <w:pPr>
        <w:ind w:left="720" w:hanging="720"/>
      </w:pPr>
      <w:rPr>
        <w:rFonts w:hint="default" w:eastAsia="Calibri"/>
      </w:rPr>
    </w:lvl>
    <w:lvl w:ilvl="4">
      <w:start w:val="1"/>
      <w:numFmt w:val="decimal"/>
      <w:lvlText w:val="%1.%2.%3.%4.%5."/>
      <w:lvlJc w:val="left"/>
      <w:pPr>
        <w:ind w:left="1080" w:hanging="1080"/>
      </w:pPr>
      <w:rPr>
        <w:rFonts w:hint="default" w:eastAsia="Calibri"/>
      </w:rPr>
    </w:lvl>
    <w:lvl w:ilvl="5">
      <w:start w:val="1"/>
      <w:numFmt w:val="decimal"/>
      <w:lvlText w:val="%1.%2.%3.%4.%5.%6."/>
      <w:lvlJc w:val="left"/>
      <w:pPr>
        <w:ind w:left="1080" w:hanging="1080"/>
      </w:pPr>
      <w:rPr>
        <w:rFonts w:hint="default" w:eastAsia="Calibri"/>
      </w:rPr>
    </w:lvl>
    <w:lvl w:ilvl="6">
      <w:start w:val="1"/>
      <w:numFmt w:val="decimal"/>
      <w:lvlText w:val="%1.%2.%3.%4.%5.%6.%7."/>
      <w:lvlJc w:val="left"/>
      <w:pPr>
        <w:ind w:left="1440" w:hanging="1440"/>
      </w:pPr>
      <w:rPr>
        <w:rFonts w:hint="default" w:eastAsia="Calibri"/>
      </w:rPr>
    </w:lvl>
    <w:lvl w:ilvl="7">
      <w:start w:val="1"/>
      <w:numFmt w:val="decimal"/>
      <w:lvlText w:val="%1.%2.%3.%4.%5.%6.%7.%8."/>
      <w:lvlJc w:val="left"/>
      <w:pPr>
        <w:ind w:left="1440" w:hanging="1440"/>
      </w:pPr>
      <w:rPr>
        <w:rFonts w:hint="default" w:eastAsia="Calibri"/>
      </w:rPr>
    </w:lvl>
    <w:lvl w:ilvl="8">
      <w:start w:val="1"/>
      <w:numFmt w:val="decimal"/>
      <w:lvlText w:val="%1.%2.%3.%4.%5.%6.%7.%8.%9."/>
      <w:lvlJc w:val="left"/>
      <w:pPr>
        <w:ind w:left="1440" w:hanging="1440"/>
      </w:pPr>
      <w:rPr>
        <w:rFonts w:hint="default" w:eastAsia="Calibri"/>
      </w:rPr>
    </w:lvl>
  </w:abstractNum>
  <w:abstractNum w:abstractNumId="50"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F0126E"/>
    <w:multiLevelType w:val="multilevel"/>
    <w:tmpl w:val="85C09C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7" w15:restartNumberingAfterBreak="0">
    <w:nsid w:val="691926A8"/>
    <w:multiLevelType w:val="multilevel"/>
    <w:tmpl w:val="597C5796"/>
    <w:lvl w:ilvl="0">
      <w:start w:val="6"/>
      <w:numFmt w:val="decimal"/>
      <w:lvlText w:val="%1."/>
      <w:lvlJc w:val="left"/>
      <w:pPr>
        <w:ind w:left="540" w:hanging="540"/>
      </w:pPr>
      <w:rPr>
        <w:rFonts w:hint="default" w:eastAsia="Arial"/>
      </w:rPr>
    </w:lvl>
    <w:lvl w:ilvl="1">
      <w:start w:val="1"/>
      <w:numFmt w:val="decimal"/>
      <w:lvlText w:val="%1.%2."/>
      <w:lvlJc w:val="left"/>
      <w:pPr>
        <w:ind w:left="823" w:hanging="540"/>
      </w:pPr>
      <w:rPr>
        <w:rFonts w:hint="default" w:eastAsia="Arial"/>
      </w:rPr>
    </w:lvl>
    <w:lvl w:ilvl="2">
      <w:start w:val="4"/>
      <w:numFmt w:val="decimal"/>
      <w:lvlText w:val="%1.%2.%3."/>
      <w:lvlJc w:val="left"/>
      <w:pPr>
        <w:ind w:left="1286" w:hanging="720"/>
      </w:pPr>
      <w:rPr>
        <w:rFonts w:hint="default" w:eastAsia="Arial"/>
      </w:rPr>
    </w:lvl>
    <w:lvl w:ilvl="3">
      <w:start w:val="1"/>
      <w:numFmt w:val="decimal"/>
      <w:lvlText w:val="%1.%2.%3.%4."/>
      <w:lvlJc w:val="left"/>
      <w:pPr>
        <w:ind w:left="1569" w:hanging="720"/>
      </w:pPr>
      <w:rPr>
        <w:rFonts w:hint="default" w:eastAsia="Arial"/>
      </w:rPr>
    </w:lvl>
    <w:lvl w:ilvl="4">
      <w:start w:val="1"/>
      <w:numFmt w:val="decimal"/>
      <w:lvlText w:val="%1.%2.%3.%4.%5."/>
      <w:lvlJc w:val="left"/>
      <w:pPr>
        <w:ind w:left="2212" w:hanging="1080"/>
      </w:pPr>
      <w:rPr>
        <w:rFonts w:hint="default" w:eastAsia="Arial"/>
      </w:rPr>
    </w:lvl>
    <w:lvl w:ilvl="5">
      <w:start w:val="1"/>
      <w:numFmt w:val="decimal"/>
      <w:lvlText w:val="%1.%2.%3.%4.%5.%6."/>
      <w:lvlJc w:val="left"/>
      <w:pPr>
        <w:ind w:left="2495" w:hanging="1080"/>
      </w:pPr>
      <w:rPr>
        <w:rFonts w:hint="default" w:eastAsia="Arial"/>
      </w:rPr>
    </w:lvl>
    <w:lvl w:ilvl="6">
      <w:start w:val="1"/>
      <w:numFmt w:val="decimal"/>
      <w:lvlText w:val="%1.%2.%3.%4.%5.%6.%7."/>
      <w:lvlJc w:val="left"/>
      <w:pPr>
        <w:ind w:left="3138" w:hanging="1440"/>
      </w:pPr>
      <w:rPr>
        <w:rFonts w:hint="default" w:eastAsia="Arial"/>
      </w:rPr>
    </w:lvl>
    <w:lvl w:ilvl="7">
      <w:start w:val="1"/>
      <w:numFmt w:val="decimal"/>
      <w:lvlText w:val="%1.%2.%3.%4.%5.%6.%7.%8."/>
      <w:lvlJc w:val="left"/>
      <w:pPr>
        <w:ind w:left="3421" w:hanging="1440"/>
      </w:pPr>
      <w:rPr>
        <w:rFonts w:hint="default" w:eastAsia="Arial"/>
      </w:rPr>
    </w:lvl>
    <w:lvl w:ilvl="8">
      <w:start w:val="1"/>
      <w:numFmt w:val="decimal"/>
      <w:lvlText w:val="%1.%2.%3.%4.%5.%6.%7.%8.%9."/>
      <w:lvlJc w:val="left"/>
      <w:pPr>
        <w:ind w:left="4064" w:hanging="1800"/>
      </w:pPr>
      <w:rPr>
        <w:rFonts w:hint="default" w:eastAsia="Arial"/>
      </w:rPr>
    </w:lvl>
  </w:abstractNum>
  <w:abstractNum w:abstractNumId="5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F8E661C"/>
    <w:multiLevelType w:val="hybridMultilevel"/>
    <w:tmpl w:val="F6BE953C"/>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61" w15:restartNumberingAfterBreak="0">
    <w:nsid w:val="7115138A"/>
    <w:multiLevelType w:val="multilevel"/>
    <w:tmpl w:val="6CDE1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F30DC5"/>
    <w:multiLevelType w:val="multilevel"/>
    <w:tmpl w:val="0506F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766A137E"/>
    <w:multiLevelType w:val="multilevel"/>
    <w:tmpl w:val="F56A6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2414848">
    <w:abstractNumId w:val="15"/>
  </w:num>
  <w:num w:numId="2" w16cid:durableId="1034884971">
    <w:abstractNumId w:val="47"/>
  </w:num>
  <w:num w:numId="3" w16cid:durableId="1079136863">
    <w:abstractNumId w:val="5"/>
  </w:num>
  <w:num w:numId="4" w16cid:durableId="1145509611">
    <w:abstractNumId w:val="13"/>
  </w:num>
  <w:num w:numId="5" w16cid:durableId="1159223826">
    <w:abstractNumId w:val="22"/>
  </w:num>
  <w:num w:numId="6" w16cid:durableId="1187409370">
    <w:abstractNumId w:val="45"/>
  </w:num>
  <w:num w:numId="7" w16cid:durableId="1194030444">
    <w:abstractNumId w:val="6"/>
  </w:num>
  <w:num w:numId="8" w16cid:durableId="1228957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2082141">
    <w:abstractNumId w:val="38"/>
  </w:num>
  <w:num w:numId="10" w16cid:durableId="1249193128">
    <w:abstractNumId w:val="28"/>
  </w:num>
  <w:num w:numId="11" w16cid:durableId="1276057930">
    <w:abstractNumId w:val="20"/>
  </w:num>
  <w:num w:numId="12" w16cid:durableId="1348219052">
    <w:abstractNumId w:val="49"/>
  </w:num>
  <w:num w:numId="13" w16cid:durableId="1401440654">
    <w:abstractNumId w:val="8"/>
  </w:num>
  <w:num w:numId="14" w16cid:durableId="1433283109">
    <w:abstractNumId w:val="57"/>
  </w:num>
  <w:num w:numId="15" w16cid:durableId="1469392910">
    <w:abstractNumId w:val="62"/>
  </w:num>
  <w:num w:numId="16" w16cid:durableId="1480685319">
    <w:abstractNumId w:val="10"/>
  </w:num>
  <w:num w:numId="17" w16cid:durableId="1509707918">
    <w:abstractNumId w:val="11"/>
  </w:num>
  <w:num w:numId="18" w16cid:durableId="1541892646">
    <w:abstractNumId w:val="64"/>
  </w:num>
  <w:num w:numId="19" w16cid:durableId="1553151263">
    <w:abstractNumId w:val="30"/>
  </w:num>
  <w:num w:numId="20" w16cid:durableId="1572622971">
    <w:abstractNumId w:val="59"/>
  </w:num>
  <w:num w:numId="21" w16cid:durableId="1595820269">
    <w:abstractNumId w:val="61"/>
  </w:num>
  <w:num w:numId="22" w16cid:durableId="1609198442">
    <w:abstractNumId w:val="55"/>
  </w:num>
  <w:num w:numId="23" w16cid:durableId="1619677331">
    <w:abstractNumId w:val="18"/>
  </w:num>
  <w:num w:numId="24" w16cid:durableId="1661880954">
    <w:abstractNumId w:val="12"/>
  </w:num>
  <w:num w:numId="25" w16cid:durableId="1684091758">
    <w:abstractNumId w:val="29"/>
  </w:num>
  <w:num w:numId="26" w16cid:durableId="1690794906">
    <w:abstractNumId w:val="63"/>
  </w:num>
  <w:num w:numId="27" w16cid:durableId="170798690">
    <w:abstractNumId w:val="9"/>
  </w:num>
  <w:num w:numId="28" w16cid:durableId="1708263632">
    <w:abstractNumId w:val="24"/>
  </w:num>
  <w:num w:numId="29" w16cid:durableId="1708869233">
    <w:abstractNumId w:val="31"/>
  </w:num>
  <w:num w:numId="30" w16cid:durableId="1816407111">
    <w:abstractNumId w:val="42"/>
  </w:num>
  <w:num w:numId="31" w16cid:durableId="1826584065">
    <w:abstractNumId w:val="19"/>
  </w:num>
  <w:num w:numId="32" w16cid:durableId="1894804663">
    <w:abstractNumId w:val="14"/>
  </w:num>
  <w:num w:numId="33" w16cid:durableId="19105782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15430290">
    <w:abstractNumId w:val="16"/>
  </w:num>
  <w:num w:numId="35" w16cid:durableId="1932546452">
    <w:abstractNumId w:val="3"/>
  </w:num>
  <w:num w:numId="36" w16cid:durableId="1986348867">
    <w:abstractNumId w:val="46"/>
  </w:num>
  <w:num w:numId="37" w16cid:durableId="204100039">
    <w:abstractNumId w:val="2"/>
  </w:num>
  <w:num w:numId="38" w16cid:durableId="20906349">
    <w:abstractNumId w:val="33"/>
  </w:num>
  <w:num w:numId="39" w16cid:durableId="2104524229">
    <w:abstractNumId w:val="34"/>
  </w:num>
  <w:num w:numId="40" w16cid:durableId="2114128057">
    <w:abstractNumId w:val="51"/>
  </w:num>
  <w:num w:numId="41" w16cid:durableId="212275358">
    <w:abstractNumId w:val="25"/>
  </w:num>
  <w:num w:numId="42" w16cid:durableId="2135442062">
    <w:abstractNumId w:val="36"/>
  </w:num>
  <w:num w:numId="43" w16cid:durableId="222327889">
    <w:abstractNumId w:val="41"/>
  </w:num>
  <w:num w:numId="44" w16cid:durableId="240331353">
    <w:abstractNumId w:val="65"/>
  </w:num>
  <w:num w:numId="45" w16cid:durableId="255482501">
    <w:abstractNumId w:val="52"/>
  </w:num>
  <w:num w:numId="46" w16cid:durableId="264194658">
    <w:abstractNumId w:val="43"/>
  </w:num>
  <w:num w:numId="47" w16cid:durableId="348874152">
    <w:abstractNumId w:val="27"/>
  </w:num>
  <w:num w:numId="48" w16cid:durableId="411465542">
    <w:abstractNumId w:val="23"/>
  </w:num>
  <w:num w:numId="49" w16cid:durableId="4480906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61771733">
    <w:abstractNumId w:val="50"/>
  </w:num>
  <w:num w:numId="51" w16cid:durableId="471410464">
    <w:abstractNumId w:val="54"/>
  </w:num>
  <w:num w:numId="52" w16cid:durableId="487786271">
    <w:abstractNumId w:val="37"/>
  </w:num>
  <w:num w:numId="53" w16cid:durableId="488061566">
    <w:abstractNumId w:val="66"/>
  </w:num>
  <w:num w:numId="54" w16cid:durableId="521208621">
    <w:abstractNumId w:val="40"/>
  </w:num>
  <w:num w:numId="55" w16cid:durableId="521942966">
    <w:abstractNumId w:val="58"/>
  </w:num>
  <w:num w:numId="56" w16cid:durableId="564725216">
    <w:abstractNumId w:val="0"/>
  </w:num>
  <w:num w:numId="57" w16cid:durableId="588854951">
    <w:abstractNumId w:val="7"/>
  </w:num>
  <w:num w:numId="58" w16cid:durableId="598871344">
    <w:abstractNumId w:val="48"/>
  </w:num>
  <w:num w:numId="59" w16cid:durableId="672881270">
    <w:abstractNumId w:val="39"/>
  </w:num>
  <w:num w:numId="60" w16cid:durableId="707343382">
    <w:abstractNumId w:val="53"/>
  </w:num>
  <w:num w:numId="61" w16cid:durableId="709382258">
    <w:abstractNumId w:val="35"/>
  </w:num>
  <w:num w:numId="62" w16cid:durableId="753629009">
    <w:abstractNumId w:val="4"/>
  </w:num>
  <w:num w:numId="63" w16cid:durableId="758989516">
    <w:abstractNumId w:val="44"/>
  </w:num>
  <w:num w:numId="64" w16cid:durableId="826284483">
    <w:abstractNumId w:val="1"/>
  </w:num>
  <w:num w:numId="65" w16cid:durableId="88620433">
    <w:abstractNumId w:val="32"/>
  </w:num>
  <w:num w:numId="66" w16cid:durableId="952859000">
    <w:abstractNumId w:val="21"/>
  </w:num>
  <w:num w:numId="67" w16cid:durableId="98454447">
    <w:abstractNumId w:val="60"/>
  </w:num>
  <w:numIdMacAtCleanup w:val="60"/>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887"/>
    <w:rsid w:val="0001196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A90"/>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97CC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23A"/>
    <w:rsid w:val="001365CA"/>
    <w:rsid w:val="00136624"/>
    <w:rsid w:val="00137354"/>
    <w:rsid w:val="00140D50"/>
    <w:rsid w:val="00141292"/>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79A"/>
    <w:rsid w:val="00150D95"/>
    <w:rsid w:val="00150E77"/>
    <w:rsid w:val="001513CA"/>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329"/>
    <w:rsid w:val="00182729"/>
    <w:rsid w:val="00182CBF"/>
    <w:rsid w:val="00182E25"/>
    <w:rsid w:val="0018306A"/>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9"/>
    <w:rsid w:val="001A1DD2"/>
    <w:rsid w:val="001A1E62"/>
    <w:rsid w:val="001A2163"/>
    <w:rsid w:val="001A225E"/>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4585"/>
    <w:rsid w:val="001D5752"/>
    <w:rsid w:val="001D612E"/>
    <w:rsid w:val="001D65F8"/>
    <w:rsid w:val="001D7492"/>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6CF"/>
    <w:rsid w:val="002257D8"/>
    <w:rsid w:val="00225BEF"/>
    <w:rsid w:val="002266DD"/>
    <w:rsid w:val="002267DE"/>
    <w:rsid w:val="00226AD0"/>
    <w:rsid w:val="002279BC"/>
    <w:rsid w:val="002306AB"/>
    <w:rsid w:val="00231166"/>
    <w:rsid w:val="00231E06"/>
    <w:rsid w:val="0023232F"/>
    <w:rsid w:val="00233169"/>
    <w:rsid w:val="0023335E"/>
    <w:rsid w:val="002338C0"/>
    <w:rsid w:val="002342E3"/>
    <w:rsid w:val="00234717"/>
    <w:rsid w:val="00234920"/>
    <w:rsid w:val="0023505D"/>
    <w:rsid w:val="002358F1"/>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510C4"/>
    <w:rsid w:val="0025176F"/>
    <w:rsid w:val="00251D4A"/>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70F"/>
    <w:rsid w:val="002D48BB"/>
    <w:rsid w:val="002D51D8"/>
    <w:rsid w:val="002D53F5"/>
    <w:rsid w:val="002D54D5"/>
    <w:rsid w:val="002D5ABC"/>
    <w:rsid w:val="002D5E2C"/>
    <w:rsid w:val="002D61AE"/>
    <w:rsid w:val="002D6348"/>
    <w:rsid w:val="002D6D51"/>
    <w:rsid w:val="002D6E52"/>
    <w:rsid w:val="002D6F74"/>
    <w:rsid w:val="002D71B6"/>
    <w:rsid w:val="002D755D"/>
    <w:rsid w:val="002D7A26"/>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781"/>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50286"/>
    <w:rsid w:val="0035041E"/>
    <w:rsid w:val="00350730"/>
    <w:rsid w:val="00350CB8"/>
    <w:rsid w:val="003511F1"/>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09A"/>
    <w:rsid w:val="003B73B7"/>
    <w:rsid w:val="003B7634"/>
    <w:rsid w:val="003B78AD"/>
    <w:rsid w:val="003C018A"/>
    <w:rsid w:val="003C01E0"/>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266D"/>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785D"/>
    <w:rsid w:val="00467B1D"/>
    <w:rsid w:val="00467FCB"/>
    <w:rsid w:val="0047047D"/>
    <w:rsid w:val="00471043"/>
    <w:rsid w:val="004712B7"/>
    <w:rsid w:val="004713B5"/>
    <w:rsid w:val="004720C4"/>
    <w:rsid w:val="00472339"/>
    <w:rsid w:val="004728AB"/>
    <w:rsid w:val="00472910"/>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606C"/>
    <w:rsid w:val="004C67A2"/>
    <w:rsid w:val="004C67CB"/>
    <w:rsid w:val="004C7DC4"/>
    <w:rsid w:val="004C7E0B"/>
    <w:rsid w:val="004C7E53"/>
    <w:rsid w:val="004D017C"/>
    <w:rsid w:val="004D070C"/>
    <w:rsid w:val="004D1010"/>
    <w:rsid w:val="004D248A"/>
    <w:rsid w:val="004D3BE3"/>
    <w:rsid w:val="004D3E89"/>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51A"/>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361"/>
    <w:rsid w:val="00542A74"/>
    <w:rsid w:val="00543248"/>
    <w:rsid w:val="005439CB"/>
    <w:rsid w:val="00543AE0"/>
    <w:rsid w:val="005448A6"/>
    <w:rsid w:val="005464B7"/>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3CD"/>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208"/>
    <w:rsid w:val="006375BD"/>
    <w:rsid w:val="00637B00"/>
    <w:rsid w:val="00637F68"/>
    <w:rsid w:val="00640399"/>
    <w:rsid w:val="00640DBD"/>
    <w:rsid w:val="0064169B"/>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0C2"/>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D97"/>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4184"/>
    <w:rsid w:val="00664C39"/>
    <w:rsid w:val="0066500F"/>
    <w:rsid w:val="00665508"/>
    <w:rsid w:val="0066593D"/>
    <w:rsid w:val="00665D82"/>
    <w:rsid w:val="006663ED"/>
    <w:rsid w:val="00667439"/>
    <w:rsid w:val="00670121"/>
    <w:rsid w:val="00670373"/>
    <w:rsid w:val="006715F4"/>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681D"/>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367F"/>
    <w:rsid w:val="00793A26"/>
    <w:rsid w:val="00793F1E"/>
    <w:rsid w:val="0079488E"/>
    <w:rsid w:val="007948D0"/>
    <w:rsid w:val="00794F1E"/>
    <w:rsid w:val="00795655"/>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A8A"/>
    <w:rsid w:val="007C7D60"/>
    <w:rsid w:val="007D0225"/>
    <w:rsid w:val="007D0E7A"/>
    <w:rsid w:val="007D0F6B"/>
    <w:rsid w:val="007D1221"/>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F58"/>
    <w:rsid w:val="0085364E"/>
    <w:rsid w:val="0085372A"/>
    <w:rsid w:val="008540C3"/>
    <w:rsid w:val="0085443F"/>
    <w:rsid w:val="00855CE1"/>
    <w:rsid w:val="00855F05"/>
    <w:rsid w:val="008563C3"/>
    <w:rsid w:val="0085681A"/>
    <w:rsid w:val="00856832"/>
    <w:rsid w:val="00856CFA"/>
    <w:rsid w:val="008576A8"/>
    <w:rsid w:val="00857DE3"/>
    <w:rsid w:val="008601A5"/>
    <w:rsid w:val="00860F5E"/>
    <w:rsid w:val="00861205"/>
    <w:rsid w:val="00861C17"/>
    <w:rsid w:val="00861F49"/>
    <w:rsid w:val="0086202D"/>
    <w:rsid w:val="00862A96"/>
    <w:rsid w:val="00862DB8"/>
    <w:rsid w:val="0086303D"/>
    <w:rsid w:val="008633E0"/>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D74D0"/>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A75"/>
    <w:rsid w:val="00924E7D"/>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30D3"/>
    <w:rsid w:val="00A13EAF"/>
    <w:rsid w:val="00A14287"/>
    <w:rsid w:val="00A147C9"/>
    <w:rsid w:val="00A14833"/>
    <w:rsid w:val="00A14C7C"/>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8E9"/>
    <w:rsid w:val="00A4599F"/>
    <w:rsid w:val="00A4619E"/>
    <w:rsid w:val="00A466F1"/>
    <w:rsid w:val="00A46710"/>
    <w:rsid w:val="00A478DF"/>
    <w:rsid w:val="00A47A85"/>
    <w:rsid w:val="00A47B75"/>
    <w:rsid w:val="00A5049E"/>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5D1"/>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632"/>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0A09"/>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4DEA"/>
    <w:rsid w:val="00B852B7"/>
    <w:rsid w:val="00B856FF"/>
    <w:rsid w:val="00B85888"/>
    <w:rsid w:val="00B85D0A"/>
    <w:rsid w:val="00B85D18"/>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AF"/>
    <w:rsid w:val="00C35066"/>
    <w:rsid w:val="00C3528A"/>
    <w:rsid w:val="00C357D8"/>
    <w:rsid w:val="00C35C26"/>
    <w:rsid w:val="00C35E01"/>
    <w:rsid w:val="00C36C09"/>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F43"/>
    <w:rsid w:val="00CA4139"/>
    <w:rsid w:val="00CA42C1"/>
    <w:rsid w:val="00CA47CB"/>
    <w:rsid w:val="00CA5166"/>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5B8D"/>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34FE"/>
    <w:rsid w:val="00D137B6"/>
    <w:rsid w:val="00D14BB3"/>
    <w:rsid w:val="00D1501C"/>
    <w:rsid w:val="00D1581F"/>
    <w:rsid w:val="00D159D2"/>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211"/>
    <w:rsid w:val="00D51C5E"/>
    <w:rsid w:val="00D52566"/>
    <w:rsid w:val="00D526C8"/>
    <w:rsid w:val="00D53BF4"/>
    <w:rsid w:val="00D5428E"/>
    <w:rsid w:val="00D54741"/>
    <w:rsid w:val="00D551E2"/>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2A17"/>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683"/>
    <w:rsid w:val="00DB0A30"/>
    <w:rsid w:val="00DB2115"/>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7B"/>
    <w:rsid w:val="00E43E42"/>
    <w:rsid w:val="00E43FBD"/>
    <w:rsid w:val="00E448B7"/>
    <w:rsid w:val="00E449AC"/>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40"/>
    <w:rsid w:val="00E871A9"/>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584"/>
    <w:rsid w:val="00EA0CD1"/>
    <w:rsid w:val="00EA100E"/>
    <w:rsid w:val="00EA141A"/>
    <w:rsid w:val="00EA1594"/>
    <w:rsid w:val="00EA1790"/>
    <w:rsid w:val="00EA1A27"/>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7B6"/>
    <w:rsid w:val="00ED0C16"/>
    <w:rsid w:val="00ED0DC7"/>
    <w:rsid w:val="00ED1268"/>
    <w:rsid w:val="00ED19D1"/>
    <w:rsid w:val="00ED1DC6"/>
    <w:rsid w:val="00ED209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58"/>
    <w:rsid w:val="00F0312D"/>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40AB9"/>
    <w:rsid w:val="00F40BD7"/>
    <w:rsid w:val="00F40E95"/>
    <w:rsid w:val="00F41BF7"/>
    <w:rsid w:val="00F429B7"/>
    <w:rsid w:val="00F42BEE"/>
    <w:rsid w:val="00F42CE8"/>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2BF016"/>
    <w:rsid w:val="01773FE2"/>
    <w:rsid w:val="0193FD4B"/>
    <w:rsid w:val="01B3BC1B"/>
    <w:rsid w:val="01B4D8C1"/>
    <w:rsid w:val="02C7005F"/>
    <w:rsid w:val="02C71D05"/>
    <w:rsid w:val="042C4E03"/>
    <w:rsid w:val="04C4BCFF"/>
    <w:rsid w:val="051F8078"/>
    <w:rsid w:val="05945CD2"/>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AFA4462"/>
    <w:rsid w:val="0B38B5E2"/>
    <w:rsid w:val="0BA4E548"/>
    <w:rsid w:val="0BCA4ED4"/>
    <w:rsid w:val="0BD91CD1"/>
    <w:rsid w:val="0BE3DD72"/>
    <w:rsid w:val="0C038323"/>
    <w:rsid w:val="0CEEB9D0"/>
    <w:rsid w:val="0D0C37B7"/>
    <w:rsid w:val="0D18097E"/>
    <w:rsid w:val="0D2A57A3"/>
    <w:rsid w:val="0D42BF6F"/>
    <w:rsid w:val="0E1A5CCE"/>
    <w:rsid w:val="0E9F67AF"/>
    <w:rsid w:val="0EDE3827"/>
    <w:rsid w:val="0F13AA3D"/>
    <w:rsid w:val="0F2FFEA6"/>
    <w:rsid w:val="0F5100FC"/>
    <w:rsid w:val="0F6A80C8"/>
    <w:rsid w:val="0F8EA33C"/>
    <w:rsid w:val="10097D3C"/>
    <w:rsid w:val="107D1387"/>
    <w:rsid w:val="10D20424"/>
    <w:rsid w:val="10DC4562"/>
    <w:rsid w:val="10FE4C45"/>
    <w:rsid w:val="1110F55F"/>
    <w:rsid w:val="113F4B93"/>
    <w:rsid w:val="11690C5F"/>
    <w:rsid w:val="117218CE"/>
    <w:rsid w:val="122E87B6"/>
    <w:rsid w:val="127DD6E8"/>
    <w:rsid w:val="1287DDCF"/>
    <w:rsid w:val="12E4287B"/>
    <w:rsid w:val="13850DA2"/>
    <w:rsid w:val="13C3E59B"/>
    <w:rsid w:val="14067800"/>
    <w:rsid w:val="1489019B"/>
    <w:rsid w:val="14B9A7F5"/>
    <w:rsid w:val="15749C38"/>
    <w:rsid w:val="160F2DBA"/>
    <w:rsid w:val="1612FD84"/>
    <w:rsid w:val="16B34104"/>
    <w:rsid w:val="178550F4"/>
    <w:rsid w:val="17D0B1A0"/>
    <w:rsid w:val="18B372B8"/>
    <w:rsid w:val="18F9C294"/>
    <w:rsid w:val="1912CCFC"/>
    <w:rsid w:val="1946BCA3"/>
    <w:rsid w:val="19628E1A"/>
    <w:rsid w:val="19841DD1"/>
    <w:rsid w:val="19EECD33"/>
    <w:rsid w:val="1A5D405F"/>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750471"/>
    <w:rsid w:val="20E6B6D0"/>
    <w:rsid w:val="22396D54"/>
    <w:rsid w:val="2254B0D9"/>
    <w:rsid w:val="226A615D"/>
    <w:rsid w:val="22741012"/>
    <w:rsid w:val="230D8B97"/>
    <w:rsid w:val="23346773"/>
    <w:rsid w:val="23669F6D"/>
    <w:rsid w:val="24024FD6"/>
    <w:rsid w:val="24BD2A78"/>
    <w:rsid w:val="24CE03D2"/>
    <w:rsid w:val="24D23039"/>
    <w:rsid w:val="24E38B37"/>
    <w:rsid w:val="24EB0728"/>
    <w:rsid w:val="260C46EB"/>
    <w:rsid w:val="26112D16"/>
    <w:rsid w:val="26C0805F"/>
    <w:rsid w:val="26F6114B"/>
    <w:rsid w:val="26F982A5"/>
    <w:rsid w:val="270FBA61"/>
    <w:rsid w:val="27A8E48C"/>
    <w:rsid w:val="27B4A4F6"/>
    <w:rsid w:val="27D4D08E"/>
    <w:rsid w:val="27DD967A"/>
    <w:rsid w:val="284C8067"/>
    <w:rsid w:val="28D1ACA4"/>
    <w:rsid w:val="28EF0950"/>
    <w:rsid w:val="290AA6AF"/>
    <w:rsid w:val="29781550"/>
    <w:rsid w:val="29B0C4DD"/>
    <w:rsid w:val="29FF445E"/>
    <w:rsid w:val="2A093867"/>
    <w:rsid w:val="2AF50541"/>
    <w:rsid w:val="2B00374E"/>
    <w:rsid w:val="2B283841"/>
    <w:rsid w:val="2B4DEDE4"/>
    <w:rsid w:val="2B5E3058"/>
    <w:rsid w:val="2B675383"/>
    <w:rsid w:val="2BA08F6C"/>
    <w:rsid w:val="2BEB28F9"/>
    <w:rsid w:val="2CEAB2F1"/>
    <w:rsid w:val="2D3FF29E"/>
    <w:rsid w:val="2DD90E4A"/>
    <w:rsid w:val="2E3255FC"/>
    <w:rsid w:val="2E8E2B6D"/>
    <w:rsid w:val="2EC0F062"/>
    <w:rsid w:val="2F71CD79"/>
    <w:rsid w:val="2FBBBF34"/>
    <w:rsid w:val="2FC16C62"/>
    <w:rsid w:val="30BA2180"/>
    <w:rsid w:val="32244029"/>
    <w:rsid w:val="32DFA0A2"/>
    <w:rsid w:val="3324C2CE"/>
    <w:rsid w:val="333B943E"/>
    <w:rsid w:val="33E73113"/>
    <w:rsid w:val="33F88EE6"/>
    <w:rsid w:val="3498E6D7"/>
    <w:rsid w:val="35033C01"/>
    <w:rsid w:val="355AC5BD"/>
    <w:rsid w:val="3563BFC9"/>
    <w:rsid w:val="3595FF21"/>
    <w:rsid w:val="35B2A40D"/>
    <w:rsid w:val="35E14B0F"/>
    <w:rsid w:val="35E469B9"/>
    <w:rsid w:val="361B02E6"/>
    <w:rsid w:val="36FB7771"/>
    <w:rsid w:val="3712D37C"/>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60AA48"/>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ACD1BB"/>
    <w:rsid w:val="45F4F3FA"/>
    <w:rsid w:val="46340502"/>
    <w:rsid w:val="4684DA11"/>
    <w:rsid w:val="46EFC63F"/>
    <w:rsid w:val="47B3F510"/>
    <w:rsid w:val="47BFCF50"/>
    <w:rsid w:val="47D58D27"/>
    <w:rsid w:val="47DC08FB"/>
    <w:rsid w:val="48160ABD"/>
    <w:rsid w:val="487F3071"/>
    <w:rsid w:val="4991D5A1"/>
    <w:rsid w:val="4AAE6110"/>
    <w:rsid w:val="4AF0277F"/>
    <w:rsid w:val="4B21509E"/>
    <w:rsid w:val="4B7F43CB"/>
    <w:rsid w:val="4C0A131D"/>
    <w:rsid w:val="4C2D0B94"/>
    <w:rsid w:val="4C831C77"/>
    <w:rsid w:val="4C8E7A48"/>
    <w:rsid w:val="4CC77BEE"/>
    <w:rsid w:val="4D6FE36F"/>
    <w:rsid w:val="4E0A803B"/>
    <w:rsid w:val="4E1BB278"/>
    <w:rsid w:val="4E46D8B6"/>
    <w:rsid w:val="4E885B9B"/>
    <w:rsid w:val="4EA80E2B"/>
    <w:rsid w:val="4F2B07EA"/>
    <w:rsid w:val="4F360C00"/>
    <w:rsid w:val="4F3CE69C"/>
    <w:rsid w:val="4F796329"/>
    <w:rsid w:val="4FA7B7F4"/>
    <w:rsid w:val="4FE4741A"/>
    <w:rsid w:val="4FEA46C8"/>
    <w:rsid w:val="4FFA55FC"/>
    <w:rsid w:val="5011D6DB"/>
    <w:rsid w:val="501E413F"/>
    <w:rsid w:val="5040E3DC"/>
    <w:rsid w:val="50597B04"/>
    <w:rsid w:val="508DE6DF"/>
    <w:rsid w:val="50CC865C"/>
    <w:rsid w:val="50D3FEFA"/>
    <w:rsid w:val="517F82F4"/>
    <w:rsid w:val="51AD3C93"/>
    <w:rsid w:val="52538494"/>
    <w:rsid w:val="5265909F"/>
    <w:rsid w:val="526FF6EB"/>
    <w:rsid w:val="52B0DBEC"/>
    <w:rsid w:val="53052ADD"/>
    <w:rsid w:val="538C0006"/>
    <w:rsid w:val="539DE06D"/>
    <w:rsid w:val="53A7AE4A"/>
    <w:rsid w:val="5435436A"/>
    <w:rsid w:val="545E5CA3"/>
    <w:rsid w:val="54A44937"/>
    <w:rsid w:val="54B5505E"/>
    <w:rsid w:val="5533F7B9"/>
    <w:rsid w:val="55517411"/>
    <w:rsid w:val="557AD521"/>
    <w:rsid w:val="559673DF"/>
    <w:rsid w:val="55B19B99"/>
    <w:rsid w:val="55BC6027"/>
    <w:rsid w:val="55C51E6C"/>
    <w:rsid w:val="56BACE4D"/>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246E49"/>
    <w:rsid w:val="5F42D745"/>
    <w:rsid w:val="5F4B7FAB"/>
    <w:rsid w:val="5F563F1F"/>
    <w:rsid w:val="601D2E00"/>
    <w:rsid w:val="6063A947"/>
    <w:rsid w:val="609F1123"/>
    <w:rsid w:val="60A6047F"/>
    <w:rsid w:val="60A71A0A"/>
    <w:rsid w:val="60B44648"/>
    <w:rsid w:val="60D6564E"/>
    <w:rsid w:val="61181771"/>
    <w:rsid w:val="6157D976"/>
    <w:rsid w:val="6158BBE4"/>
    <w:rsid w:val="61EA69BD"/>
    <w:rsid w:val="620CEBAE"/>
    <w:rsid w:val="627C3C90"/>
    <w:rsid w:val="628D98EB"/>
    <w:rsid w:val="62C3F58A"/>
    <w:rsid w:val="635EE895"/>
    <w:rsid w:val="63CD9911"/>
    <w:rsid w:val="63E918EA"/>
    <w:rsid w:val="64179AF2"/>
    <w:rsid w:val="6452ACBC"/>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7971C2"/>
    <w:rsid w:val="6A95BDF2"/>
    <w:rsid w:val="6AA68967"/>
    <w:rsid w:val="6ABDDFC7"/>
    <w:rsid w:val="6AD7B287"/>
    <w:rsid w:val="6AFAE760"/>
    <w:rsid w:val="6BBF8DC0"/>
    <w:rsid w:val="6C0355F3"/>
    <w:rsid w:val="6C1B873D"/>
    <w:rsid w:val="6C1DB558"/>
    <w:rsid w:val="6D0CD67D"/>
    <w:rsid w:val="6D1062D2"/>
    <w:rsid w:val="6D21C20F"/>
    <w:rsid w:val="6D549082"/>
    <w:rsid w:val="6DAF75FC"/>
    <w:rsid w:val="6DC6CFE9"/>
    <w:rsid w:val="6E07B99D"/>
    <w:rsid w:val="6E2405CE"/>
    <w:rsid w:val="6E9D596D"/>
    <w:rsid w:val="6EE56119"/>
    <w:rsid w:val="6EE79306"/>
    <w:rsid w:val="6EFE4C76"/>
    <w:rsid w:val="6F516929"/>
    <w:rsid w:val="7048AC84"/>
    <w:rsid w:val="7065A416"/>
    <w:rsid w:val="7096C741"/>
    <w:rsid w:val="70DBBD12"/>
    <w:rsid w:val="713DF189"/>
    <w:rsid w:val="7148BA73"/>
    <w:rsid w:val="71807C94"/>
    <w:rsid w:val="71C282F5"/>
    <w:rsid w:val="720A835F"/>
    <w:rsid w:val="7273EA73"/>
    <w:rsid w:val="72992D50"/>
    <w:rsid w:val="732CA53C"/>
    <w:rsid w:val="739068E9"/>
    <w:rsid w:val="73DAC46E"/>
    <w:rsid w:val="74F6AFE9"/>
    <w:rsid w:val="75E15D83"/>
    <w:rsid w:val="7607A023"/>
    <w:rsid w:val="766A7ED6"/>
    <w:rsid w:val="7673D149"/>
    <w:rsid w:val="76A6ED5A"/>
    <w:rsid w:val="7722DF96"/>
    <w:rsid w:val="778CF0D6"/>
    <w:rsid w:val="77ABB0FB"/>
    <w:rsid w:val="77C92C4D"/>
    <w:rsid w:val="77F102DF"/>
    <w:rsid w:val="7818BE95"/>
    <w:rsid w:val="78485E38"/>
    <w:rsid w:val="786A3EF2"/>
    <w:rsid w:val="78733A52"/>
    <w:rsid w:val="799489CF"/>
    <w:rsid w:val="79A52F8C"/>
    <w:rsid w:val="79AD2FE4"/>
    <w:rsid w:val="79FA4E29"/>
    <w:rsid w:val="7A3A8C09"/>
    <w:rsid w:val="7AAD5E53"/>
    <w:rsid w:val="7B6239B5"/>
    <w:rsid w:val="7BA49172"/>
    <w:rsid w:val="7BCA5600"/>
    <w:rsid w:val="7C30552F"/>
    <w:rsid w:val="7C42B0D3"/>
    <w:rsid w:val="7CF66721"/>
    <w:rsid w:val="7D86EF93"/>
    <w:rsid w:val="7DD4A890"/>
    <w:rsid w:val="7E90FC83"/>
    <w:rsid w:val="7EBAE8C8"/>
    <w:rsid w:val="7EFF8978"/>
    <w:rsid w:val="7F1BFDD3"/>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7B66D2"/>
  <w15:chartTrackingRefBased/>
  <w15:docId w15:val="{8A6D06F7-9B66-41EC-B50E-8033E742B5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164F"/>
  </w:style>
  <w:style w:type="paragraph" w:styleId="Heading1">
    <w:name w:val="heading 1"/>
    <w:basedOn w:val="Normal"/>
    <w:next w:val="Normal"/>
    <w:link w:val="Heading1Char"/>
    <w:uiPriority w:val="9"/>
    <w:qFormat/>
    <w:rsid w:val="00EB164F"/>
    <w:pPr>
      <w:keepNext/>
      <w:keepLines/>
      <w:pBdr>
        <w:bottom w:val="single" w:color="ED7D31"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hAnsiTheme="majorHAnsi" w:eastAsiaTheme="majorEastAsia"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hAnsiTheme="majorHAnsi" w:eastAsiaTheme="majorEastAsia"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hAnsiTheme="majorHAnsi" w:eastAsiaTheme="majorEastAsia"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hAnsiTheme="majorHAnsi" w:eastAsiaTheme="majorEastAsia"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hAnsiTheme="majorHAnsi" w:eastAsiaTheme="majorEastAsia"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hAnsiTheme="majorHAnsi" w:eastAsiaTheme="majorEastAsia"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hAnsiTheme="majorHAnsi" w:eastAsiaTheme="majorEastAsia"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hAnsiTheme="majorHAnsi" w:eastAsiaTheme="majorEastAsia" w:cstheme="majorBidi"/>
      <w:i/>
      <w:iCs/>
      <w:color w:val="833C0B"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164F"/>
    <w:rPr>
      <w:rFonts w:asciiTheme="majorHAnsi" w:hAnsiTheme="majorHAnsi" w:eastAsiaTheme="majorEastAsia" w:cstheme="majorBidi"/>
      <w:color w:val="262626" w:themeColor="text1" w:themeTint="D9"/>
      <w:sz w:val="40"/>
      <w:szCs w:val="40"/>
    </w:rPr>
  </w:style>
  <w:style w:type="character" w:styleId="Hyperlink">
    <w:name w:val="Hyperlink"/>
    <w:aliases w:val="Alna,IVPK Hyperlink"/>
    <w:basedOn w:val="DefaultParagraphFont"/>
    <w:uiPriority w:val="99"/>
    <w:unhideWhenUsed/>
    <w:rsid w:val="00D05666"/>
    <w:rPr>
      <w:strike w:val="0"/>
      <w:dstrike w:val="0"/>
      <w:color w:val="auto"/>
      <w:u w:val="none"/>
      <w:effect w:val="none"/>
    </w:r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Footnote"/>
    <w:basedOn w:val="Normal"/>
    <w:link w:val="FootnoteTextChar"/>
    <w:uiPriority w:val="99"/>
    <w:unhideWhenUsed/>
    <w:rsid w:val="00D05666"/>
    <w:rPr>
      <w:sz w:val="20"/>
      <w:szCs w:val="20"/>
    </w:rPr>
  </w:style>
  <w:style w:type="character" w:styleId="FootnoteTextChar" w:customStyle="1">
    <w:name w:val="Footnote Text Char"/>
    <w:aliases w:val="Fußnotentext Char Char,Fußnotentext Char1 Char Char,Schriftart: 9 pt Char1 Char Char,Schriftart: 8 pt Char Char1 Char Char,Fußnotentext Char Char Char Char,Schriftart: 9 pt Char Char Char Char Char,f Char,Footnote Char"/>
    <w:basedOn w:val="DefaultParagraphFont"/>
    <w:link w:val="FootnoteText"/>
    <w:uiPriority w:val="99"/>
    <w:rsid w:val="00D05666"/>
    <w:rPr>
      <w:rFonts w:ascii="Times New Roman"/>
      <w:sz w:val="20"/>
      <w:szCs w:val="20"/>
      <w:lang w:eastAsia="en-US"/>
    </w:rPr>
  </w:style>
  <w:style w:type="character" w:styleId="CommentTextChar" w:customStyle="1">
    <w:name w:val="Comment Text Char"/>
    <w:basedOn w:val="DefaultParagraphFont"/>
    <w:link w:val="CommentText1"/>
    <w:rsid w:val="00E60092"/>
    <w:rPr>
      <w:sz w:val="20"/>
      <w:szCs w:val="20"/>
    </w:rPr>
  </w:style>
  <w:style w:type="character" w:styleId="CommentSubjectChar" w:customStyle="1">
    <w:name w:val="Comment Subject Char"/>
    <w:basedOn w:val="CommentTextChar"/>
    <w:link w:val="CommentSubject1"/>
    <w:semiHidden/>
    <w:rsid w:val="00E60092"/>
    <w:rPr>
      <w:b/>
      <w:bCs/>
      <w:sz w:val="20"/>
      <w:szCs w:val="20"/>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EB164F"/>
    <w:rPr>
      <w:caps/>
      <w:color w:val="404040" w:themeColor="text1" w:themeTint="BF"/>
      <w:spacing w:val="20"/>
      <w:sz w:val="28"/>
      <w:szCs w:val="28"/>
    </w:rPr>
  </w:style>
  <w:style w:type="character" w:styleId="ListParagraphChar" w:customStyle="1">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Isnasos nuoroda"/>
    <w:basedOn w:val="DefaultParagraphFont"/>
    <w:uiPriority w:val="99"/>
    <w:unhideWhenUsed/>
    <w:qFormat/>
    <w:rsid w:val="00D05666"/>
    <w:rPr>
      <w:vertAlign w:val="superscript"/>
    </w:rPr>
  </w:style>
  <w:style w:type="character" w:styleId="normaltextrun" w:customStyle="1">
    <w:name w:val="normaltextrun"/>
    <w:basedOn w:val="DefaultParagraphFont"/>
    <w:rsid w:val="00E6039D"/>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character" w:styleId="eop" w:customStyle="1">
    <w:name w:val="eop"/>
    <w:basedOn w:val="DefaultParagraphFont"/>
    <w:rsid w:val="00E6039D"/>
  </w:style>
  <w:style w:type="paragraph" w:styleId="NormalWeb">
    <w:name w:val="Normal (Web)"/>
    <w:basedOn w:val="Normal"/>
    <w:uiPriority w:val="99"/>
    <w:unhideWhenUsed/>
    <w:rsid w:val="00EC3339"/>
    <w:pPr>
      <w:spacing w:before="100" w:beforeAutospacing="1" w:after="100" w:afterAutospacing="1"/>
    </w:pPr>
  </w:style>
  <w:style w:type="character" w:styleId="pildymui" w:customStyle="1">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styleId="BodyTextChar" w:customStyle="1">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styleId="Internetlink" w:customStyle="1">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styleId="HeaderChar" w:customStyle="1">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styleId="FooterChar" w:customStyle="1">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styleId="Heading2Char" w:customStyle="1">
    <w:name w:val="Heading 2 Char"/>
    <w:basedOn w:val="DefaultParagraphFont"/>
    <w:link w:val="Heading2"/>
    <w:uiPriority w:val="9"/>
    <w:semiHidden/>
    <w:rsid w:val="00EB164F"/>
    <w:rPr>
      <w:rFonts w:asciiTheme="majorHAnsi" w:hAnsiTheme="majorHAnsi" w:eastAsiaTheme="majorEastAsia" w:cstheme="majorBidi"/>
      <w:color w:val="ED7D31" w:themeColor="accent2"/>
      <w:sz w:val="36"/>
      <w:szCs w:val="36"/>
    </w:rPr>
  </w:style>
  <w:style w:type="character" w:styleId="Heading3Char" w:customStyle="1">
    <w:name w:val="Heading 3 Char"/>
    <w:basedOn w:val="DefaultParagraphFont"/>
    <w:link w:val="Heading3"/>
    <w:uiPriority w:val="9"/>
    <w:semiHidden/>
    <w:rsid w:val="00EB164F"/>
    <w:rPr>
      <w:rFonts w:asciiTheme="majorHAnsi" w:hAnsiTheme="majorHAnsi" w:eastAsiaTheme="majorEastAsia" w:cstheme="majorBidi"/>
      <w:color w:val="C45911" w:themeColor="accent2" w:themeShade="BF"/>
      <w:sz w:val="32"/>
      <w:szCs w:val="32"/>
    </w:rPr>
  </w:style>
  <w:style w:type="character" w:styleId="Heading4Char" w:customStyle="1">
    <w:name w:val="Heading 4 Char"/>
    <w:basedOn w:val="DefaultParagraphFont"/>
    <w:link w:val="Heading4"/>
    <w:uiPriority w:val="9"/>
    <w:semiHidden/>
    <w:rsid w:val="00EB164F"/>
    <w:rPr>
      <w:rFonts w:asciiTheme="majorHAnsi" w:hAnsiTheme="majorHAnsi" w:eastAsiaTheme="majorEastAsia" w:cstheme="majorBidi"/>
      <w:i/>
      <w:iCs/>
      <w:color w:val="833C0B" w:themeColor="accent2" w:themeShade="80"/>
      <w:sz w:val="28"/>
      <w:szCs w:val="28"/>
    </w:rPr>
  </w:style>
  <w:style w:type="character" w:styleId="Heading5Char" w:customStyle="1">
    <w:name w:val="Heading 5 Char"/>
    <w:basedOn w:val="DefaultParagraphFont"/>
    <w:link w:val="Heading5"/>
    <w:uiPriority w:val="9"/>
    <w:semiHidden/>
    <w:rsid w:val="00EB164F"/>
    <w:rPr>
      <w:rFonts w:asciiTheme="majorHAnsi" w:hAnsiTheme="majorHAnsi" w:eastAsiaTheme="majorEastAsia" w:cstheme="majorBidi"/>
      <w:color w:val="C45911" w:themeColor="accent2" w:themeShade="BF"/>
      <w:sz w:val="24"/>
      <w:szCs w:val="24"/>
    </w:rPr>
  </w:style>
  <w:style w:type="character" w:styleId="Heading6Char" w:customStyle="1">
    <w:name w:val="Heading 6 Char"/>
    <w:basedOn w:val="DefaultParagraphFont"/>
    <w:link w:val="Heading6"/>
    <w:uiPriority w:val="9"/>
    <w:semiHidden/>
    <w:rsid w:val="00EB164F"/>
    <w:rPr>
      <w:rFonts w:asciiTheme="majorHAnsi" w:hAnsiTheme="majorHAnsi" w:eastAsiaTheme="majorEastAsia" w:cstheme="majorBidi"/>
      <w:i/>
      <w:iCs/>
      <w:color w:val="833C0B" w:themeColor="accent2" w:themeShade="80"/>
      <w:sz w:val="24"/>
      <w:szCs w:val="24"/>
    </w:rPr>
  </w:style>
  <w:style w:type="character" w:styleId="Heading7Char" w:customStyle="1">
    <w:name w:val="Heading 7 Char"/>
    <w:basedOn w:val="DefaultParagraphFont"/>
    <w:link w:val="Heading7"/>
    <w:uiPriority w:val="9"/>
    <w:semiHidden/>
    <w:rsid w:val="00EB164F"/>
    <w:rPr>
      <w:rFonts w:asciiTheme="majorHAnsi" w:hAnsiTheme="majorHAnsi" w:eastAsiaTheme="majorEastAsia" w:cstheme="majorBidi"/>
      <w:b/>
      <w:bCs/>
      <w:color w:val="833C0B" w:themeColor="accent2" w:themeShade="80"/>
      <w:sz w:val="22"/>
      <w:szCs w:val="22"/>
    </w:rPr>
  </w:style>
  <w:style w:type="character" w:styleId="Heading8Char" w:customStyle="1">
    <w:name w:val="Heading 8 Char"/>
    <w:basedOn w:val="DefaultParagraphFont"/>
    <w:link w:val="Heading8"/>
    <w:uiPriority w:val="9"/>
    <w:semiHidden/>
    <w:rsid w:val="00EB164F"/>
    <w:rPr>
      <w:rFonts w:asciiTheme="majorHAnsi" w:hAnsiTheme="majorHAnsi" w:eastAsiaTheme="majorEastAsia" w:cstheme="majorBidi"/>
      <w:color w:val="833C0B" w:themeColor="accent2" w:themeShade="80"/>
      <w:sz w:val="22"/>
      <w:szCs w:val="22"/>
    </w:rPr>
  </w:style>
  <w:style w:type="character" w:styleId="Heading9Char" w:customStyle="1">
    <w:name w:val="Heading 9 Char"/>
    <w:basedOn w:val="DefaultParagraphFont"/>
    <w:link w:val="Heading9"/>
    <w:uiPriority w:val="9"/>
    <w:semiHidden/>
    <w:rsid w:val="00EB164F"/>
    <w:rPr>
      <w:rFonts w:asciiTheme="majorHAnsi" w:hAnsiTheme="majorHAnsi" w:eastAsiaTheme="majorEastAsia"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EB164F"/>
    <w:rPr>
      <w:rFonts w:asciiTheme="majorHAnsi" w:hAnsiTheme="majorHAnsi" w:eastAsiaTheme="majorEastAsia"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EB164F"/>
    <w:rPr>
      <w:rFonts w:asciiTheme="majorHAnsi" w:hAnsiTheme="majorHAnsi" w:eastAsiaTheme="majorEastAsia"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color="ED7D31"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EB164F"/>
    <w:rPr>
      <w:rFonts w:asciiTheme="majorHAnsi" w:hAnsiTheme="majorHAnsi" w:eastAsiaTheme="majorEastAsia"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styleId="NoSpacingChar" w:customStyle="1">
    <w:name w:val="No Spacing Char"/>
    <w:basedOn w:val="DefaultParagraphFont"/>
    <w:link w:val="NoSpacing"/>
    <w:uiPriority w:val="1"/>
    <w:rsid w:val="001C4F12"/>
  </w:style>
  <w:style w:type="character" w:styleId="PlaceholderText">
    <w:name w:val="Placeholder Text"/>
    <w:basedOn w:val="DefaultParagraphFont"/>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styleId="tajtip" w:customStyle="1">
    <w:name w:val="tajtip"/>
    <w:basedOn w:val="Normal"/>
    <w:rsid w:val="003536CF"/>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styleId="Body2" w:customStyle="1">
    <w:name w:val="Body 2"/>
    <w:rsid w:val="00B176FD"/>
    <w:pPr>
      <w:suppressAutoHyphens/>
      <w:spacing w:after="40" w:line="240" w:lineRule="auto"/>
      <w:jc w:val="both"/>
    </w:pPr>
    <w:rPr>
      <w:rFonts w:ascii="Times New Roman" w:hAnsi="Times New Roman" w:eastAsia="Arial Unicode MS" w:cs="Arial Unicode MS"/>
      <w:color w:val="000000"/>
      <w:lang w:val="en-US" w:eastAsia="en-US"/>
    </w:rPr>
  </w:style>
  <w:style w:type="numbering" w:styleId="List51" w:customStyle="1">
    <w:name w:val="List 51"/>
    <w:basedOn w:val="NoList"/>
    <w:rsid w:val="00197943"/>
    <w:pPr>
      <w:numPr>
        <w:numId w:val="4"/>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styleId="TableGrid2" w:customStyle="1">
    <w:name w:val="Table Grid2"/>
    <w:basedOn w:val="TableNormal"/>
    <w:next w:val="TableGrid"/>
    <w:uiPriority w:val="39"/>
    <w:rsid w:val="000E665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3" w:customStyle="1">
    <w:name w:val="Table Grid3"/>
    <w:basedOn w:val="TableNormal"/>
    <w:next w:val="TableGrid"/>
    <w:uiPriority w:val="39"/>
    <w:rsid w:val="002F396F"/>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1lygis" w:customStyle="1">
    <w:name w:val="_S 1 lygis"/>
    <w:basedOn w:val="Normal"/>
    <w:rsid w:val="00BC0EC9"/>
    <w:pPr>
      <w:numPr>
        <w:numId w:val="55"/>
      </w:numPr>
      <w:spacing w:before="240" w:after="240" w:line="240" w:lineRule="auto"/>
    </w:pPr>
    <w:rPr>
      <w:rFonts w:ascii="Times New Roman" w:hAnsi="Times New Roman" w:eastAsia="Times New Roman" w:cs="Times New Roman"/>
      <w:b/>
      <w:sz w:val="24"/>
      <w:szCs w:val="24"/>
    </w:rPr>
  </w:style>
  <w:style w:type="paragraph" w:styleId="S2lygis" w:customStyle="1">
    <w:name w:val="_S 2 lygis"/>
    <w:basedOn w:val="Normal"/>
    <w:rsid w:val="00BC0EC9"/>
    <w:pPr>
      <w:numPr>
        <w:ilvl w:val="1"/>
        <w:numId w:val="55"/>
      </w:numPr>
      <w:spacing w:before="120" w:after="120" w:line="240" w:lineRule="auto"/>
      <w:jc w:val="both"/>
    </w:pPr>
    <w:rPr>
      <w:rFonts w:ascii="Times New Roman" w:hAnsi="Times New Roman" w:eastAsia="Times New Roman" w:cs="Times New Roman"/>
      <w:sz w:val="24"/>
      <w:szCs w:val="24"/>
    </w:rPr>
  </w:style>
  <w:style w:type="paragraph" w:styleId="S3lygis" w:customStyle="1">
    <w:name w:val="_S 3 lygis"/>
    <w:basedOn w:val="S2lygis"/>
    <w:rsid w:val="00BC0EC9"/>
    <w:pPr>
      <w:numPr>
        <w:ilvl w:val="2"/>
      </w:numPr>
    </w:pPr>
  </w:style>
  <w:style w:type="paragraph" w:styleId="Heading" w:customStyle="1">
    <w:name w:val="Heading"/>
    <w:next w:val="Body2"/>
    <w:rsid w:val="00072FE6"/>
    <w:pPr>
      <w:pBdr>
        <w:top w:val="nil"/>
        <w:left w:val="nil"/>
        <w:bottom w:val="nil"/>
        <w:right w:val="nil"/>
        <w:between w:val="nil"/>
        <w:bar w:val="nil"/>
      </w:pBdr>
      <w:spacing w:after="0" w:line="240" w:lineRule="auto"/>
      <w:outlineLvl w:val="0"/>
    </w:pPr>
    <w:rPr>
      <w:rFonts w:ascii="Times New Roman" w:hAnsi="Times New Roman" w:eastAsia="Arial Unicode MS"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styleId="EndnoteTextChar" w:customStyle="1">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styleId="Normal12ptChar" w:customStyle="1">
    <w:name w:val="Normal + 12 pt Char"/>
    <w:basedOn w:val="DefaultParagraphFont"/>
    <w:link w:val="Normal12pt"/>
    <w:locked/>
    <w:rsid w:val="00A4394E"/>
  </w:style>
  <w:style w:type="paragraph" w:styleId="Normal12pt" w:customStyle="1">
    <w:name w:val="Normal + 12 pt"/>
    <w:basedOn w:val="Normal"/>
    <w:link w:val="Normal12ptChar"/>
    <w:rsid w:val="00A4394E"/>
    <w:pPr>
      <w:spacing w:after="0" w:line="240" w:lineRule="auto"/>
      <w:ind w:right="-283"/>
      <w:jc w:val="both"/>
    </w:pPr>
  </w:style>
  <w:style w:type="paragraph" w:styleId="pf0" w:customStyle="1">
    <w:name w:val="pf0"/>
    <w:basedOn w:val="Normal"/>
    <w:rsid w:val="009743D3"/>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cf01" w:customStyle="1">
    <w:name w:val="cf01"/>
    <w:basedOn w:val="DefaultParagraphFont"/>
    <w:rsid w:val="009743D3"/>
    <w:rPr>
      <w:rFonts w:hint="default"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table" w:styleId="3" w:customStyle="1">
    <w:name w:val="3"/>
    <w:basedOn w:val="TableNormal"/>
    <w:rsid w:val="0068660C"/>
    <w:pPr>
      <w:spacing w:after="0" w:line="240" w:lineRule="auto"/>
    </w:pPr>
    <w:rPr>
      <w:rFonts w:ascii="Calibri" w:hAnsi="Calibri" w:eastAsia="Calibri" w:cs="Calibri"/>
      <w:sz w:val="20"/>
      <w:szCs w:val="20"/>
      <w:lang w:eastAsia="en-US"/>
    </w:rPr>
    <w:tblPr>
      <w:tblStyleRowBandSize w:val="1"/>
      <w:tblStyleColBandSize w:val="1"/>
      <w:tblCellMar>
        <w:left w:w="10" w:type="dxa"/>
        <w:right w:w="10" w:type="dxa"/>
      </w:tblCellMar>
    </w:tblPr>
  </w:style>
  <w:style w:type="paragraph" w:styleId="paragrafesrasas2lygis" w:customStyle="1">
    <w:name w:val="_paragrafe sąrasas 2 lygis"/>
    <w:basedOn w:val="BodyTextIndent2"/>
    <w:link w:val="paragrafesrasas2lygisDiagrama"/>
    <w:qFormat/>
    <w:rsid w:val="00210870"/>
    <w:pPr>
      <w:spacing w:line="276" w:lineRule="auto"/>
      <w:ind w:left="0"/>
      <w:jc w:val="both"/>
    </w:pPr>
    <w:rPr>
      <w:rFonts w:ascii="Times New Roman" w:hAnsi="Times New Roman" w:eastAsia="Times New Roman" w:cs="Times New Roman"/>
      <w:sz w:val="22"/>
      <w:szCs w:val="22"/>
      <w:lang w:eastAsia="en-US"/>
    </w:rPr>
  </w:style>
  <w:style w:type="character" w:styleId="paragrafesrasas2lygisDiagrama" w:customStyle="1">
    <w:name w:val="_paragrafe sąrasas 2 lygis Diagrama"/>
    <w:basedOn w:val="DefaultParagraphFont"/>
    <w:link w:val="paragrafesrasas2lygis"/>
    <w:rsid w:val="00210870"/>
    <w:rPr>
      <w:rFonts w:ascii="Times New Roman" w:hAnsi="Times New Roman" w:eastAsia="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styleId="BodyTextIndent2Char" w:customStyle="1">
    <w:name w:val="Body Text Indent 2 Char"/>
    <w:basedOn w:val="DefaultParagraphFont"/>
    <w:link w:val="BodyTextIndent2"/>
    <w:uiPriority w:val="99"/>
    <w:semiHidden/>
    <w:rsid w:val="00210870"/>
  </w:style>
  <w:style w:type="character" w:styleId="cf11" w:customStyle="1">
    <w:name w:val="cf11"/>
    <w:basedOn w:val="DefaultParagraphFont"/>
    <w:rsid w:val="0067282A"/>
    <w:rPr>
      <w:rFonts w:hint="default" w:ascii="Segoe UI" w:hAnsi="Segoe UI" w:cs="Segoe UI"/>
      <w:color w:val="0000FF"/>
      <w:sz w:val="18"/>
      <w:szCs w:val="18"/>
    </w:rPr>
  </w:style>
  <w:style w:type="character" w:styleId="cf21" w:customStyle="1">
    <w:name w:val="cf21"/>
    <w:basedOn w:val="DefaultParagraphFont"/>
    <w:rsid w:val="0067282A"/>
    <w:rPr>
      <w:rFonts w:hint="default" w:ascii="Segoe UI" w:hAnsi="Segoe UI" w:cs="Segoe UI"/>
      <w:color w:val="538135"/>
      <w:sz w:val="18"/>
      <w:szCs w:val="18"/>
    </w:rPr>
  </w:style>
  <w:style w:type="table" w:styleId="TableGrid1" w:customStyle="1">
    <w:name w:val="Table Grid1"/>
    <w:basedOn w:val="TableNormal"/>
    <w:uiPriority w:val="99"/>
    <w:rsid w:val="000B5255"/>
    <w:pPr>
      <w:spacing w:after="0" w:line="240" w:lineRule="auto"/>
    </w:pPr>
    <w:rPr>
      <w:rFonts w:ascii="Times New Roman" w:hAnsi="Times New Roman" w:eastAsia="Times New Roman" w:cs="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Lentelstinklelis13" w:customStyle="1">
    <w:name w:val="Lentelės tinklelis13"/>
    <w:basedOn w:val="TableNormal"/>
    <w:next w:val="TableGrid"/>
    <w:uiPriority w:val="39"/>
    <w:rsid w:val="00013144"/>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0765BD"/>
    <w:pPr>
      <w:autoSpaceDE w:val="0"/>
      <w:autoSpaceDN w:val="0"/>
      <w:adjustRightInd w:val="0"/>
      <w:spacing w:after="0" w:line="240" w:lineRule="auto"/>
    </w:pPr>
    <w:rPr>
      <w:rFonts w:ascii="Inter" w:hAnsi="Inter" w:cs="Inter" w:eastAsiaTheme="minorHAnsi"/>
      <w:color w:val="000000"/>
      <w:sz w:val="24"/>
      <w:szCs w:val="24"/>
      <w:lang w:val="en-US" w:eastAsia="en-US"/>
      <w14:ligatures w14:val="standardContextual"/>
    </w:rPr>
  </w:style>
  <w:style w:type="paragraph" w:styleId="TOC3">
    <w:name w:val="toc 3"/>
    <w:basedOn w:val="Normal"/>
    <w:next w:val="Normal"/>
    <w:autoRedefine/>
    <w:uiPriority w:val="39"/>
    <w:unhideWhenUsed/>
    <w:rsid w:val="004B7C3B"/>
    <w:pPr>
      <w:spacing w:after="100"/>
      <w:ind w:left="420"/>
    </w:pPr>
  </w:style>
  <w:style w:type="paragraph" w:styleId="CommentText">
    <w:name w:val="Comment Text"/>
    <w:basedOn w:val="Normal"/>
    <w:link w:val="CommentTextChar1"/>
    <w:unhideWhenUsed/>
    <w:pPr>
      <w:spacing w:line="240" w:lineRule="auto"/>
    </w:pPr>
    <w:rPr>
      <w:sz w:val="20"/>
      <w:szCs w:val="20"/>
    </w:rPr>
  </w:style>
  <w:style w:type="character" w:styleId="CommentTextChar1" w:customStyle="1">
    <w:name w:val="Comment Text Char1"/>
    <w:basedOn w:val="DefaultParagraphFont"/>
    <w:link w:val="CommentText"/>
    <w:rPr>
      <w:sz w:val="20"/>
      <w:szCs w:val="20"/>
    </w:rPr>
  </w:style>
  <w:style w:type="character" w:styleId="CommentReference">
    <w:name w:val="Comment Reference"/>
    <w:basedOn w:val="DefaultParagraphFont"/>
    <w:semiHidden/>
    <w:unhideWhenUsed/>
    <w:rPr>
      <w:sz w:val="16"/>
      <w:szCs w:val="16"/>
    </w:rPr>
  </w:style>
  <w:style w:type="paragraph" w:styleId="CommentSubject">
    <w:name w:val="Comment Subject"/>
    <w:basedOn w:val="CommentText"/>
    <w:next w:val="CommentText"/>
    <w:link w:val="CommentSubjectChar1"/>
    <w:semiHidden/>
    <w:unhideWhenUsed/>
    <w:rsid w:val="00902672"/>
    <w:rPr>
      <w:b/>
      <w:bCs/>
    </w:rPr>
  </w:style>
  <w:style w:type="character" w:styleId="CommentSubjectChar1" w:customStyle="1">
    <w:name w:val="Comment Subject Char1"/>
    <w:basedOn w:val="CommentTextChar1"/>
    <w:link w:val="CommentSubject"/>
    <w:semiHidden/>
    <w:rsid w:val="00902672"/>
    <w:rPr>
      <w:b/>
      <w:bCs/>
      <w:sz w:val="20"/>
      <w:szCs w:val="20"/>
    </w:rPr>
  </w:style>
  <w:style w:type="paragraph" w:styleId="CommentText1" w:customStyle="1">
    <w:name w:val="Comment Text1"/>
    <w:basedOn w:val="Normal"/>
    <w:link w:val="CommentTextChar"/>
    <w:unhideWhenUsed/>
    <w:rsid w:val="00A14287"/>
    <w:rPr>
      <w:sz w:val="20"/>
      <w:szCs w:val="20"/>
    </w:rPr>
  </w:style>
  <w:style w:type="character" w:styleId="CommentReference1" w:customStyle="1">
    <w:name w:val="Comment Reference1"/>
    <w:basedOn w:val="DefaultParagraphFont"/>
    <w:unhideWhenUsed/>
    <w:rsid w:val="00A14287"/>
    <w:rPr>
      <w:sz w:val="16"/>
      <w:szCs w:val="16"/>
    </w:rPr>
  </w:style>
  <w:style w:type="paragraph" w:styleId="CommentSubject1" w:customStyle="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customXml/itemProps3.xml><?xml version="1.0" encoding="utf-8"?>
<ds:datastoreItem xmlns:ds="http://schemas.openxmlformats.org/officeDocument/2006/customXml" ds:itemID="{EBEDEEE3-B4F1-40D6-BDAE-0DC6F406CD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TARPTAUTINĖS VERTĖS VIEŠOJO PIRKIMO „LIETUVOS ŽEMĖS IR MAISTO ŪKIO, TAUTINIO PAVELDO PRODUKTŲ IR PATIEKALŲ EKSPOZICIJOS ĮRENGIMO IR APTARNAVIMO PASLAUGOS“ ATVIRO KONKURSO SPECIALIOSIOS SĄLYGOS</dc:title>
  <dc:subject/>
  <dc:creator>Dalia Sereikaitė</dc:creator>
  <cp:keywords/>
  <dc:description/>
  <cp:lastModifiedBy>Vaida Šopytė</cp:lastModifiedBy>
  <cp:revision>13</cp:revision>
  <dcterms:created xsi:type="dcterms:W3CDTF">2026-07-13T12:51:00Z</dcterms:created>
  <dcterms:modified xsi:type="dcterms:W3CDTF">2026-07-21T14:43:50Z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