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9AA9" w14:textId="2D7587FF" w:rsidR="00F03292" w:rsidRDefault="00E26274">
      <w:pPr>
        <w:rPr>
          <w:rFonts w:ascii="Times New Roman" w:hAnsi="Times New Roman" w:cs="Times New Roman"/>
          <w:b/>
          <w:bCs/>
        </w:rPr>
      </w:pPr>
      <w:r w:rsidRPr="00E26274">
        <w:rPr>
          <w:rFonts w:ascii="Times New Roman" w:hAnsi="Times New Roman" w:cs="Times New Roman"/>
          <w:b/>
          <w:bCs/>
        </w:rPr>
        <w:t>PIRKIMO SĄLYGŲ PAAIŠKINIMAS, 2</w:t>
      </w:r>
    </w:p>
    <w:p w14:paraId="5E074AA1" w14:textId="24E2669C" w:rsidR="00E26274" w:rsidRDefault="00E26274">
      <w:pPr>
        <w:rPr>
          <w:rFonts w:ascii="Times New Roman" w:hAnsi="Times New Roman" w:cs="Times New Roman"/>
          <w:b/>
          <w:bCs/>
        </w:rPr>
      </w:pPr>
      <w:r>
        <w:rPr>
          <w:rFonts w:ascii="Times New Roman" w:hAnsi="Times New Roman" w:cs="Times New Roman"/>
          <w:b/>
          <w:bCs/>
        </w:rPr>
        <w:t>Gavę tiekėjų užklausas, pirkimo sąlygas paaiškiname sekančiai</w:t>
      </w:r>
    </w:p>
    <w:p w14:paraId="48E663AC" w14:textId="77777777" w:rsidR="00E26274" w:rsidRPr="0093022D" w:rsidRDefault="00E26274" w:rsidP="00E26274">
      <w:pPr>
        <w:pStyle w:val="Pagrindiniotekstotrauka2"/>
        <w:ind w:right="-1" w:firstLine="720"/>
        <w:jc w:val="both"/>
        <w:rPr>
          <w:rFonts w:ascii="Times New Roman" w:hAnsi="Times New Roman"/>
          <w:b/>
          <w:bCs/>
          <w:sz w:val="24"/>
          <w:szCs w:val="24"/>
        </w:rPr>
      </w:pPr>
      <w:bookmarkStart w:id="0" w:name="_Hlk188448074"/>
      <w:bookmarkStart w:id="1" w:name="_Hlk188368147"/>
      <w:r w:rsidRPr="00A05767">
        <w:rPr>
          <w:rFonts w:ascii="Times New Roman" w:hAnsi="Times New Roman"/>
          <w:b/>
          <w:sz w:val="24"/>
          <w:szCs w:val="24"/>
        </w:rPr>
        <w:t>1.</w:t>
      </w:r>
      <w:r w:rsidRPr="0093022D">
        <w:rPr>
          <w:rFonts w:ascii="Times New Roman" w:hAnsi="Times New Roman"/>
          <w:b/>
          <w:sz w:val="24"/>
          <w:szCs w:val="24"/>
        </w:rPr>
        <w:t>Klausimai</w:t>
      </w:r>
      <w:r w:rsidRPr="0093022D">
        <w:rPr>
          <w:rFonts w:ascii="Times New Roman" w:hAnsi="Times New Roman"/>
          <w:bCs/>
          <w:sz w:val="24"/>
          <w:szCs w:val="24"/>
        </w:rPr>
        <w:t>: ,,</w:t>
      </w:r>
    </w:p>
    <w:p w14:paraId="498A8CFC" w14:textId="77777777" w:rsidR="00E26274" w:rsidRPr="0093022D" w:rsidRDefault="00E26274" w:rsidP="00E26274">
      <w:pPr>
        <w:pStyle w:val="Pagrindiniotekstotrauka2"/>
        <w:ind w:right="-1" w:firstLine="720"/>
        <w:jc w:val="both"/>
        <w:rPr>
          <w:rFonts w:ascii="Times New Roman" w:hAnsi="Times New Roman"/>
          <w:b/>
          <w:bCs/>
          <w:sz w:val="24"/>
          <w:szCs w:val="24"/>
        </w:rPr>
      </w:pPr>
    </w:p>
    <w:tbl>
      <w:tblPr>
        <w:tblW w:w="12076" w:type="dxa"/>
        <w:tblLook w:val="04A0" w:firstRow="1" w:lastRow="0" w:firstColumn="1" w:lastColumn="0" w:noHBand="0" w:noVBand="1"/>
      </w:tblPr>
      <w:tblGrid>
        <w:gridCol w:w="619"/>
        <w:gridCol w:w="1810"/>
        <w:gridCol w:w="1648"/>
        <w:gridCol w:w="3108"/>
        <w:gridCol w:w="4891"/>
      </w:tblGrid>
      <w:tr w:rsidR="00E26274" w:rsidRPr="00A0231E" w14:paraId="3ACB7DD1" w14:textId="77777777" w:rsidTr="00F94E8C">
        <w:trPr>
          <w:trHeight w:val="743"/>
        </w:trPr>
        <w:tc>
          <w:tcPr>
            <w:tcW w:w="619" w:type="dxa"/>
            <w:tcBorders>
              <w:top w:val="single" w:sz="4" w:space="0" w:color="auto"/>
              <w:left w:val="single" w:sz="4" w:space="0" w:color="auto"/>
              <w:bottom w:val="single" w:sz="4" w:space="0" w:color="auto"/>
              <w:right w:val="single" w:sz="4" w:space="0" w:color="auto"/>
            </w:tcBorders>
            <w:shd w:val="clear" w:color="000000" w:fill="215C98"/>
            <w:vAlign w:val="center"/>
            <w:hideMark/>
          </w:tcPr>
          <w:p w14:paraId="634F6EAB" w14:textId="77777777" w:rsidR="00E26274" w:rsidRPr="009068C6" w:rsidRDefault="00E26274" w:rsidP="00F94E8C">
            <w:pPr>
              <w:jc w:val="center"/>
              <w:rPr>
                <w:rFonts w:ascii="Cambria" w:hAnsi="Cambria"/>
                <w:b/>
                <w:bCs/>
                <w:color w:val="FF0000"/>
                <w:szCs w:val="24"/>
              </w:rPr>
            </w:pPr>
            <w:r w:rsidRPr="009068C6">
              <w:rPr>
                <w:rFonts w:ascii="Cambria" w:hAnsi="Cambria"/>
                <w:b/>
                <w:bCs/>
                <w:color w:val="FF0000"/>
                <w:szCs w:val="24"/>
              </w:rPr>
              <w:t>Eil. Nr.</w:t>
            </w:r>
          </w:p>
        </w:tc>
        <w:tc>
          <w:tcPr>
            <w:tcW w:w="1810" w:type="dxa"/>
            <w:tcBorders>
              <w:top w:val="single" w:sz="4" w:space="0" w:color="auto"/>
              <w:left w:val="nil"/>
              <w:bottom w:val="single" w:sz="4" w:space="0" w:color="auto"/>
              <w:right w:val="single" w:sz="4" w:space="0" w:color="auto"/>
            </w:tcBorders>
            <w:shd w:val="clear" w:color="000000" w:fill="215C98"/>
            <w:vAlign w:val="center"/>
            <w:hideMark/>
          </w:tcPr>
          <w:p w14:paraId="79558F21" w14:textId="77777777" w:rsidR="00E26274" w:rsidRPr="009068C6" w:rsidRDefault="00E26274" w:rsidP="00F94E8C">
            <w:pPr>
              <w:jc w:val="center"/>
              <w:rPr>
                <w:rFonts w:ascii="Cambria" w:hAnsi="Cambria"/>
                <w:b/>
                <w:bCs/>
                <w:color w:val="FF0000"/>
                <w:szCs w:val="24"/>
              </w:rPr>
            </w:pPr>
            <w:r w:rsidRPr="009068C6">
              <w:rPr>
                <w:rFonts w:ascii="Cambria" w:hAnsi="Cambria"/>
                <w:b/>
                <w:bCs/>
                <w:color w:val="FF0000"/>
                <w:szCs w:val="24"/>
              </w:rPr>
              <w:t>Išsiuntimo data ir dokumento (failo) pavadinimas</w:t>
            </w:r>
          </w:p>
        </w:tc>
        <w:tc>
          <w:tcPr>
            <w:tcW w:w="1648" w:type="dxa"/>
            <w:tcBorders>
              <w:top w:val="single" w:sz="4" w:space="0" w:color="auto"/>
              <w:left w:val="nil"/>
              <w:bottom w:val="single" w:sz="4" w:space="0" w:color="auto"/>
              <w:right w:val="single" w:sz="4" w:space="0" w:color="auto"/>
            </w:tcBorders>
            <w:shd w:val="clear" w:color="000000" w:fill="215C98"/>
            <w:vAlign w:val="center"/>
            <w:hideMark/>
          </w:tcPr>
          <w:p w14:paraId="6260CC3D" w14:textId="77777777" w:rsidR="00E26274" w:rsidRPr="009068C6" w:rsidRDefault="00E26274" w:rsidP="00F94E8C">
            <w:pPr>
              <w:jc w:val="center"/>
              <w:rPr>
                <w:rFonts w:ascii="Cambria" w:hAnsi="Cambria"/>
                <w:b/>
                <w:bCs/>
                <w:color w:val="FF0000"/>
                <w:szCs w:val="24"/>
              </w:rPr>
            </w:pPr>
            <w:r w:rsidRPr="009068C6">
              <w:rPr>
                <w:rFonts w:ascii="Cambria" w:hAnsi="Cambria"/>
                <w:b/>
                <w:bCs/>
                <w:color w:val="FF0000"/>
                <w:szCs w:val="24"/>
              </w:rPr>
              <w:t>Klausimo / Pakeitimo kategorija. Projekto dalis</w:t>
            </w:r>
          </w:p>
        </w:tc>
        <w:tc>
          <w:tcPr>
            <w:tcW w:w="3108" w:type="dxa"/>
            <w:tcBorders>
              <w:top w:val="single" w:sz="4" w:space="0" w:color="auto"/>
              <w:left w:val="nil"/>
              <w:bottom w:val="single" w:sz="4" w:space="0" w:color="auto"/>
              <w:right w:val="single" w:sz="4" w:space="0" w:color="auto"/>
            </w:tcBorders>
            <w:shd w:val="clear" w:color="000000" w:fill="215C98"/>
            <w:vAlign w:val="center"/>
            <w:hideMark/>
          </w:tcPr>
          <w:p w14:paraId="368825B0" w14:textId="77777777" w:rsidR="00E26274" w:rsidRPr="009068C6" w:rsidRDefault="00E26274" w:rsidP="00F94E8C">
            <w:pPr>
              <w:jc w:val="center"/>
              <w:rPr>
                <w:rFonts w:ascii="Cambria" w:hAnsi="Cambria"/>
                <w:b/>
                <w:bCs/>
                <w:color w:val="FF0000"/>
                <w:szCs w:val="24"/>
              </w:rPr>
            </w:pPr>
            <w:r w:rsidRPr="009068C6">
              <w:rPr>
                <w:rFonts w:ascii="Cambria" w:hAnsi="Cambria"/>
                <w:b/>
                <w:bCs/>
                <w:color w:val="FF0000"/>
                <w:szCs w:val="24"/>
              </w:rPr>
              <w:t>Tiekėjo/ Rangovo klausimas/</w:t>
            </w:r>
            <w:r w:rsidRPr="009068C6">
              <w:rPr>
                <w:rFonts w:ascii="Cambria" w:hAnsi="Cambria"/>
                <w:b/>
                <w:bCs/>
                <w:color w:val="FF0000"/>
                <w:szCs w:val="24"/>
              </w:rPr>
              <w:br/>
              <w:t>pirminė sąlyga</w:t>
            </w:r>
          </w:p>
        </w:tc>
        <w:tc>
          <w:tcPr>
            <w:tcW w:w="4891" w:type="dxa"/>
            <w:tcBorders>
              <w:top w:val="single" w:sz="4" w:space="0" w:color="auto"/>
              <w:left w:val="nil"/>
              <w:bottom w:val="single" w:sz="4" w:space="0" w:color="auto"/>
              <w:right w:val="single" w:sz="4" w:space="0" w:color="auto"/>
            </w:tcBorders>
            <w:shd w:val="clear" w:color="000000" w:fill="215C98"/>
            <w:vAlign w:val="center"/>
            <w:hideMark/>
          </w:tcPr>
          <w:p w14:paraId="201AAF80" w14:textId="77777777" w:rsidR="00E26274" w:rsidRPr="009068C6" w:rsidRDefault="00E26274" w:rsidP="00F94E8C">
            <w:pPr>
              <w:jc w:val="center"/>
              <w:rPr>
                <w:rFonts w:ascii="Cambria" w:hAnsi="Cambria"/>
                <w:b/>
                <w:bCs/>
                <w:color w:val="FF0000"/>
                <w:szCs w:val="24"/>
              </w:rPr>
            </w:pPr>
            <w:r w:rsidRPr="009068C6">
              <w:rPr>
                <w:rFonts w:ascii="Cambria" w:hAnsi="Cambria"/>
                <w:b/>
                <w:bCs/>
                <w:color w:val="FF0000"/>
                <w:szCs w:val="24"/>
              </w:rPr>
              <w:t>Pirkimo dokumento</w:t>
            </w:r>
            <w:r w:rsidRPr="009068C6">
              <w:rPr>
                <w:rFonts w:ascii="Cambria" w:hAnsi="Cambria"/>
                <w:b/>
                <w:bCs/>
                <w:color w:val="FF0000"/>
                <w:szCs w:val="24"/>
              </w:rPr>
              <w:br/>
              <w:t>iškarpa</w:t>
            </w:r>
          </w:p>
        </w:tc>
      </w:tr>
      <w:tr w:rsidR="00E26274" w:rsidRPr="00A0231E" w14:paraId="722F26E2" w14:textId="77777777" w:rsidTr="00F94E8C">
        <w:trPr>
          <w:trHeight w:val="1560"/>
        </w:trPr>
        <w:tc>
          <w:tcPr>
            <w:tcW w:w="619" w:type="dxa"/>
            <w:tcBorders>
              <w:top w:val="nil"/>
              <w:left w:val="single" w:sz="4" w:space="0" w:color="auto"/>
              <w:bottom w:val="dashed" w:sz="4" w:space="0" w:color="auto"/>
              <w:right w:val="single" w:sz="4" w:space="0" w:color="auto"/>
            </w:tcBorders>
            <w:shd w:val="clear" w:color="auto" w:fill="auto"/>
            <w:vAlign w:val="center"/>
            <w:hideMark/>
          </w:tcPr>
          <w:p w14:paraId="2BA69D3C" w14:textId="77777777" w:rsidR="00E26274" w:rsidRPr="009068C6" w:rsidRDefault="00E26274" w:rsidP="00F94E8C">
            <w:pPr>
              <w:rPr>
                <w:rFonts w:ascii="Cambria" w:hAnsi="Cambria"/>
                <w:color w:val="FF0000"/>
                <w:sz w:val="20"/>
              </w:rPr>
            </w:pPr>
            <w:r w:rsidRPr="009068C6">
              <w:rPr>
                <w:rFonts w:ascii="Cambria" w:hAnsi="Cambria"/>
                <w:color w:val="FF0000"/>
                <w:sz w:val="20"/>
              </w:rPr>
              <w:t> </w:t>
            </w:r>
          </w:p>
        </w:tc>
        <w:tc>
          <w:tcPr>
            <w:tcW w:w="1810" w:type="dxa"/>
            <w:tcBorders>
              <w:top w:val="nil"/>
              <w:left w:val="nil"/>
              <w:bottom w:val="dashed" w:sz="4" w:space="0" w:color="auto"/>
              <w:right w:val="single" w:sz="4" w:space="0" w:color="auto"/>
            </w:tcBorders>
            <w:shd w:val="clear" w:color="auto" w:fill="auto"/>
            <w:vAlign w:val="center"/>
            <w:hideMark/>
          </w:tcPr>
          <w:p w14:paraId="31EAC643" w14:textId="77777777" w:rsidR="00E26274" w:rsidRPr="009068C6" w:rsidRDefault="00E26274" w:rsidP="00F94E8C">
            <w:pPr>
              <w:jc w:val="right"/>
              <w:rPr>
                <w:rFonts w:ascii="Cambria" w:hAnsi="Cambria"/>
                <w:color w:val="FF0000"/>
                <w:sz w:val="20"/>
              </w:rPr>
            </w:pPr>
            <w:r w:rsidRPr="009068C6">
              <w:rPr>
                <w:rFonts w:ascii="Cambria" w:hAnsi="Cambria"/>
                <w:color w:val="FF0000"/>
                <w:sz w:val="20"/>
              </w:rPr>
              <w:t>2025-01-21</w:t>
            </w:r>
          </w:p>
        </w:tc>
        <w:tc>
          <w:tcPr>
            <w:tcW w:w="1648" w:type="dxa"/>
            <w:tcBorders>
              <w:top w:val="nil"/>
              <w:left w:val="nil"/>
              <w:bottom w:val="dashed" w:sz="4" w:space="0" w:color="auto"/>
              <w:right w:val="single" w:sz="4" w:space="0" w:color="auto"/>
            </w:tcBorders>
            <w:shd w:val="clear" w:color="auto" w:fill="auto"/>
            <w:vAlign w:val="center"/>
            <w:hideMark/>
          </w:tcPr>
          <w:p w14:paraId="16C4CC6A" w14:textId="77777777" w:rsidR="00E26274" w:rsidRPr="009068C6" w:rsidRDefault="00E26274" w:rsidP="00F94E8C">
            <w:pPr>
              <w:rPr>
                <w:rFonts w:ascii="Cambria" w:hAnsi="Cambria"/>
                <w:color w:val="FF0000"/>
                <w:sz w:val="20"/>
              </w:rPr>
            </w:pPr>
            <w:r w:rsidRPr="009068C6">
              <w:rPr>
                <w:rFonts w:ascii="Cambria" w:hAnsi="Cambria"/>
                <w:color w:val="FF0000"/>
                <w:sz w:val="20"/>
              </w:rPr>
              <w:t>SK</w:t>
            </w:r>
          </w:p>
        </w:tc>
        <w:tc>
          <w:tcPr>
            <w:tcW w:w="3108" w:type="dxa"/>
            <w:tcBorders>
              <w:top w:val="nil"/>
              <w:left w:val="nil"/>
              <w:bottom w:val="dashed" w:sz="4" w:space="0" w:color="auto"/>
              <w:right w:val="single" w:sz="4" w:space="0" w:color="auto"/>
            </w:tcBorders>
            <w:shd w:val="clear" w:color="auto" w:fill="auto"/>
            <w:vAlign w:val="center"/>
            <w:hideMark/>
          </w:tcPr>
          <w:p w14:paraId="16E2AA58" w14:textId="77777777" w:rsidR="00E26274" w:rsidRPr="009068C6" w:rsidRDefault="00E26274" w:rsidP="00F94E8C">
            <w:pPr>
              <w:rPr>
                <w:rFonts w:ascii="Cambria" w:hAnsi="Cambria"/>
                <w:color w:val="FF0000"/>
                <w:sz w:val="20"/>
              </w:rPr>
            </w:pPr>
            <w:r w:rsidRPr="009068C6">
              <w:rPr>
                <w:rFonts w:ascii="Cambria" w:hAnsi="Cambria"/>
                <w:color w:val="FF0000"/>
                <w:sz w:val="20"/>
              </w:rPr>
              <w:t>Pateikite TS plieninėms presuotoms grotelėms.</w:t>
            </w:r>
          </w:p>
        </w:tc>
        <w:tc>
          <w:tcPr>
            <w:tcW w:w="4891" w:type="dxa"/>
            <w:tcBorders>
              <w:top w:val="nil"/>
              <w:left w:val="nil"/>
              <w:bottom w:val="dashed" w:sz="4" w:space="0" w:color="auto"/>
              <w:right w:val="single" w:sz="4" w:space="0" w:color="auto"/>
            </w:tcBorders>
            <w:shd w:val="clear" w:color="auto" w:fill="auto"/>
            <w:vAlign w:val="center"/>
            <w:hideMark/>
          </w:tcPr>
          <w:p w14:paraId="10ADAF6A" w14:textId="77777777" w:rsidR="00E26274" w:rsidRPr="009068C6" w:rsidRDefault="00E26274" w:rsidP="00F94E8C">
            <w:pPr>
              <w:jc w:val="center"/>
              <w:rPr>
                <w:rFonts w:ascii="Cambria" w:hAnsi="Cambria"/>
                <w:color w:val="FF0000"/>
                <w:sz w:val="20"/>
              </w:rPr>
            </w:pPr>
            <w:r w:rsidRPr="00A0231E">
              <w:rPr>
                <w:rFonts w:ascii="Cambria" w:hAnsi="Cambria"/>
                <w:noProof/>
                <w:color w:val="FF0000"/>
                <w:sz w:val="20"/>
              </w:rPr>
              <w:drawing>
                <wp:anchor distT="0" distB="0" distL="114300" distR="114300" simplePos="0" relativeHeight="251659264" behindDoc="0" locked="0" layoutInCell="1" allowOverlap="1" wp14:anchorId="3A3ACD4C" wp14:editId="7CE2B8B2">
                  <wp:simplePos x="0" y="0"/>
                  <wp:positionH relativeFrom="column">
                    <wp:posOffset>449580</wp:posOffset>
                  </wp:positionH>
                  <wp:positionV relativeFrom="paragraph">
                    <wp:posOffset>77470</wp:posOffset>
                  </wp:positionV>
                  <wp:extent cx="2581275" cy="1866900"/>
                  <wp:effectExtent l="0" t="0" r="9525" b="0"/>
                  <wp:wrapNone/>
                  <wp:docPr id="3" name="Paveikslėlis 1">
                    <a:extLst xmlns:a="http://schemas.openxmlformats.org/drawingml/2006/main">
                      <a:ext uri="{FF2B5EF4-FFF2-40B4-BE49-F238E27FC236}">
                        <a16:creationId xmlns:a16="http://schemas.microsoft.com/office/drawing/2014/main" id="{B9F8933C-655D-ED33-2576-F5647BEBDFE6}"/>
                      </a:ext>
                      <a:ext uri="{147F2762-F138-4A5C-976F-8EAC2B608ADB}">
                        <a16:predDERef xmlns:a16="http://schemas.microsoft.com/office/drawing/2014/main" pred="{8C9C94EB-C8B9-4470-938D-988E98B9749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9F8933C-655D-ED33-2576-F5647BEBDFE6}"/>
                              </a:ext>
                              <a:ext uri="{147F2762-F138-4A5C-976F-8EAC2B608ADB}">
                                <a16:predDERef xmlns:a16="http://schemas.microsoft.com/office/drawing/2014/main" pred="{8C9C94EB-C8B9-4470-938D-988E98B97490}"/>
                              </a:ext>
                            </a:extLst>
                          </pic:cNvPr>
                          <pic:cNvPicPr>
                            <a:picLocks noChangeAspect="1"/>
                          </pic:cNvPicPr>
                        </pic:nvPicPr>
                        <pic:blipFill>
                          <a:blip r:embed="rId4"/>
                          <a:stretch>
                            <a:fillRect/>
                          </a:stretch>
                        </pic:blipFill>
                        <pic:spPr>
                          <a:xfrm>
                            <a:off x="0" y="0"/>
                            <a:ext cx="2581275" cy="1866900"/>
                          </a:xfrm>
                          <a:prstGeom prst="rect">
                            <a:avLst/>
                          </a:prstGeom>
                        </pic:spPr>
                      </pic:pic>
                    </a:graphicData>
                  </a:graphic>
                  <wp14:sizeRelH relativeFrom="page">
                    <wp14:pctWidth>0</wp14:pctWidth>
                  </wp14:sizeRelH>
                  <wp14:sizeRelV relativeFrom="page">
                    <wp14:pctHeight>0</wp14:pctHeight>
                  </wp14:sizeRelV>
                </wp:anchor>
              </w:drawing>
            </w:r>
          </w:p>
        </w:tc>
      </w:tr>
      <w:tr w:rsidR="00E26274" w:rsidRPr="00A0231E" w14:paraId="55A37344" w14:textId="77777777" w:rsidTr="00F94E8C">
        <w:trPr>
          <w:trHeight w:val="1656"/>
        </w:trPr>
        <w:tc>
          <w:tcPr>
            <w:tcW w:w="619" w:type="dxa"/>
            <w:tcBorders>
              <w:top w:val="nil"/>
              <w:left w:val="single" w:sz="4" w:space="0" w:color="auto"/>
              <w:bottom w:val="dashed" w:sz="4" w:space="0" w:color="auto"/>
              <w:right w:val="single" w:sz="4" w:space="0" w:color="auto"/>
            </w:tcBorders>
            <w:shd w:val="clear" w:color="000000" w:fill="F2F2F2"/>
            <w:vAlign w:val="center"/>
            <w:hideMark/>
          </w:tcPr>
          <w:p w14:paraId="15F3A0D8" w14:textId="77777777" w:rsidR="00E26274" w:rsidRPr="009068C6" w:rsidRDefault="00E26274" w:rsidP="00F94E8C">
            <w:pPr>
              <w:rPr>
                <w:rFonts w:ascii="Cambria" w:hAnsi="Cambria"/>
                <w:color w:val="FF0000"/>
                <w:sz w:val="20"/>
              </w:rPr>
            </w:pPr>
            <w:r w:rsidRPr="009068C6">
              <w:rPr>
                <w:rFonts w:ascii="Cambria" w:hAnsi="Cambria"/>
                <w:color w:val="FF0000"/>
                <w:sz w:val="20"/>
              </w:rPr>
              <w:t> </w:t>
            </w:r>
          </w:p>
        </w:tc>
        <w:tc>
          <w:tcPr>
            <w:tcW w:w="1810" w:type="dxa"/>
            <w:tcBorders>
              <w:top w:val="single" w:sz="4" w:space="0" w:color="auto"/>
              <w:left w:val="nil"/>
              <w:bottom w:val="dashed" w:sz="4" w:space="0" w:color="auto"/>
              <w:right w:val="single" w:sz="4" w:space="0" w:color="auto"/>
            </w:tcBorders>
            <w:shd w:val="clear" w:color="auto" w:fill="auto"/>
            <w:vAlign w:val="center"/>
            <w:hideMark/>
          </w:tcPr>
          <w:p w14:paraId="3E6E31F2" w14:textId="77777777" w:rsidR="00E26274" w:rsidRPr="009068C6" w:rsidRDefault="00E26274" w:rsidP="00F94E8C">
            <w:pPr>
              <w:jc w:val="right"/>
              <w:rPr>
                <w:rFonts w:ascii="Cambria" w:hAnsi="Cambria"/>
                <w:color w:val="FF0000"/>
                <w:sz w:val="20"/>
              </w:rPr>
            </w:pPr>
            <w:r w:rsidRPr="009068C6">
              <w:rPr>
                <w:rFonts w:ascii="Cambria" w:hAnsi="Cambria"/>
                <w:color w:val="FF0000"/>
                <w:sz w:val="20"/>
              </w:rPr>
              <w:t>2025-01-21</w:t>
            </w:r>
          </w:p>
        </w:tc>
        <w:tc>
          <w:tcPr>
            <w:tcW w:w="1648" w:type="dxa"/>
            <w:tcBorders>
              <w:top w:val="single" w:sz="4" w:space="0" w:color="auto"/>
              <w:left w:val="nil"/>
              <w:bottom w:val="dashed" w:sz="4" w:space="0" w:color="auto"/>
              <w:right w:val="single" w:sz="4" w:space="0" w:color="auto"/>
            </w:tcBorders>
            <w:shd w:val="clear" w:color="auto" w:fill="auto"/>
            <w:vAlign w:val="center"/>
            <w:hideMark/>
          </w:tcPr>
          <w:p w14:paraId="247EE297" w14:textId="77777777" w:rsidR="00E26274" w:rsidRPr="009068C6" w:rsidRDefault="00E26274" w:rsidP="00F94E8C">
            <w:pPr>
              <w:rPr>
                <w:rFonts w:ascii="Cambria" w:hAnsi="Cambria"/>
                <w:color w:val="FF0000"/>
                <w:sz w:val="20"/>
              </w:rPr>
            </w:pPr>
            <w:r w:rsidRPr="009068C6">
              <w:rPr>
                <w:rFonts w:ascii="Cambria" w:hAnsi="Cambria"/>
                <w:color w:val="FF0000"/>
                <w:sz w:val="20"/>
              </w:rPr>
              <w:t>SK</w:t>
            </w:r>
          </w:p>
        </w:tc>
        <w:tc>
          <w:tcPr>
            <w:tcW w:w="3108" w:type="dxa"/>
            <w:tcBorders>
              <w:top w:val="single" w:sz="4" w:space="0" w:color="auto"/>
              <w:left w:val="nil"/>
              <w:bottom w:val="dashed" w:sz="4" w:space="0" w:color="auto"/>
              <w:right w:val="single" w:sz="4" w:space="0" w:color="auto"/>
            </w:tcBorders>
            <w:shd w:val="clear" w:color="auto" w:fill="auto"/>
            <w:vAlign w:val="center"/>
            <w:hideMark/>
          </w:tcPr>
          <w:p w14:paraId="32C76DE2" w14:textId="77777777" w:rsidR="00E26274" w:rsidRPr="009068C6" w:rsidRDefault="00E26274" w:rsidP="00F94E8C">
            <w:pPr>
              <w:rPr>
                <w:rFonts w:ascii="Cambria" w:hAnsi="Cambria"/>
                <w:color w:val="FF0000"/>
                <w:sz w:val="20"/>
              </w:rPr>
            </w:pPr>
            <w:r w:rsidRPr="009068C6">
              <w:rPr>
                <w:rFonts w:ascii="Cambria" w:hAnsi="Cambria"/>
                <w:color w:val="FF0000"/>
                <w:sz w:val="20"/>
              </w:rPr>
              <w:t xml:space="preserve">Pateikite plieninių </w:t>
            </w:r>
            <w:proofErr w:type="spellStart"/>
            <w:r w:rsidRPr="009068C6">
              <w:rPr>
                <w:rFonts w:ascii="Cambria" w:hAnsi="Cambria"/>
                <w:color w:val="FF0000"/>
                <w:sz w:val="20"/>
              </w:rPr>
              <w:t>valciuotų</w:t>
            </w:r>
            <w:proofErr w:type="spellEnd"/>
            <w:r w:rsidRPr="009068C6">
              <w:rPr>
                <w:rFonts w:ascii="Cambria" w:hAnsi="Cambria"/>
                <w:color w:val="FF0000"/>
                <w:sz w:val="20"/>
              </w:rPr>
              <w:t xml:space="preserve"> grotelių mazgą, SK dalyje nėra jokio brėžinio.</w:t>
            </w:r>
          </w:p>
        </w:tc>
        <w:tc>
          <w:tcPr>
            <w:tcW w:w="4891" w:type="dxa"/>
            <w:tcBorders>
              <w:top w:val="single" w:sz="4" w:space="0" w:color="auto"/>
              <w:left w:val="nil"/>
              <w:bottom w:val="dashed" w:sz="4" w:space="0" w:color="auto"/>
              <w:right w:val="single" w:sz="4" w:space="0" w:color="auto"/>
            </w:tcBorders>
            <w:shd w:val="clear" w:color="auto" w:fill="auto"/>
            <w:vAlign w:val="center"/>
            <w:hideMark/>
          </w:tcPr>
          <w:p w14:paraId="27CF4554" w14:textId="77777777" w:rsidR="00E26274" w:rsidRPr="009068C6" w:rsidRDefault="00E26274" w:rsidP="00F94E8C">
            <w:pPr>
              <w:jc w:val="center"/>
              <w:rPr>
                <w:rFonts w:ascii="Cambria" w:hAnsi="Cambria"/>
                <w:color w:val="FF0000"/>
                <w:sz w:val="20"/>
              </w:rPr>
            </w:pPr>
            <w:r w:rsidRPr="009068C6">
              <w:rPr>
                <w:rFonts w:ascii="Cambria" w:hAnsi="Cambria"/>
                <w:color w:val="FF0000"/>
                <w:sz w:val="20"/>
              </w:rPr>
              <w:t> </w:t>
            </w:r>
          </w:p>
        </w:tc>
      </w:tr>
    </w:tbl>
    <w:bookmarkEnd w:id="0"/>
    <w:p w14:paraId="7A89EA0A" w14:textId="4F4B79B1" w:rsidR="00E26274" w:rsidRPr="0093022D" w:rsidRDefault="00E26274" w:rsidP="00E26274">
      <w:pPr>
        <w:pStyle w:val="Pagrindiniotekstotrauka2"/>
        <w:ind w:right="-1" w:firstLine="720"/>
        <w:jc w:val="both"/>
        <w:rPr>
          <w:rFonts w:ascii="Times New Roman" w:eastAsia="Calibri" w:hAnsi="Times New Roman"/>
          <w:b/>
          <w:bCs/>
          <w:sz w:val="24"/>
          <w:szCs w:val="24"/>
        </w:rPr>
      </w:pPr>
      <w:r w:rsidRPr="00A05767">
        <w:rPr>
          <w:rFonts w:ascii="Times New Roman" w:hAnsi="Times New Roman"/>
          <w:b/>
          <w:bCs/>
          <w:sz w:val="24"/>
          <w:szCs w:val="24"/>
        </w:rPr>
        <w:t xml:space="preserve">   </w:t>
      </w:r>
      <w:r w:rsidRPr="00A05767">
        <w:rPr>
          <w:rFonts w:ascii="Times New Roman" w:eastAsia="Calibri" w:hAnsi="Times New Roman"/>
          <w:b/>
          <w:bCs/>
          <w:sz w:val="24"/>
          <w:szCs w:val="24"/>
        </w:rPr>
        <w:t>Atsakyma</w:t>
      </w:r>
      <w:r>
        <w:rPr>
          <w:rFonts w:ascii="Times New Roman" w:eastAsia="Calibri" w:hAnsi="Times New Roman"/>
          <w:b/>
          <w:bCs/>
          <w:sz w:val="24"/>
          <w:szCs w:val="24"/>
        </w:rPr>
        <w:t>i</w:t>
      </w:r>
      <w:r w:rsidRPr="00A05767">
        <w:rPr>
          <w:rFonts w:ascii="Times New Roman" w:eastAsia="Calibri" w:hAnsi="Times New Roman"/>
          <w:sz w:val="24"/>
          <w:szCs w:val="24"/>
        </w:rPr>
        <w:t>:</w:t>
      </w:r>
      <w:r w:rsidRPr="00A05767">
        <w:rPr>
          <w:rFonts w:ascii="Times New Roman" w:hAnsi="Times New Roman"/>
          <w:sz w:val="24"/>
          <w:szCs w:val="24"/>
        </w:rPr>
        <w:t>,,</w:t>
      </w:r>
      <w:r w:rsidRPr="00A05767">
        <w:rPr>
          <w:rFonts w:ascii="Times New Roman" w:eastAsiaTheme="minorHAnsi" w:hAnsi="Times New Roman"/>
          <w:sz w:val="24"/>
          <w:szCs w:val="24"/>
          <w14:ligatures w14:val="standardContextual"/>
        </w:rPr>
        <w:t xml:space="preserve"> </w:t>
      </w:r>
      <w:bookmarkStart w:id="2" w:name="_Hlk188366721"/>
      <w:bookmarkStart w:id="3" w:name="_Hlk188366310"/>
      <w:r w:rsidRPr="0093022D">
        <w:rPr>
          <w:rFonts w:ascii="Times New Roman" w:eastAsia="Calibri" w:hAnsi="Times New Roman"/>
          <w:sz w:val="24"/>
          <w:szCs w:val="24"/>
        </w:rPr>
        <w:t>I-a</w:t>
      </w:r>
      <w:r>
        <w:rPr>
          <w:rFonts w:ascii="Times New Roman" w:eastAsia="Calibri" w:hAnsi="Times New Roman"/>
          <w:sz w:val="24"/>
          <w:szCs w:val="24"/>
        </w:rPr>
        <w:t xml:space="preserve"> </w:t>
      </w:r>
      <w:r w:rsidRPr="0093022D">
        <w:rPr>
          <w:rFonts w:ascii="Times New Roman" w:eastAsia="Calibri" w:hAnsi="Times New Roman"/>
          <w:sz w:val="24"/>
          <w:szCs w:val="24"/>
        </w:rPr>
        <w:t>PO dali</w:t>
      </w:r>
      <w:r>
        <w:rPr>
          <w:rFonts w:ascii="Times New Roman" w:eastAsia="Calibri" w:hAnsi="Times New Roman"/>
          <w:sz w:val="24"/>
          <w:szCs w:val="24"/>
        </w:rPr>
        <w:t>s</w:t>
      </w:r>
      <w:r w:rsidRPr="0093022D">
        <w:rPr>
          <w:rFonts w:ascii="Times New Roman" w:eastAsia="Calibri" w:hAnsi="Times New Roman"/>
          <w:sz w:val="24"/>
          <w:szCs w:val="24"/>
        </w:rPr>
        <w:t>. ,,Sprendiniai bus tikslinami Darbo projekto metu“</w:t>
      </w:r>
      <w:r>
        <w:rPr>
          <w:rFonts w:ascii="Times New Roman" w:eastAsia="Calibri" w:hAnsi="Times New Roman"/>
          <w:sz w:val="24"/>
          <w:szCs w:val="24"/>
        </w:rPr>
        <w:t>.</w:t>
      </w:r>
    </w:p>
    <w:bookmarkEnd w:id="1"/>
    <w:bookmarkEnd w:id="2"/>
    <w:bookmarkEnd w:id="3"/>
    <w:p w14:paraId="17E488E2" w14:textId="77777777" w:rsidR="00E26274" w:rsidRPr="008B7622" w:rsidRDefault="00E26274" w:rsidP="00E26274">
      <w:pPr>
        <w:pStyle w:val="Pagrindiniotekstotrauka2"/>
        <w:ind w:right="-1" w:firstLine="720"/>
        <w:jc w:val="both"/>
        <w:rPr>
          <w:rFonts w:ascii="Times New Roman" w:hAnsi="Times New Roman"/>
          <w:bCs/>
          <w:sz w:val="24"/>
          <w:szCs w:val="24"/>
        </w:rPr>
      </w:pPr>
      <w:r w:rsidRPr="008B7622">
        <w:rPr>
          <w:rFonts w:ascii="Times New Roman" w:hAnsi="Times New Roman"/>
          <w:b/>
          <w:sz w:val="24"/>
          <w:szCs w:val="24"/>
        </w:rPr>
        <w:t>2. Klausimas</w:t>
      </w:r>
      <w:r w:rsidRPr="008B7622">
        <w:rPr>
          <w:rFonts w:ascii="Times New Roman" w:hAnsi="Times New Roman"/>
          <w:bCs/>
          <w:sz w:val="24"/>
          <w:szCs w:val="24"/>
        </w:rPr>
        <w:t>: ,,Ar tam, kad atitikti kvalifikacijos reikalavimą dėl patirties (įvykdytų objektų) galima nurodyti objektus, kur buvo atlikta ir vandentiekio ir nuotekų tinklų statyba ar turi būti tik nuotekų tinklai? Jei taip, tai ar tokiu atveju gali būti skaičiuojamas visas objektas ar tik nuotekų tinklų dalis, o kaip įrodymas apie atliktų darbų dalį pateikiamas atsiliepimas ir aktai? Taip pat, ar gali būti teikiama sutartis, kur objektas buvo susisiekimo dalies darbai, bet buvo atliekami ir nuotekų tinklų dalis, o įrodymui pateikiamas atsiliepimas (apie bendrą objektą) ir pasirašyti žiniaraščiai?</w:t>
      </w:r>
    </w:p>
    <w:p w14:paraId="3563F455" w14:textId="77777777" w:rsidR="00E26274" w:rsidRPr="008102DA" w:rsidRDefault="00E26274" w:rsidP="00E26274">
      <w:pPr>
        <w:pStyle w:val="Pagrindiniotekstotrauka2"/>
        <w:ind w:right="-1" w:firstLine="720"/>
        <w:jc w:val="both"/>
        <w:rPr>
          <w:rFonts w:ascii="Times New Roman" w:eastAsia="Calibri" w:hAnsi="Times New Roman"/>
          <w:sz w:val="24"/>
          <w:szCs w:val="24"/>
          <w:u w:val="single"/>
          <w:lang w:val="en-US"/>
        </w:rPr>
      </w:pPr>
      <w:r w:rsidRPr="008B7622">
        <w:rPr>
          <w:rFonts w:ascii="Times New Roman" w:eastAsia="Calibri" w:hAnsi="Times New Roman"/>
          <w:b/>
          <w:bCs/>
          <w:sz w:val="24"/>
          <w:szCs w:val="24"/>
        </w:rPr>
        <w:t xml:space="preserve">Atsakymas: </w:t>
      </w:r>
      <w:r w:rsidRPr="008B7622">
        <w:rPr>
          <w:rFonts w:ascii="Times New Roman" w:eastAsia="Calibri" w:hAnsi="Times New Roman"/>
          <w:sz w:val="24"/>
          <w:szCs w:val="24"/>
        </w:rPr>
        <w:t>Manome, kad užklausa pateikta dėl I-</w:t>
      </w:r>
      <w:proofErr w:type="spellStart"/>
      <w:r w:rsidRPr="008B7622">
        <w:rPr>
          <w:rFonts w:ascii="Times New Roman" w:eastAsia="Calibri" w:hAnsi="Times New Roman"/>
          <w:sz w:val="24"/>
          <w:szCs w:val="24"/>
        </w:rPr>
        <w:t>os</w:t>
      </w:r>
      <w:proofErr w:type="spellEnd"/>
      <w:r w:rsidRPr="008B7622">
        <w:rPr>
          <w:rFonts w:ascii="Times New Roman" w:eastAsia="Calibri" w:hAnsi="Times New Roman"/>
          <w:sz w:val="24"/>
          <w:szCs w:val="24"/>
        </w:rPr>
        <w:t xml:space="preserve"> PO dalies. </w:t>
      </w:r>
      <w:r w:rsidRPr="00B50244">
        <w:rPr>
          <w:rFonts w:ascii="Times New Roman" w:eastAsia="Calibri" w:hAnsi="Times New Roman"/>
          <w:sz w:val="24"/>
          <w:szCs w:val="24"/>
        </w:rPr>
        <w:t xml:space="preserve">Pirkimo sąlygų 3.11 p. 2 lentelės 2 eilutėje I pirkimo objektui nurodyta, kad patirčiai pagrįsti yra vertinami savo jėgomis atlikti </w:t>
      </w:r>
      <w:r w:rsidRPr="00B50244">
        <w:rPr>
          <w:rFonts w:ascii="Times New Roman" w:eastAsia="Calibri" w:hAnsi="Times New Roman"/>
          <w:i/>
          <w:iCs/>
          <w:sz w:val="24"/>
          <w:szCs w:val="24"/>
        </w:rPr>
        <w:t xml:space="preserve">„&lt;...&gt; inžinerinių statinių, priskiriamų kitų inžinerinių statinių pogrupiui – kitos paskirties ir (arba) inžinerinių tinklų pogrupiui – nuotekų šalinimo tinklai &lt;...&gt;“ </w:t>
      </w:r>
      <w:r w:rsidRPr="00B50244">
        <w:rPr>
          <w:rFonts w:ascii="Times New Roman" w:eastAsia="Calibri" w:hAnsi="Times New Roman"/>
          <w:sz w:val="24"/>
          <w:szCs w:val="24"/>
        </w:rPr>
        <w:t>naujos statybos / rekonstravimo / remonto darbai.</w:t>
      </w:r>
      <w:r w:rsidRPr="00B50244">
        <w:rPr>
          <w:rFonts w:ascii="Times New Roman" w:eastAsia="Calibri" w:hAnsi="Times New Roman"/>
          <w:b/>
          <w:bCs/>
          <w:sz w:val="24"/>
          <w:szCs w:val="24"/>
        </w:rPr>
        <w:t xml:space="preserve"> </w:t>
      </w:r>
      <w:r w:rsidRPr="00B50244">
        <w:rPr>
          <w:rFonts w:ascii="Times New Roman" w:eastAsia="Calibri" w:hAnsi="Times New Roman"/>
          <w:b/>
          <w:bCs/>
          <w:sz w:val="24"/>
          <w:szCs w:val="24"/>
          <w:u w:val="single"/>
        </w:rPr>
        <w:t>Inžineriniai statiniai, priskiriami inžinerinių tinklų grupės vandentiekio tinklų pogrupiui kvalifikacijos reikalavime nėra nurodyti, todėl įgyta patirtis statant šiuos statinius nėra vertinama.</w:t>
      </w:r>
      <w:r>
        <w:rPr>
          <w:rFonts w:ascii="Times New Roman" w:eastAsia="Calibri" w:hAnsi="Times New Roman"/>
          <w:b/>
          <w:bCs/>
          <w:sz w:val="24"/>
          <w:szCs w:val="24"/>
          <w:u w:val="single"/>
        </w:rPr>
        <w:t xml:space="preserve">  </w:t>
      </w:r>
      <w:r w:rsidRPr="008102DA">
        <w:rPr>
          <w:rFonts w:ascii="Times New Roman" w:eastAsia="Calibri" w:hAnsi="Times New Roman"/>
          <w:sz w:val="24"/>
          <w:szCs w:val="24"/>
          <w:u w:val="single"/>
        </w:rPr>
        <w:t xml:space="preserve">Jeigu pirkimo dokumentuose yra nustatytas reikalavimas tiekėjui turėti konkrečios vertės patirties atliekant konkrečius darbus, tiekėjas ir turi pateikti tik tokius duomenis atitinkančią informaciją. Informacijos, neatitinkančios reikalaujamos patirties, nurodymas pagrindžiant atitiktį konkrečiam kvalifikacijos reikalavimui gali būti įvertintas kaip siekis suklaidinti perkančiąją organizaciją. Tiekėjas, </w:t>
      </w:r>
      <w:r w:rsidRPr="008102DA">
        <w:rPr>
          <w:rFonts w:ascii="Times New Roman" w:eastAsia="Calibri" w:hAnsi="Times New Roman"/>
          <w:sz w:val="24"/>
          <w:szCs w:val="24"/>
          <w:u w:val="single"/>
        </w:rPr>
        <w:lastRenderedPageBreak/>
        <w:t>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56A13D7D" w14:textId="77777777" w:rsidR="00E26274" w:rsidRPr="008102DA" w:rsidRDefault="00E26274" w:rsidP="00E26274">
      <w:pPr>
        <w:pStyle w:val="Pagrindiniotekstotrauka2"/>
        <w:ind w:right="-1" w:firstLine="720"/>
        <w:jc w:val="both"/>
        <w:rPr>
          <w:rFonts w:ascii="Times New Roman" w:eastAsia="Calibri" w:hAnsi="Times New Roman"/>
          <w:sz w:val="24"/>
          <w:szCs w:val="24"/>
          <w:u w:val="single"/>
        </w:rPr>
      </w:pPr>
      <w:r w:rsidRPr="00B50244">
        <w:rPr>
          <w:rFonts w:ascii="Times New Roman" w:eastAsia="Calibri" w:hAnsi="Times New Roman"/>
          <w:sz w:val="24"/>
          <w:szCs w:val="24"/>
        </w:rPr>
        <w:t xml:space="preserve">Tiekėjams nėra draudžiama įgytą patirtį grįsti ir tokiais objektais/sutartimis, kurių vykdymo metu buvo atliekami ir skirtingų statinių statybos darbai, tačiau </w:t>
      </w:r>
      <w:r w:rsidRPr="00B50244">
        <w:rPr>
          <w:rFonts w:ascii="Times New Roman" w:eastAsia="Calibri" w:hAnsi="Times New Roman"/>
          <w:sz w:val="24"/>
          <w:szCs w:val="24"/>
          <w:u w:val="single"/>
        </w:rPr>
        <w:t>turi būti aiškiai nurodyta ir išskirta pirkimo sąlygų kvalifikacijos reikalavime nurodytų statinių statybos darbų vertė</w:t>
      </w:r>
      <w:r w:rsidRPr="00B50244">
        <w:rPr>
          <w:rFonts w:ascii="Times New Roman" w:eastAsia="Calibri" w:hAnsi="Times New Roman"/>
          <w:sz w:val="24"/>
          <w:szCs w:val="24"/>
        </w:rPr>
        <w:t xml:space="preserve">. Pavyzdžiui kaip nurodyta klausime, tiekėjas gali patirtį grįsti atliktais darbais objekte, kuriame buvo atliekami ir nuotekų šalinimo tinklų, ir vandentiekio tinklų statybos darbai, tačiau tokiu atveju tinkama yra tik ta darbų dalis (jų vertė), kuri susijusi tik su nuotekų šalinimo tinklų statyba. Jeigu vykdant susisiekimo komunikacijų statinių statybą tuo pačiu metu buvo atliekami ir inžinerinių tinklų pogrupio nuotekų šalinimo tinklų statinių statybos darbai, tokia sutartimi galima grįsti atitiktį nustatytam kvalifikacijos reikalavimui, </w:t>
      </w:r>
      <w:r w:rsidRPr="00B50244">
        <w:rPr>
          <w:rFonts w:ascii="Times New Roman" w:eastAsia="Calibri" w:hAnsi="Times New Roman"/>
          <w:sz w:val="24"/>
          <w:szCs w:val="24"/>
          <w:u w:val="single"/>
        </w:rPr>
        <w:t>tačiau tinkama tik ta atliktų darbų dalis, kuri yra susijusi tik su nuotekų šalinimo tinklų statinių statybos darbais.</w:t>
      </w:r>
    </w:p>
    <w:p w14:paraId="02C0D1BC" w14:textId="73219F03" w:rsidR="00E26274" w:rsidRPr="00B50244" w:rsidRDefault="00E26274" w:rsidP="00E26274">
      <w:pPr>
        <w:pStyle w:val="Pagrindiniotekstotrauka2"/>
        <w:ind w:right="-1" w:firstLine="720"/>
        <w:jc w:val="both"/>
        <w:rPr>
          <w:rFonts w:ascii="Times New Roman" w:eastAsia="Calibri" w:hAnsi="Times New Roman"/>
          <w:sz w:val="24"/>
          <w:szCs w:val="24"/>
          <w:u w:val="single"/>
        </w:rPr>
      </w:pPr>
      <w:r w:rsidRPr="00B50244">
        <w:rPr>
          <w:rFonts w:ascii="Times New Roman" w:eastAsia="Calibri" w:hAnsi="Times New Roman"/>
          <w:sz w:val="24"/>
          <w:szCs w:val="24"/>
        </w:rPr>
        <w:t>Pažymėtina, kad atliktų darbų aktuose (pasirašytuose žiniaraščiuose), darbų perdavimo–priėmimo aktuose ir pan. nebūna užsakovo vertinimo, kad visi tiekėjo sutartiniai įsipareigojimai buvo įvykdyti tinkamai. Dėl šios priežasties atliktų darbų aktus, darbų perdavimo–priėmimo aktus ar pan. paprastai būtų galima laikyti lygiaverčiais dokumentais užsakovų pažymoms tik tada, jei juose būtų pateiktas papildomas užsakovo vertinimas dėl tinkamai atliktų darbų</w:t>
      </w:r>
      <w:r w:rsidRPr="00B50244">
        <w:rPr>
          <w:rFonts w:ascii="Times New Roman" w:eastAsia="Calibri" w:hAnsi="Times New Roman"/>
          <w:b/>
          <w:bCs/>
          <w:sz w:val="24"/>
          <w:szCs w:val="24"/>
        </w:rPr>
        <w:t xml:space="preserve">. </w:t>
      </w:r>
      <w:r w:rsidRPr="00B50244">
        <w:rPr>
          <w:rFonts w:ascii="Times New Roman" w:eastAsia="Calibri" w:hAnsi="Times New Roman"/>
          <w:sz w:val="24"/>
          <w:szCs w:val="24"/>
          <w:u w:val="single"/>
        </w:rPr>
        <w:t>Įrodymui pateikiamos užsakovų (tiek viešųjų, tiek privačiųjų) pažymos apie bendrą objektą (nors pagrįsti atitiktį nustatytam kvalifikacijos reikalavimui tinkami tik dalis objekte atliktų darbų) bus tinkama.</w:t>
      </w:r>
      <w:r>
        <w:rPr>
          <w:rFonts w:ascii="Times New Roman" w:eastAsia="Calibri" w:hAnsi="Times New Roman"/>
          <w:sz w:val="24"/>
          <w:szCs w:val="24"/>
          <w:u w:val="single"/>
        </w:rPr>
        <w:t>“</w:t>
      </w:r>
    </w:p>
    <w:p w14:paraId="64A27EC6" w14:textId="77777777" w:rsidR="00E26274" w:rsidRPr="00E26274" w:rsidRDefault="00E26274">
      <w:pPr>
        <w:rPr>
          <w:rFonts w:ascii="Times New Roman" w:hAnsi="Times New Roman" w:cs="Times New Roman"/>
          <w:b/>
          <w:bCs/>
        </w:rPr>
      </w:pPr>
    </w:p>
    <w:sectPr w:rsidR="00E26274" w:rsidRPr="00E26274" w:rsidSect="00E262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74"/>
    <w:rsid w:val="009551C6"/>
    <w:rsid w:val="00E26274"/>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227C"/>
  <w15:chartTrackingRefBased/>
  <w15:docId w15:val="{9AEE446E-1FC2-4529-8E26-BFE74A5F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26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26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2627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2627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2627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262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62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62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62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27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627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627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627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627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62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62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62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62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6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62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62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62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62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6274"/>
    <w:rPr>
      <w:i/>
      <w:iCs/>
      <w:color w:val="404040" w:themeColor="text1" w:themeTint="BF"/>
    </w:rPr>
  </w:style>
  <w:style w:type="paragraph" w:styleId="Sraopastraipa">
    <w:name w:val="List Paragraph"/>
    <w:basedOn w:val="prastasis"/>
    <w:uiPriority w:val="34"/>
    <w:qFormat/>
    <w:rsid w:val="00E26274"/>
    <w:pPr>
      <w:ind w:left="720"/>
      <w:contextualSpacing/>
    </w:pPr>
  </w:style>
  <w:style w:type="character" w:styleId="Rykuspabraukimas">
    <w:name w:val="Intense Emphasis"/>
    <w:basedOn w:val="Numatytasispastraiposriftas"/>
    <w:uiPriority w:val="21"/>
    <w:qFormat/>
    <w:rsid w:val="00E26274"/>
    <w:rPr>
      <w:i/>
      <w:iCs/>
      <w:color w:val="2F5496" w:themeColor="accent1" w:themeShade="BF"/>
    </w:rPr>
  </w:style>
  <w:style w:type="paragraph" w:styleId="Iskirtacitata">
    <w:name w:val="Intense Quote"/>
    <w:basedOn w:val="prastasis"/>
    <w:next w:val="prastasis"/>
    <w:link w:val="IskirtacitataDiagrama"/>
    <w:uiPriority w:val="30"/>
    <w:qFormat/>
    <w:rsid w:val="00E26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26274"/>
    <w:rPr>
      <w:i/>
      <w:iCs/>
      <w:color w:val="2F5496" w:themeColor="accent1" w:themeShade="BF"/>
    </w:rPr>
  </w:style>
  <w:style w:type="character" w:styleId="Rykinuoroda">
    <w:name w:val="Intense Reference"/>
    <w:basedOn w:val="Numatytasispastraiposriftas"/>
    <w:uiPriority w:val="32"/>
    <w:qFormat/>
    <w:rsid w:val="00E26274"/>
    <w:rPr>
      <w:b/>
      <w:bCs/>
      <w:smallCaps/>
      <w:color w:val="2F5496" w:themeColor="accent1" w:themeShade="BF"/>
      <w:spacing w:val="5"/>
    </w:rPr>
  </w:style>
  <w:style w:type="paragraph" w:styleId="Pagrindiniotekstotrauka2">
    <w:name w:val="Body Text Indent 2"/>
    <w:basedOn w:val="prastasis"/>
    <w:link w:val="Pagrindiniotekstotrauka2Diagrama"/>
    <w:rsid w:val="00E26274"/>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rsid w:val="00E26274"/>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2577</Words>
  <Characters>1469</Characters>
  <Application>Microsoft Office Word</Application>
  <DocSecurity>0</DocSecurity>
  <Lines>12</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2025-01-23T15:03:00Z</cp:lastPrinted>
  <dcterms:created xsi:type="dcterms:W3CDTF">2025-01-23T15:02:00Z</dcterms:created>
  <dcterms:modified xsi:type="dcterms:W3CDTF">2025-01-23T15:03:00Z</dcterms:modified>
</cp:coreProperties>
</file>