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9FA1" w14:textId="6C4A2BAF" w:rsidR="00E204D4" w:rsidRPr="0052495C" w:rsidRDefault="00BD1531" w:rsidP="00E204D4">
      <w:pPr>
        <w:jc w:val="center"/>
        <w:rPr>
          <w:b/>
          <w:szCs w:val="24"/>
        </w:rPr>
      </w:pPr>
      <w:r w:rsidRPr="0052495C">
        <w:rPr>
          <w:b/>
          <w:szCs w:val="24"/>
        </w:rPr>
        <w:t xml:space="preserve">RINKOS </w:t>
      </w:r>
      <w:r w:rsidR="00E204D4" w:rsidRPr="0052495C">
        <w:rPr>
          <w:b/>
          <w:szCs w:val="24"/>
        </w:rPr>
        <w:t xml:space="preserve">KONSULTACIJA </w:t>
      </w:r>
    </w:p>
    <w:p w14:paraId="0F8AC899" w14:textId="6E9071BE" w:rsidR="00801CA0" w:rsidRPr="00764954" w:rsidRDefault="00D87FD4" w:rsidP="00801CA0">
      <w:pPr>
        <w:pStyle w:val="Heading"/>
        <w:jc w:val="center"/>
        <w:rPr>
          <w:rFonts w:cs="Times New Roman"/>
          <w:color w:val="auto"/>
          <w:sz w:val="24"/>
          <w:szCs w:val="24"/>
          <w:lang w:val="lt-LT"/>
        </w:rPr>
      </w:pPr>
      <w:r w:rsidRPr="0052495C">
        <w:rPr>
          <w:rFonts w:cs="Times New Roman"/>
          <w:color w:val="auto"/>
          <w:sz w:val="24"/>
          <w:szCs w:val="24"/>
          <w:lang w:val="lt-LT"/>
        </w:rPr>
        <w:t>DĖL</w:t>
      </w:r>
      <w:r w:rsidR="00071535" w:rsidRPr="0052495C">
        <w:rPr>
          <w:rFonts w:cs="Times New Roman"/>
          <w:color w:val="auto"/>
          <w:sz w:val="24"/>
          <w:szCs w:val="24"/>
          <w:lang w:val="lt-LT"/>
        </w:rPr>
        <w:t xml:space="preserve"> </w:t>
      </w:r>
      <w:r w:rsidR="007266BD" w:rsidRPr="007266BD">
        <w:rPr>
          <w:rFonts w:cs="Times New Roman"/>
          <w:color w:val="auto"/>
          <w:sz w:val="24"/>
          <w:szCs w:val="24"/>
          <w:lang w:val="lt-LT"/>
        </w:rPr>
        <w:t>Lietuvos pirmininkavimui Europos Sąjungos Tarybai skirtų viešųjų pirkimų vykdymo ir techninių specifikacijų, kvalifikacijos reikalavimų, pasiūlymų vertinimo kriterijų ir sutarties sąlygų rengimo konsultacin</w:t>
      </w:r>
      <w:r w:rsidR="007266BD">
        <w:rPr>
          <w:rFonts w:cs="Times New Roman"/>
          <w:color w:val="auto"/>
          <w:sz w:val="24"/>
          <w:szCs w:val="24"/>
          <w:lang w:val="lt-LT"/>
        </w:rPr>
        <w:t>IŲ</w:t>
      </w:r>
      <w:r w:rsidR="007266BD" w:rsidRPr="007266BD">
        <w:rPr>
          <w:rFonts w:cs="Times New Roman"/>
          <w:color w:val="auto"/>
          <w:sz w:val="24"/>
          <w:szCs w:val="24"/>
          <w:lang w:val="lt-LT"/>
        </w:rPr>
        <w:t xml:space="preserve"> paslaug</w:t>
      </w:r>
      <w:r w:rsidR="007266BD">
        <w:rPr>
          <w:rFonts w:cs="Times New Roman"/>
          <w:color w:val="auto"/>
          <w:sz w:val="24"/>
          <w:szCs w:val="24"/>
          <w:lang w:val="lt-LT"/>
        </w:rPr>
        <w:t>Ų</w:t>
      </w:r>
    </w:p>
    <w:p w14:paraId="13E93BA7" w14:textId="0A48F38B" w:rsidR="00DB7D7A" w:rsidRDefault="00764954" w:rsidP="006E68DC">
      <w:pPr>
        <w:pStyle w:val="Heading"/>
        <w:jc w:val="center"/>
        <w:rPr>
          <w:rFonts w:cs="Times New Roman"/>
          <w:color w:val="auto"/>
          <w:sz w:val="24"/>
          <w:szCs w:val="24"/>
          <w:lang w:val="lt-LT"/>
        </w:rPr>
      </w:pPr>
      <w:r w:rsidRPr="00764954">
        <w:rPr>
          <w:rFonts w:cs="Times New Roman"/>
          <w:color w:val="auto"/>
          <w:sz w:val="24"/>
          <w:szCs w:val="24"/>
          <w:lang w:val="lt-LT"/>
        </w:rPr>
        <w:t>pirkim</w:t>
      </w:r>
      <w:r>
        <w:rPr>
          <w:rFonts w:cs="Times New Roman"/>
          <w:color w:val="auto"/>
          <w:sz w:val="24"/>
          <w:szCs w:val="24"/>
          <w:lang w:val="lt-LT"/>
        </w:rPr>
        <w:t>o</w:t>
      </w:r>
    </w:p>
    <w:p w14:paraId="14408575" w14:textId="77777777" w:rsidR="00764954" w:rsidRPr="00764954" w:rsidRDefault="00764954" w:rsidP="00764954"/>
    <w:p w14:paraId="267F5C3A" w14:textId="3FBA97E5" w:rsidR="00BB042C" w:rsidRPr="0052495C" w:rsidRDefault="00BB042C" w:rsidP="00774DD7">
      <w:pPr>
        <w:ind w:firstLine="851"/>
        <w:jc w:val="both"/>
        <w:rPr>
          <w:bCs/>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709"/>
      </w:tblGrid>
      <w:tr w:rsidR="00C5114E" w:rsidRPr="0052495C" w14:paraId="7FC9C5F6" w14:textId="77777777" w:rsidTr="00AA09C0">
        <w:trPr>
          <w:trHeight w:val="512"/>
          <w:tblHeader/>
        </w:trPr>
        <w:tc>
          <w:tcPr>
            <w:tcW w:w="2668" w:type="pct"/>
            <w:shd w:val="clear" w:color="auto" w:fill="auto"/>
            <w:vAlign w:val="center"/>
          </w:tcPr>
          <w:p w14:paraId="56FB3BC2" w14:textId="77777777" w:rsidR="00BB042C" w:rsidRPr="0052495C" w:rsidRDefault="00BB042C" w:rsidP="0012286D">
            <w:pPr>
              <w:tabs>
                <w:tab w:val="left" w:pos="284"/>
              </w:tabs>
              <w:ind w:right="-183"/>
              <w:contextualSpacing/>
              <w:jc w:val="center"/>
            </w:pPr>
            <w:r w:rsidRPr="0052495C">
              <w:br w:type="page"/>
              <w:t>KLAUSIMAS</w:t>
            </w:r>
          </w:p>
        </w:tc>
        <w:tc>
          <w:tcPr>
            <w:tcW w:w="2332" w:type="pct"/>
            <w:shd w:val="clear" w:color="auto" w:fill="auto"/>
            <w:vAlign w:val="center"/>
          </w:tcPr>
          <w:p w14:paraId="7F306CC5" w14:textId="2BF2E29C" w:rsidR="00BB042C" w:rsidRPr="0052495C" w:rsidRDefault="00BB042C" w:rsidP="0012286D">
            <w:pPr>
              <w:tabs>
                <w:tab w:val="left" w:pos="426"/>
              </w:tabs>
              <w:contextualSpacing/>
              <w:jc w:val="center"/>
            </w:pPr>
            <w:r w:rsidRPr="0052495C">
              <w:t>RINKOS KONSULTACIJOS DALYVIO ATSAKYMAS IR (AR) SIŪLYMAI</w:t>
            </w:r>
          </w:p>
        </w:tc>
      </w:tr>
      <w:tr w:rsidR="00C5114E" w:rsidRPr="0052495C" w14:paraId="0CD9C1A4" w14:textId="77777777" w:rsidTr="00AA09C0">
        <w:tc>
          <w:tcPr>
            <w:tcW w:w="2668" w:type="pct"/>
            <w:shd w:val="clear" w:color="auto" w:fill="auto"/>
          </w:tcPr>
          <w:p w14:paraId="7ABC6D11" w14:textId="77777777" w:rsidR="00BB042C" w:rsidRPr="0052495C" w:rsidRDefault="00BB042C" w:rsidP="00BB042C">
            <w:pPr>
              <w:numPr>
                <w:ilvl w:val="0"/>
                <w:numId w:val="3"/>
              </w:numPr>
              <w:tabs>
                <w:tab w:val="left" w:pos="0"/>
                <w:tab w:val="left" w:pos="284"/>
                <w:tab w:val="left" w:pos="709"/>
              </w:tabs>
              <w:ind w:left="0" w:firstLine="0"/>
              <w:contextualSpacing/>
              <w:jc w:val="both"/>
            </w:pPr>
            <w:r w:rsidRPr="0052495C">
              <w:t>Ar ketinate dalyvauti šiame pirkime?</w:t>
            </w:r>
          </w:p>
        </w:tc>
        <w:tc>
          <w:tcPr>
            <w:tcW w:w="2332" w:type="pct"/>
            <w:shd w:val="clear" w:color="auto" w:fill="auto"/>
          </w:tcPr>
          <w:p w14:paraId="29B12B60" w14:textId="1D529C43" w:rsidR="00BB042C" w:rsidRPr="0052495C" w:rsidRDefault="00BE729A" w:rsidP="0012286D">
            <w:pPr>
              <w:tabs>
                <w:tab w:val="left" w:pos="426"/>
              </w:tabs>
              <w:contextualSpacing/>
            </w:pPr>
            <w:r w:rsidRPr="00BE729A">
              <w:t>Taip</w:t>
            </w:r>
          </w:p>
        </w:tc>
      </w:tr>
      <w:tr w:rsidR="00C5114E" w:rsidRPr="0052495C" w14:paraId="7A2D779C" w14:textId="77777777" w:rsidTr="00AA09C0">
        <w:tc>
          <w:tcPr>
            <w:tcW w:w="2668" w:type="pct"/>
            <w:shd w:val="clear" w:color="auto" w:fill="auto"/>
          </w:tcPr>
          <w:p w14:paraId="18E67A29" w14:textId="77777777" w:rsidR="00BB042C" w:rsidRPr="0052495C" w:rsidRDefault="00BB042C" w:rsidP="00BB042C">
            <w:pPr>
              <w:numPr>
                <w:ilvl w:val="0"/>
                <w:numId w:val="3"/>
              </w:numPr>
              <w:tabs>
                <w:tab w:val="left" w:pos="0"/>
                <w:tab w:val="left" w:pos="284"/>
              </w:tabs>
              <w:ind w:left="0" w:firstLine="0"/>
              <w:contextualSpacing/>
              <w:jc w:val="both"/>
            </w:pPr>
            <w:r w:rsidRPr="0052495C">
              <w:t>Ar aiškus pirkimo objektas, nustatytas techninėje specifikacijoje?</w:t>
            </w:r>
          </w:p>
        </w:tc>
        <w:tc>
          <w:tcPr>
            <w:tcW w:w="2332" w:type="pct"/>
            <w:shd w:val="clear" w:color="auto" w:fill="auto"/>
          </w:tcPr>
          <w:p w14:paraId="5CE9389B" w14:textId="0F785CCC" w:rsidR="00BB042C" w:rsidRPr="0052495C" w:rsidRDefault="00BE729A" w:rsidP="0012286D">
            <w:pPr>
              <w:tabs>
                <w:tab w:val="left" w:pos="426"/>
              </w:tabs>
              <w:contextualSpacing/>
            </w:pPr>
            <w:r w:rsidRPr="00BE729A">
              <w:t>Taip</w:t>
            </w:r>
          </w:p>
        </w:tc>
      </w:tr>
      <w:tr w:rsidR="00C5114E" w:rsidRPr="0052495C" w14:paraId="197ED73D" w14:textId="77777777" w:rsidTr="00AA09C0">
        <w:tc>
          <w:tcPr>
            <w:tcW w:w="2668" w:type="pct"/>
            <w:shd w:val="clear" w:color="auto" w:fill="auto"/>
          </w:tcPr>
          <w:p w14:paraId="3D528BB1" w14:textId="77777777" w:rsidR="00BB042C" w:rsidRPr="0052495C" w:rsidRDefault="00BB042C" w:rsidP="00BB042C">
            <w:pPr>
              <w:numPr>
                <w:ilvl w:val="0"/>
                <w:numId w:val="3"/>
              </w:numPr>
              <w:tabs>
                <w:tab w:val="left" w:pos="284"/>
                <w:tab w:val="left" w:pos="709"/>
              </w:tabs>
              <w:ind w:left="0" w:firstLine="0"/>
              <w:contextualSpacing/>
              <w:jc w:val="both"/>
            </w:pPr>
            <w:r w:rsidRPr="0052495C">
              <w:t>Ar turite pastabų, klausimų techninės specifikacijos projektui?</w:t>
            </w:r>
          </w:p>
        </w:tc>
        <w:tc>
          <w:tcPr>
            <w:tcW w:w="2332" w:type="pct"/>
            <w:shd w:val="clear" w:color="auto" w:fill="auto"/>
          </w:tcPr>
          <w:p w14:paraId="2B661D9F" w14:textId="77777777" w:rsidR="00BB042C" w:rsidRDefault="00BE729A" w:rsidP="0012286D">
            <w:pPr>
              <w:tabs>
                <w:tab w:val="left" w:pos="426"/>
              </w:tabs>
              <w:contextualSpacing/>
              <w:jc w:val="both"/>
            </w:pPr>
            <w:r w:rsidRPr="00BE729A">
              <w:t>Taip</w:t>
            </w:r>
          </w:p>
          <w:p w14:paraId="17AF3693" w14:textId="77777777" w:rsidR="00BE729A" w:rsidRDefault="00BE729A" w:rsidP="00BE729A">
            <w:pPr>
              <w:tabs>
                <w:tab w:val="left" w:pos="426"/>
              </w:tabs>
              <w:contextualSpacing/>
              <w:jc w:val="both"/>
            </w:pPr>
            <w:r>
              <w:t>1. Tiekėjas prašo patikslinti, ar bus perkamos visų Techninėje specifikacijoje nurodytų pirkimų dokumentų, rinkos tyrimų ir specifikacijų rengimo paslaugos? Ar visgi tiekėjų veiksmai bus orientuoti į Perkančiosios organizacijos ar organizatoriaus pasiruoštų dokumentų peržiūrą, pildymą ir tikslinimą.</w:t>
            </w:r>
          </w:p>
          <w:p w14:paraId="37CD7101" w14:textId="77777777" w:rsidR="00BE729A" w:rsidRDefault="00BE729A" w:rsidP="00BE729A">
            <w:pPr>
              <w:tabs>
                <w:tab w:val="left" w:pos="426"/>
              </w:tabs>
              <w:contextualSpacing/>
              <w:jc w:val="both"/>
            </w:pPr>
            <w:r>
              <w:t>2. Tiekėjas prašo nurodyti, ar perkančioji organizacija suteiks specialų žinių turinčius specialistus/ekspertus, išmanančius atitinkamų atskirų specifinių Pirkimui svarbių sričių objektus?</w:t>
            </w:r>
          </w:p>
          <w:p w14:paraId="5F7517C4" w14:textId="77777777" w:rsidR="00BE729A" w:rsidRDefault="00BE729A" w:rsidP="00BE729A">
            <w:pPr>
              <w:tabs>
                <w:tab w:val="left" w:pos="426"/>
              </w:tabs>
              <w:contextualSpacing/>
              <w:jc w:val="both"/>
            </w:pPr>
            <w:r>
              <w:t>3. Ar tiekėjui ir jo siūlomiems specialistams reikės dalyvauti perkančiosios organizacijos organizaciniuose pasitarimuose ir kt., kurių metu bus sprendžiama, deramasi ir pan. dėl planuojamų pirkimų, reikalavimų renginiui ir kt.?</w:t>
            </w:r>
          </w:p>
          <w:p w14:paraId="22C5CE0F" w14:textId="2A1DA354" w:rsidR="00BE729A" w:rsidRPr="0052495C" w:rsidRDefault="00BE729A" w:rsidP="00BE729A">
            <w:pPr>
              <w:tabs>
                <w:tab w:val="left" w:pos="426"/>
              </w:tabs>
              <w:contextualSpacing/>
              <w:jc w:val="both"/>
            </w:pPr>
            <w:r>
              <w:t>4. Ar Tiekėjas teisingai supranta, jog nurodytos Pirkimo paslaugų apimtys valandomis yra tik preliminarios ir priklausomai nuo poreikio bus perkami didesni paslaugų kiekiai?</w:t>
            </w:r>
          </w:p>
        </w:tc>
      </w:tr>
      <w:tr w:rsidR="00DB349F" w:rsidRPr="0052495C" w14:paraId="21DBB6D8" w14:textId="77777777" w:rsidTr="00AA09C0">
        <w:tc>
          <w:tcPr>
            <w:tcW w:w="2668" w:type="pct"/>
            <w:shd w:val="clear" w:color="auto" w:fill="auto"/>
          </w:tcPr>
          <w:p w14:paraId="50FCCFA1" w14:textId="77777777" w:rsidR="00DB349F" w:rsidRPr="0052495C" w:rsidRDefault="00DB349F" w:rsidP="00DB349F">
            <w:pPr>
              <w:tabs>
                <w:tab w:val="left" w:pos="284"/>
                <w:tab w:val="left" w:pos="709"/>
              </w:tabs>
              <w:contextualSpacing/>
              <w:jc w:val="both"/>
            </w:pPr>
          </w:p>
        </w:tc>
        <w:tc>
          <w:tcPr>
            <w:tcW w:w="2332" w:type="pct"/>
            <w:shd w:val="clear" w:color="auto" w:fill="auto"/>
          </w:tcPr>
          <w:p w14:paraId="729752F3" w14:textId="7B5554E2" w:rsidR="00DB349F" w:rsidRDefault="008D5AA3" w:rsidP="0012286D">
            <w:pPr>
              <w:tabs>
                <w:tab w:val="left" w:pos="426"/>
              </w:tabs>
              <w:contextualSpacing/>
              <w:jc w:val="both"/>
              <w:rPr>
                <w:i/>
                <w:iCs/>
              </w:rPr>
            </w:pPr>
            <w:r w:rsidRPr="008D5AA3">
              <w:rPr>
                <w:i/>
                <w:iCs/>
              </w:rPr>
              <w:t>1. Nebus perkamos visų Techninė</w:t>
            </w:r>
            <w:r w:rsidR="00743043">
              <w:rPr>
                <w:i/>
                <w:iCs/>
              </w:rPr>
              <w:t>s</w:t>
            </w:r>
            <w:r w:rsidRPr="008D5AA3">
              <w:rPr>
                <w:i/>
                <w:iCs/>
              </w:rPr>
              <w:t xml:space="preserve"> specifikacijo</w:t>
            </w:r>
            <w:r w:rsidR="00743043">
              <w:rPr>
                <w:i/>
                <w:iCs/>
              </w:rPr>
              <w:t>s</w:t>
            </w:r>
            <w:r w:rsidRPr="008D5AA3">
              <w:rPr>
                <w:i/>
                <w:iCs/>
              </w:rPr>
              <w:t xml:space="preserve"> </w:t>
            </w:r>
            <w:r w:rsidR="00743043">
              <w:rPr>
                <w:i/>
                <w:iCs/>
              </w:rPr>
              <w:t xml:space="preserve">priede </w:t>
            </w:r>
            <w:r w:rsidRPr="008D5AA3">
              <w:rPr>
                <w:i/>
                <w:iCs/>
              </w:rPr>
              <w:t>pateiktame Pirkimų sąraše nurodytų pirkimų dokumentų, rinkos tyrimų ir specifikacijų rengimo paslaugos. Didži</w:t>
            </w:r>
            <w:r w:rsidR="00743043">
              <w:rPr>
                <w:i/>
                <w:iCs/>
              </w:rPr>
              <w:t>osios</w:t>
            </w:r>
            <w:r w:rsidRPr="008D5AA3">
              <w:rPr>
                <w:i/>
                <w:iCs/>
              </w:rPr>
              <w:t xml:space="preserve"> dal</w:t>
            </w:r>
            <w:r w:rsidR="00743043">
              <w:rPr>
                <w:i/>
                <w:iCs/>
              </w:rPr>
              <w:t>ies pirkimų</w:t>
            </w:r>
            <w:r w:rsidRPr="008D5AA3">
              <w:rPr>
                <w:i/>
                <w:iCs/>
              </w:rPr>
              <w:t xml:space="preserve"> dokument</w:t>
            </w:r>
            <w:r w:rsidR="00743043">
              <w:rPr>
                <w:i/>
                <w:iCs/>
              </w:rPr>
              <w:t>us</w:t>
            </w:r>
            <w:r w:rsidRPr="008D5AA3">
              <w:rPr>
                <w:i/>
                <w:iCs/>
              </w:rPr>
              <w:t xml:space="preserve"> perkančioji organizacija rengs savarankiškai, ir tik dalies pirkimų dokumentus perduosime rengti tiekėjui. </w:t>
            </w:r>
            <w:r>
              <w:rPr>
                <w:i/>
                <w:iCs/>
              </w:rPr>
              <w:t>T</w:t>
            </w:r>
            <w:r w:rsidRPr="008D5AA3">
              <w:rPr>
                <w:i/>
                <w:iCs/>
              </w:rPr>
              <w:t xml:space="preserve">iekėjų veiksmai </w:t>
            </w:r>
            <w:r w:rsidR="00C77A56" w:rsidRPr="008D5AA3">
              <w:rPr>
                <w:i/>
                <w:iCs/>
              </w:rPr>
              <w:t xml:space="preserve">orientuoti </w:t>
            </w:r>
            <w:r w:rsidR="00C77A56">
              <w:rPr>
                <w:i/>
                <w:iCs/>
              </w:rPr>
              <w:t xml:space="preserve">tik </w:t>
            </w:r>
            <w:r w:rsidRPr="008D5AA3">
              <w:rPr>
                <w:i/>
                <w:iCs/>
              </w:rPr>
              <w:t xml:space="preserve">į Perkančiosios organizacijos ar organizatoriaus pasiruoštų dokumentų peržiūrą, pildymą ir tikslinimą bus </w:t>
            </w:r>
            <w:r>
              <w:rPr>
                <w:i/>
                <w:iCs/>
              </w:rPr>
              <w:t>tik išskirtiniai</w:t>
            </w:r>
            <w:r w:rsidR="00C77A56">
              <w:rPr>
                <w:i/>
                <w:iCs/>
              </w:rPr>
              <w:t>s</w:t>
            </w:r>
            <w:r>
              <w:rPr>
                <w:i/>
                <w:iCs/>
              </w:rPr>
              <w:t xml:space="preserve"> atvejais. </w:t>
            </w:r>
          </w:p>
          <w:p w14:paraId="1830DAAD" w14:textId="77777777" w:rsidR="008D5AA3" w:rsidRDefault="008D5AA3" w:rsidP="0012286D">
            <w:pPr>
              <w:tabs>
                <w:tab w:val="left" w:pos="426"/>
              </w:tabs>
              <w:contextualSpacing/>
              <w:jc w:val="both"/>
              <w:rPr>
                <w:i/>
                <w:iCs/>
              </w:rPr>
            </w:pPr>
            <w:r>
              <w:rPr>
                <w:i/>
                <w:iCs/>
              </w:rPr>
              <w:t>2. P</w:t>
            </w:r>
            <w:r w:rsidRPr="008D5AA3">
              <w:rPr>
                <w:i/>
                <w:iCs/>
              </w:rPr>
              <w:t>erkančioji organizacija suteiks special</w:t>
            </w:r>
            <w:r>
              <w:rPr>
                <w:i/>
                <w:iCs/>
              </w:rPr>
              <w:t>i</w:t>
            </w:r>
            <w:r w:rsidRPr="008D5AA3">
              <w:rPr>
                <w:i/>
                <w:iCs/>
              </w:rPr>
              <w:t>ų žinių turinčius specialistus/ekspertus, išmanančius atitinkamų atskirų specifinių Pirkimui svarbių sričių objektus</w:t>
            </w:r>
            <w:r>
              <w:rPr>
                <w:i/>
                <w:iCs/>
              </w:rPr>
              <w:t xml:space="preserve"> tais atvejais, kai tokius specialistus turės. </w:t>
            </w:r>
          </w:p>
          <w:p w14:paraId="137C5FFD" w14:textId="77777777" w:rsidR="008D5AA3" w:rsidRDefault="008D5AA3" w:rsidP="0012286D">
            <w:pPr>
              <w:tabs>
                <w:tab w:val="left" w:pos="426"/>
              </w:tabs>
              <w:contextualSpacing/>
              <w:jc w:val="both"/>
              <w:rPr>
                <w:i/>
                <w:iCs/>
              </w:rPr>
            </w:pPr>
            <w:r>
              <w:rPr>
                <w:i/>
                <w:iCs/>
              </w:rPr>
              <w:lastRenderedPageBreak/>
              <w:t>3. T</w:t>
            </w:r>
            <w:r w:rsidRPr="008D5AA3">
              <w:rPr>
                <w:i/>
                <w:iCs/>
              </w:rPr>
              <w:t xml:space="preserve">iekėjui ir jo siūlomiems specialistams </w:t>
            </w:r>
            <w:r>
              <w:rPr>
                <w:i/>
                <w:iCs/>
              </w:rPr>
              <w:t>ne</w:t>
            </w:r>
            <w:r w:rsidRPr="008D5AA3">
              <w:rPr>
                <w:i/>
                <w:iCs/>
              </w:rPr>
              <w:t xml:space="preserve">reikės </w:t>
            </w:r>
            <w:r>
              <w:rPr>
                <w:i/>
                <w:iCs/>
              </w:rPr>
              <w:t xml:space="preserve">nuolat </w:t>
            </w:r>
            <w:r w:rsidRPr="008D5AA3">
              <w:rPr>
                <w:i/>
                <w:iCs/>
              </w:rPr>
              <w:t>dalyvauti perkančiosios organizacijos organizaciniuose pasitarimuose ir kt., kurių metu bus sprendžiama, deramasi ir pan. dėl planuojamų pirkimų, reikalavimų renginiui ir kt.</w:t>
            </w:r>
            <w:r>
              <w:rPr>
                <w:i/>
                <w:iCs/>
              </w:rPr>
              <w:t xml:space="preserve">, tačiau esant poreikiui perkančioji organizacija pakvies tiekėją dalyvauti pasitarime gyvai arba nuotoliniu būdu.  </w:t>
            </w:r>
          </w:p>
          <w:p w14:paraId="0DB63353" w14:textId="3F4B5235" w:rsidR="008D5AA3" w:rsidRPr="008D5AA3" w:rsidRDefault="008D5AA3" w:rsidP="0012286D">
            <w:pPr>
              <w:tabs>
                <w:tab w:val="left" w:pos="426"/>
              </w:tabs>
              <w:contextualSpacing/>
              <w:jc w:val="both"/>
              <w:rPr>
                <w:i/>
                <w:iCs/>
              </w:rPr>
            </w:pPr>
            <w:r>
              <w:rPr>
                <w:i/>
                <w:iCs/>
              </w:rPr>
              <w:t>4. N</w:t>
            </w:r>
            <w:r w:rsidRPr="008D5AA3">
              <w:rPr>
                <w:i/>
                <w:iCs/>
              </w:rPr>
              <w:t xml:space="preserve">urodytos Pirkimo paslaugų apimtys valandomis yra tik preliminarios ir priklausomai nuo poreikio bus perkami </w:t>
            </w:r>
            <w:r w:rsidR="00552CD3">
              <w:rPr>
                <w:i/>
                <w:iCs/>
              </w:rPr>
              <w:t xml:space="preserve">mažesni </w:t>
            </w:r>
            <w:r>
              <w:rPr>
                <w:i/>
                <w:iCs/>
              </w:rPr>
              <w:t xml:space="preserve">arba </w:t>
            </w:r>
            <w:r w:rsidR="00552CD3">
              <w:rPr>
                <w:i/>
                <w:iCs/>
              </w:rPr>
              <w:t xml:space="preserve">didesni </w:t>
            </w:r>
            <w:r w:rsidRPr="008D5AA3">
              <w:rPr>
                <w:i/>
                <w:iCs/>
              </w:rPr>
              <w:t>paslaugų kiekiai</w:t>
            </w:r>
            <w:r>
              <w:rPr>
                <w:i/>
                <w:iCs/>
              </w:rPr>
              <w:t xml:space="preserve">, tačiau neviršijant sutarties vertės. </w:t>
            </w:r>
          </w:p>
        </w:tc>
      </w:tr>
      <w:tr w:rsidR="00C5114E" w:rsidRPr="0052495C" w14:paraId="0FE726F6" w14:textId="77777777" w:rsidTr="00AA09C0">
        <w:tc>
          <w:tcPr>
            <w:tcW w:w="2668" w:type="pct"/>
            <w:shd w:val="clear" w:color="auto" w:fill="auto"/>
          </w:tcPr>
          <w:p w14:paraId="32140512" w14:textId="77777777" w:rsidR="00BB042C" w:rsidRPr="0052495C" w:rsidRDefault="00BB042C" w:rsidP="00BB042C">
            <w:pPr>
              <w:numPr>
                <w:ilvl w:val="0"/>
                <w:numId w:val="3"/>
              </w:numPr>
              <w:tabs>
                <w:tab w:val="left" w:pos="284"/>
                <w:tab w:val="left" w:pos="709"/>
              </w:tabs>
              <w:ind w:left="0" w:firstLine="0"/>
              <w:contextualSpacing/>
              <w:jc w:val="both"/>
            </w:pPr>
            <w:r w:rsidRPr="0052495C">
              <w:lastRenderedPageBreak/>
              <w:t>Kokias sąlygas papildomai siūlytumėte įtraukti į techninę specifikaciją arba kurių reikėtų atsisakyti?</w:t>
            </w:r>
          </w:p>
        </w:tc>
        <w:tc>
          <w:tcPr>
            <w:tcW w:w="2332" w:type="pct"/>
            <w:shd w:val="clear" w:color="auto" w:fill="auto"/>
          </w:tcPr>
          <w:p w14:paraId="45134913" w14:textId="3FF6EE66" w:rsidR="00BB042C" w:rsidRPr="0052495C" w:rsidRDefault="00BE729A" w:rsidP="0012286D">
            <w:pPr>
              <w:tabs>
                <w:tab w:val="left" w:pos="426"/>
              </w:tabs>
              <w:contextualSpacing/>
              <w:jc w:val="both"/>
            </w:pPr>
            <w:r w:rsidRPr="00BE729A">
              <w:t>Tiekėjas siūlo Techninėje specifikacijoje ir/ar Sutarties projekte detaliai aprašyti realų ir potencialų interesų konfliktą, nurodant, kada bus laikoma, kad egzistuoja interesų konfliktas.</w:t>
            </w:r>
          </w:p>
        </w:tc>
      </w:tr>
      <w:tr w:rsidR="00DB349F" w:rsidRPr="0052495C" w14:paraId="7A91C1CD" w14:textId="77777777" w:rsidTr="00AA09C0">
        <w:tc>
          <w:tcPr>
            <w:tcW w:w="2668" w:type="pct"/>
            <w:shd w:val="clear" w:color="auto" w:fill="auto"/>
          </w:tcPr>
          <w:p w14:paraId="650F69CB" w14:textId="77777777" w:rsidR="00DB349F" w:rsidRPr="0052495C" w:rsidRDefault="00DB349F" w:rsidP="00DB349F">
            <w:pPr>
              <w:tabs>
                <w:tab w:val="left" w:pos="284"/>
                <w:tab w:val="left" w:pos="709"/>
              </w:tabs>
              <w:contextualSpacing/>
              <w:jc w:val="both"/>
            </w:pPr>
          </w:p>
        </w:tc>
        <w:tc>
          <w:tcPr>
            <w:tcW w:w="2332" w:type="pct"/>
            <w:shd w:val="clear" w:color="auto" w:fill="auto"/>
          </w:tcPr>
          <w:p w14:paraId="1B5A844A" w14:textId="6DF3D3BE" w:rsidR="00DB349F" w:rsidRPr="00ED68CB" w:rsidRDefault="00ED68CB" w:rsidP="0012286D">
            <w:pPr>
              <w:tabs>
                <w:tab w:val="left" w:pos="426"/>
              </w:tabs>
              <w:contextualSpacing/>
              <w:jc w:val="both"/>
              <w:rPr>
                <w:i/>
                <w:iCs/>
              </w:rPr>
            </w:pPr>
            <w:r w:rsidRPr="00ED68CB">
              <w:rPr>
                <w:i/>
                <w:iCs/>
              </w:rPr>
              <w:t xml:space="preserve">Perkančioji organizacija atsisako Techninės specifikacijos 6.2 punkto sakinio dalies „vengti interesų konfliktų situacijų“. </w:t>
            </w:r>
          </w:p>
        </w:tc>
      </w:tr>
      <w:tr w:rsidR="00C5114E" w:rsidRPr="0052495C" w14:paraId="401194E4" w14:textId="77777777" w:rsidTr="00AA09C0">
        <w:tc>
          <w:tcPr>
            <w:tcW w:w="2668" w:type="pct"/>
            <w:shd w:val="clear" w:color="auto" w:fill="auto"/>
          </w:tcPr>
          <w:p w14:paraId="31CE62AA" w14:textId="77777777" w:rsidR="00BB042C" w:rsidRPr="0052495C" w:rsidRDefault="00BB042C" w:rsidP="00BB042C">
            <w:pPr>
              <w:numPr>
                <w:ilvl w:val="0"/>
                <w:numId w:val="3"/>
              </w:numPr>
              <w:tabs>
                <w:tab w:val="left" w:pos="284"/>
                <w:tab w:val="left" w:pos="709"/>
              </w:tabs>
              <w:ind w:left="0" w:firstLine="0"/>
              <w:contextualSpacing/>
              <w:jc w:val="both"/>
            </w:pPr>
            <w:r w:rsidRPr="0052495C">
              <w:t>Ar pateiktoje techninėje specifikacijoje yra perteklinių reikalavimų, kurie nepadeda pasiekti techninėje specifikacijoje nustatyto rezultato bei nepagrįstai brangina pasiūlymo kainą?</w:t>
            </w:r>
          </w:p>
        </w:tc>
        <w:tc>
          <w:tcPr>
            <w:tcW w:w="2332" w:type="pct"/>
            <w:shd w:val="clear" w:color="auto" w:fill="auto"/>
          </w:tcPr>
          <w:p w14:paraId="55ABEF8B" w14:textId="41298EB4" w:rsidR="00BB042C" w:rsidRPr="0052495C" w:rsidRDefault="00BE729A" w:rsidP="0012286D">
            <w:pPr>
              <w:tabs>
                <w:tab w:val="left" w:pos="426"/>
              </w:tabs>
              <w:contextualSpacing/>
              <w:jc w:val="both"/>
            </w:pPr>
            <w:r w:rsidRPr="00BE729A">
              <w:t>Taip. Pvz. „6. Dalyvių pretenzijų nagrinėjimą (maksimalus nagrinėjimo terminas – 3 darbo dienos).“ Toks terminas įpareigos tiekėjus įsivertinti ir nuolat turėti mažiau užimtų specialistų, kurie, sulaukę Perkančiosios organizacijos prašymo pateikti atsakymus į pretenzijas per 3 d. d., turės būti pasirengę iš karto imtis darbo. Toks įpareigojimas tiekėjams</w:t>
            </w:r>
            <w:r>
              <w:t xml:space="preserve"> </w:t>
            </w:r>
            <w:r w:rsidRPr="00BE729A">
              <w:t>didina paslaugų teikimo kaštus ir pasiūlymo kainą.</w:t>
            </w:r>
          </w:p>
        </w:tc>
      </w:tr>
      <w:tr w:rsidR="00703F71" w:rsidRPr="0052495C" w14:paraId="40284545" w14:textId="77777777" w:rsidTr="00AA09C0">
        <w:tc>
          <w:tcPr>
            <w:tcW w:w="2668" w:type="pct"/>
            <w:shd w:val="clear" w:color="auto" w:fill="auto"/>
          </w:tcPr>
          <w:p w14:paraId="20B4CA5C" w14:textId="77777777" w:rsidR="00703F71" w:rsidRPr="0052495C" w:rsidRDefault="00703F71" w:rsidP="00703F71">
            <w:pPr>
              <w:tabs>
                <w:tab w:val="left" w:pos="284"/>
                <w:tab w:val="left" w:pos="709"/>
              </w:tabs>
              <w:contextualSpacing/>
              <w:jc w:val="both"/>
            </w:pPr>
          </w:p>
        </w:tc>
        <w:tc>
          <w:tcPr>
            <w:tcW w:w="2332" w:type="pct"/>
            <w:shd w:val="clear" w:color="auto" w:fill="auto"/>
          </w:tcPr>
          <w:p w14:paraId="52C3E4AB" w14:textId="1F375123" w:rsidR="00703F71" w:rsidRPr="00ED68CB" w:rsidRDefault="00B231BF" w:rsidP="0012286D">
            <w:pPr>
              <w:tabs>
                <w:tab w:val="left" w:pos="426"/>
              </w:tabs>
              <w:contextualSpacing/>
              <w:jc w:val="both"/>
              <w:rPr>
                <w:i/>
                <w:iCs/>
              </w:rPr>
            </w:pPr>
            <w:r w:rsidRPr="00B231BF">
              <w:rPr>
                <w:i/>
                <w:iCs/>
              </w:rPr>
              <w:t>Pretenzijos nagrinėjimo terminai reglamentuoti įstatymo, kas reiškia</w:t>
            </w:r>
            <w:r w:rsidR="006C46DD">
              <w:rPr>
                <w:i/>
                <w:iCs/>
              </w:rPr>
              <w:t>, jog</w:t>
            </w:r>
            <w:r w:rsidRPr="00B231BF">
              <w:rPr>
                <w:i/>
                <w:iCs/>
              </w:rPr>
              <w:t xml:space="preserve"> gavus pretenziją į ją turi būti atsakyta per įstatymo numatytą terminą. </w:t>
            </w:r>
            <w:r w:rsidR="00ED68CB" w:rsidRPr="00ED68CB">
              <w:rPr>
                <w:i/>
                <w:iCs/>
              </w:rPr>
              <w:t xml:space="preserve">Perkančioji organizacija </w:t>
            </w:r>
            <w:r>
              <w:rPr>
                <w:i/>
                <w:iCs/>
              </w:rPr>
              <w:t>ne</w:t>
            </w:r>
            <w:r w:rsidR="00ED68CB" w:rsidRPr="00ED68CB">
              <w:rPr>
                <w:i/>
                <w:iCs/>
              </w:rPr>
              <w:t>atsisako Techninės specifikacijos 3.1 punkt</w:t>
            </w:r>
            <w:r>
              <w:rPr>
                <w:i/>
                <w:iCs/>
              </w:rPr>
              <w:t>e</w:t>
            </w:r>
            <w:r w:rsidR="00ED68CB" w:rsidRPr="00ED68CB">
              <w:rPr>
                <w:i/>
                <w:iCs/>
              </w:rPr>
              <w:t xml:space="preserve"> nurodyto maksimalaus pretenzijų nagrinėjimo termino.  </w:t>
            </w:r>
          </w:p>
        </w:tc>
      </w:tr>
      <w:tr w:rsidR="00C5114E" w:rsidRPr="0052495C" w14:paraId="423FB75A" w14:textId="77777777" w:rsidTr="00AA09C0">
        <w:tc>
          <w:tcPr>
            <w:tcW w:w="2668" w:type="pct"/>
            <w:shd w:val="clear" w:color="auto" w:fill="auto"/>
          </w:tcPr>
          <w:p w14:paraId="7D89D028" w14:textId="77777777" w:rsidR="00BB042C" w:rsidRPr="0052495C" w:rsidRDefault="00BB042C" w:rsidP="00BB042C">
            <w:pPr>
              <w:numPr>
                <w:ilvl w:val="0"/>
                <w:numId w:val="3"/>
              </w:numPr>
              <w:tabs>
                <w:tab w:val="left" w:pos="284"/>
              </w:tabs>
              <w:ind w:left="0" w:firstLine="0"/>
              <w:jc w:val="both"/>
            </w:pPr>
            <w:r w:rsidRPr="0052495C">
              <w:t>Ar siūlomi sprendimai gali riboti kitų tiekėjų galimybes dalyvauti pirkime?</w:t>
            </w:r>
            <w:r w:rsidRPr="0052495C">
              <w:tab/>
            </w:r>
          </w:p>
        </w:tc>
        <w:tc>
          <w:tcPr>
            <w:tcW w:w="2332" w:type="pct"/>
            <w:shd w:val="clear" w:color="auto" w:fill="auto"/>
          </w:tcPr>
          <w:p w14:paraId="2B038CDD" w14:textId="34BBBEC3" w:rsidR="00BB042C" w:rsidRPr="0052495C" w:rsidRDefault="00BE729A" w:rsidP="0012286D">
            <w:pPr>
              <w:tabs>
                <w:tab w:val="left" w:pos="426"/>
              </w:tabs>
              <w:contextualSpacing/>
            </w:pPr>
            <w:r w:rsidRPr="00BE729A">
              <w:t>Ne</w:t>
            </w:r>
          </w:p>
        </w:tc>
      </w:tr>
      <w:tr w:rsidR="00C5114E" w:rsidRPr="0052495C" w14:paraId="630D125C" w14:textId="77777777" w:rsidTr="00AA09C0">
        <w:trPr>
          <w:trHeight w:val="234"/>
        </w:trPr>
        <w:tc>
          <w:tcPr>
            <w:tcW w:w="2668" w:type="pct"/>
            <w:shd w:val="clear" w:color="auto" w:fill="auto"/>
          </w:tcPr>
          <w:p w14:paraId="2169D2F6" w14:textId="204B3D5A" w:rsidR="00BB042C" w:rsidRPr="0052495C" w:rsidRDefault="00BB042C" w:rsidP="00BB042C">
            <w:pPr>
              <w:pStyle w:val="Default"/>
              <w:numPr>
                <w:ilvl w:val="0"/>
                <w:numId w:val="3"/>
              </w:numPr>
              <w:tabs>
                <w:tab w:val="left" w:pos="0"/>
                <w:tab w:val="left" w:pos="284"/>
              </w:tabs>
              <w:ind w:left="0" w:firstLine="0"/>
              <w:jc w:val="both"/>
              <w:rPr>
                <w:rFonts w:eastAsia="Calibri"/>
                <w:color w:val="auto"/>
                <w:szCs w:val="22"/>
                <w:lang w:val="lt-LT"/>
              </w:rPr>
            </w:pPr>
            <w:r w:rsidRPr="0052495C">
              <w:rPr>
                <w:rFonts w:eastAsia="Calibri"/>
                <w:color w:val="auto"/>
                <w:szCs w:val="22"/>
                <w:lang w:val="lt-LT"/>
              </w:rPr>
              <w:t xml:space="preserve">Ar galite pasiūlyti </w:t>
            </w:r>
            <w:r w:rsidR="007266BD">
              <w:rPr>
                <w:rFonts w:eastAsia="Calibri"/>
                <w:color w:val="auto"/>
                <w:szCs w:val="22"/>
                <w:lang w:val="lt-LT"/>
              </w:rPr>
              <w:t>paslaugą</w:t>
            </w:r>
            <w:r w:rsidRPr="0052495C">
              <w:rPr>
                <w:rFonts w:eastAsia="Calibri"/>
                <w:color w:val="auto"/>
                <w:szCs w:val="22"/>
                <w:lang w:val="lt-LT"/>
              </w:rPr>
              <w:t xml:space="preserve"> pagal techninės specifikacijos reikalavimus pilna apimtimi?</w:t>
            </w:r>
          </w:p>
        </w:tc>
        <w:tc>
          <w:tcPr>
            <w:tcW w:w="2332" w:type="pct"/>
            <w:shd w:val="clear" w:color="auto" w:fill="auto"/>
          </w:tcPr>
          <w:p w14:paraId="73CEE3FB" w14:textId="38309618" w:rsidR="00BB042C" w:rsidRPr="0052495C" w:rsidRDefault="00BE729A" w:rsidP="0012286D">
            <w:pPr>
              <w:tabs>
                <w:tab w:val="left" w:pos="426"/>
              </w:tabs>
              <w:contextualSpacing/>
            </w:pPr>
            <w:r>
              <w:t>Taip</w:t>
            </w:r>
          </w:p>
        </w:tc>
      </w:tr>
      <w:tr w:rsidR="00AA09C0" w:rsidRPr="0052495C" w14:paraId="431BCF4C" w14:textId="77777777" w:rsidTr="00AA09C0">
        <w:trPr>
          <w:trHeight w:val="234"/>
        </w:trPr>
        <w:tc>
          <w:tcPr>
            <w:tcW w:w="2668" w:type="pct"/>
            <w:shd w:val="clear" w:color="auto" w:fill="auto"/>
          </w:tcPr>
          <w:p w14:paraId="6040011E" w14:textId="74EDADF8" w:rsidR="00AA09C0" w:rsidRPr="006E012D" w:rsidRDefault="00AA09C0" w:rsidP="00AA09C0">
            <w:pPr>
              <w:jc w:val="both"/>
              <w:rPr>
                <w:szCs w:val="24"/>
              </w:rPr>
            </w:pPr>
            <w:r>
              <w:rPr>
                <w:szCs w:val="24"/>
              </w:rPr>
              <w:t xml:space="preserve">8. </w:t>
            </w:r>
            <w:r w:rsidRPr="006E012D">
              <w:rPr>
                <w:szCs w:val="24"/>
              </w:rPr>
              <w:t xml:space="preserve">Ar turite pastabų sutarties projektui? </w:t>
            </w:r>
          </w:p>
          <w:p w14:paraId="2F376131" w14:textId="1277BB96" w:rsidR="00AA09C0" w:rsidRPr="0052495C" w:rsidRDefault="00AA09C0" w:rsidP="00AA09C0">
            <w:pPr>
              <w:pStyle w:val="Default"/>
              <w:tabs>
                <w:tab w:val="left" w:pos="0"/>
                <w:tab w:val="left" w:pos="284"/>
              </w:tabs>
              <w:jc w:val="both"/>
              <w:rPr>
                <w:rFonts w:eastAsia="Calibri"/>
                <w:color w:val="auto"/>
                <w:szCs w:val="22"/>
                <w:lang w:val="lt-LT"/>
              </w:rPr>
            </w:pPr>
            <w:r w:rsidRPr="006E012D">
              <w:rPr>
                <w:lang w:val="lt-LT"/>
              </w:rPr>
              <w:t>Prašome pateikti argumentuotas pastabas ir klausimus nurodant konkrečius punktus ir/ar teksto vietas.</w:t>
            </w:r>
          </w:p>
        </w:tc>
        <w:tc>
          <w:tcPr>
            <w:tcW w:w="2332" w:type="pct"/>
            <w:shd w:val="clear" w:color="auto" w:fill="auto"/>
          </w:tcPr>
          <w:p w14:paraId="7A986306" w14:textId="6DF6B68C" w:rsidR="00AA09C0" w:rsidRPr="0052495C" w:rsidRDefault="00BE729A" w:rsidP="0012286D">
            <w:pPr>
              <w:tabs>
                <w:tab w:val="left" w:pos="426"/>
              </w:tabs>
              <w:contextualSpacing/>
            </w:pPr>
            <w:r w:rsidRPr="00BE729A">
              <w:t>Ne</w:t>
            </w:r>
          </w:p>
        </w:tc>
      </w:tr>
      <w:tr w:rsidR="002D7A04" w:rsidRPr="0052495C" w14:paraId="18C8A947" w14:textId="77777777" w:rsidTr="00AA09C0">
        <w:trPr>
          <w:trHeight w:val="234"/>
        </w:trPr>
        <w:tc>
          <w:tcPr>
            <w:tcW w:w="2668" w:type="pct"/>
            <w:shd w:val="clear" w:color="auto" w:fill="auto"/>
          </w:tcPr>
          <w:p w14:paraId="1155DD0D" w14:textId="77777777" w:rsidR="00BE729A" w:rsidRPr="00BE729A" w:rsidRDefault="002D7A04" w:rsidP="00BE729A">
            <w:pPr>
              <w:jc w:val="both"/>
              <w:rPr>
                <w:szCs w:val="24"/>
              </w:rPr>
            </w:pPr>
            <w:r>
              <w:rPr>
                <w:szCs w:val="24"/>
              </w:rPr>
              <w:t xml:space="preserve">9. </w:t>
            </w:r>
            <w:r w:rsidR="00BE729A" w:rsidRPr="00BE729A">
              <w:rPr>
                <w:szCs w:val="24"/>
              </w:rPr>
              <w:t>9. Kokie nurodyti kvalifikaciniai reikalavimai, Jūsų nuomone, yra neaiškūs, dviprasmiški ar ribojantys konkurenciją?</w:t>
            </w:r>
          </w:p>
          <w:p w14:paraId="78CFD32E" w14:textId="260E077A" w:rsidR="002D7A04" w:rsidRDefault="00BE729A" w:rsidP="00BE729A">
            <w:pPr>
              <w:jc w:val="both"/>
              <w:rPr>
                <w:szCs w:val="24"/>
              </w:rPr>
            </w:pPr>
            <w:r w:rsidRPr="00BE729A">
              <w:rPr>
                <w:szCs w:val="24"/>
              </w:rPr>
              <w:t>Prašome pateikti argumentuotas pastabas ir klausimus nurodant konkrečius punktus ir/ar teksto vietas.</w:t>
            </w:r>
          </w:p>
        </w:tc>
        <w:tc>
          <w:tcPr>
            <w:tcW w:w="2332" w:type="pct"/>
            <w:shd w:val="clear" w:color="auto" w:fill="auto"/>
          </w:tcPr>
          <w:p w14:paraId="57E5750F" w14:textId="3AFAE3BF" w:rsidR="002D7A04" w:rsidRPr="0052495C" w:rsidRDefault="00BE729A" w:rsidP="0012286D">
            <w:pPr>
              <w:tabs>
                <w:tab w:val="left" w:pos="426"/>
              </w:tabs>
              <w:contextualSpacing/>
            </w:pPr>
            <w:r>
              <w:t>-</w:t>
            </w:r>
          </w:p>
        </w:tc>
      </w:tr>
      <w:tr w:rsidR="00BE729A" w:rsidRPr="0052495C" w14:paraId="5BF72A2B" w14:textId="77777777" w:rsidTr="00AA09C0">
        <w:trPr>
          <w:trHeight w:val="234"/>
        </w:trPr>
        <w:tc>
          <w:tcPr>
            <w:tcW w:w="2668" w:type="pct"/>
            <w:shd w:val="clear" w:color="auto" w:fill="auto"/>
          </w:tcPr>
          <w:p w14:paraId="516028E5" w14:textId="1F16BFDC" w:rsidR="00BE729A" w:rsidRPr="00BE729A" w:rsidRDefault="00BE729A" w:rsidP="00BE729A">
            <w:pPr>
              <w:jc w:val="both"/>
              <w:rPr>
                <w:szCs w:val="24"/>
              </w:rPr>
            </w:pPr>
            <w:r>
              <w:rPr>
                <w:szCs w:val="24"/>
              </w:rPr>
              <w:t xml:space="preserve">10. </w:t>
            </w:r>
            <w:r w:rsidRPr="00BE729A">
              <w:rPr>
                <w:szCs w:val="24"/>
              </w:rPr>
              <w:t>Kokie nurodyti kvalifikacijos reikalavimai yra pertekliniai?</w:t>
            </w:r>
          </w:p>
          <w:p w14:paraId="425E65AC" w14:textId="710DC636" w:rsidR="00BE729A" w:rsidRDefault="00BE729A" w:rsidP="00BE729A">
            <w:pPr>
              <w:jc w:val="both"/>
              <w:rPr>
                <w:szCs w:val="24"/>
              </w:rPr>
            </w:pPr>
            <w:r w:rsidRPr="00BE729A">
              <w:rPr>
                <w:szCs w:val="24"/>
              </w:rPr>
              <w:t>Prašome pateikti argumentuotas pastabas ir/ar klausimus nurodant konkrečius punktus ir/ar teksto vietas.</w:t>
            </w:r>
          </w:p>
        </w:tc>
        <w:tc>
          <w:tcPr>
            <w:tcW w:w="2332" w:type="pct"/>
            <w:shd w:val="clear" w:color="auto" w:fill="auto"/>
          </w:tcPr>
          <w:p w14:paraId="3A6F5405" w14:textId="323B9C8D" w:rsidR="00BE729A" w:rsidRPr="00BE729A" w:rsidRDefault="00BE729A" w:rsidP="002735BB">
            <w:pPr>
              <w:tabs>
                <w:tab w:val="left" w:pos="426"/>
              </w:tabs>
              <w:contextualSpacing/>
              <w:jc w:val="both"/>
            </w:pPr>
            <w:r w:rsidRPr="00BE729A">
              <w:t>Kvalifikacijos reikalavimų 2.2. punkte nurodyta, kad Ekspertas Nr. 1 turi turėti galiojantį Viešųjų pirkimų specialisto pažymėjimą. Iš Techninėje specifikacijoje aprašytų Perkančiajai organizacijai reikalingų paslaugų nėra aišku, ar paslaugų tiekėjo ekspertams reikės dalyvauti viešųjų pirkimų komisijose, teikti dokumentus CVP IS sistemoje ir kodėl reikalaujama tiekėjų siūlomiems specialistams turėti Viešųjų pirkimų specialisto pažymėjimą, todėl Tiekėjas siūlo išimti šį perteklinį reikalavimą Ekspertui Nr. 1</w:t>
            </w:r>
          </w:p>
        </w:tc>
      </w:tr>
      <w:tr w:rsidR="00703F71" w:rsidRPr="0052495C" w14:paraId="00CA789B" w14:textId="77777777" w:rsidTr="00AA09C0">
        <w:trPr>
          <w:trHeight w:val="234"/>
        </w:trPr>
        <w:tc>
          <w:tcPr>
            <w:tcW w:w="2668" w:type="pct"/>
            <w:shd w:val="clear" w:color="auto" w:fill="auto"/>
          </w:tcPr>
          <w:p w14:paraId="5F0C99E2" w14:textId="77777777" w:rsidR="00703F71" w:rsidRDefault="00703F71" w:rsidP="00BE729A">
            <w:pPr>
              <w:jc w:val="both"/>
              <w:rPr>
                <w:szCs w:val="24"/>
              </w:rPr>
            </w:pPr>
          </w:p>
        </w:tc>
        <w:tc>
          <w:tcPr>
            <w:tcW w:w="2332" w:type="pct"/>
            <w:shd w:val="clear" w:color="auto" w:fill="auto"/>
          </w:tcPr>
          <w:p w14:paraId="017857BC" w14:textId="6D4FB9CD" w:rsidR="00703F71" w:rsidRPr="00ED68CB" w:rsidRDefault="00ED68CB" w:rsidP="00BE729A">
            <w:pPr>
              <w:tabs>
                <w:tab w:val="left" w:pos="426"/>
              </w:tabs>
              <w:contextualSpacing/>
              <w:rPr>
                <w:i/>
                <w:iCs/>
              </w:rPr>
            </w:pPr>
            <w:r w:rsidRPr="00ED68CB">
              <w:rPr>
                <w:i/>
                <w:iCs/>
              </w:rPr>
              <w:t>Perkančioji organizacija atsisako reikalavimo tiekėjų siūlomiems specialistams turėti Viešųjų pirkimų specialisto pažymėjimą.</w:t>
            </w:r>
          </w:p>
        </w:tc>
      </w:tr>
      <w:tr w:rsidR="00BE729A" w:rsidRPr="0052495C" w14:paraId="3853A3E4" w14:textId="77777777" w:rsidTr="00AA09C0">
        <w:trPr>
          <w:trHeight w:val="234"/>
        </w:trPr>
        <w:tc>
          <w:tcPr>
            <w:tcW w:w="2668" w:type="pct"/>
            <w:shd w:val="clear" w:color="auto" w:fill="auto"/>
          </w:tcPr>
          <w:p w14:paraId="32714E11" w14:textId="77777777" w:rsidR="00BE729A" w:rsidRPr="00BE729A" w:rsidRDefault="00BE729A" w:rsidP="00BE729A">
            <w:pPr>
              <w:jc w:val="both"/>
              <w:rPr>
                <w:szCs w:val="24"/>
              </w:rPr>
            </w:pPr>
            <w:r w:rsidRPr="00BE729A">
              <w:rPr>
                <w:szCs w:val="24"/>
              </w:rPr>
              <w:t>11. Kokie kvalifikaciniai reikalavimai, Jūsų nuomone, turėtų būti keliami pirkimo procedūroje ketinantiems dalyvauti tiekėjams?</w:t>
            </w:r>
          </w:p>
          <w:p w14:paraId="68946595" w14:textId="3FCCB8DE" w:rsidR="00BE729A" w:rsidRDefault="00BE729A" w:rsidP="00BE729A">
            <w:pPr>
              <w:jc w:val="both"/>
              <w:rPr>
                <w:szCs w:val="24"/>
              </w:rPr>
            </w:pPr>
            <w:r w:rsidRPr="00BE729A">
              <w:rPr>
                <w:szCs w:val="24"/>
              </w:rPr>
              <w:t>Prašome pateikti argumentuotą siūlymą nurodant konkrečius reikalavimus (kai siūlymas teikiamas).</w:t>
            </w:r>
          </w:p>
        </w:tc>
        <w:tc>
          <w:tcPr>
            <w:tcW w:w="2332" w:type="pct"/>
            <w:shd w:val="clear" w:color="auto" w:fill="auto"/>
          </w:tcPr>
          <w:p w14:paraId="2009F047" w14:textId="18C1373B" w:rsidR="00BE729A" w:rsidRPr="0052495C" w:rsidRDefault="00BE729A" w:rsidP="002735BB">
            <w:pPr>
              <w:tabs>
                <w:tab w:val="left" w:pos="426"/>
              </w:tabs>
              <w:contextualSpacing/>
              <w:jc w:val="both"/>
            </w:pPr>
            <w:r w:rsidRPr="00BE729A">
              <w:t>Kvalifikacijos reikalavimuose dabar yra nurodyta, kad „Tiekėjas per pastaruosius 3 (trejus) metus iki pasiūlymų pateikimo termino pabaigos arba per laiką nuo tiekėjo įregistravimo dienos (jei tiekėjas vykdė veiklą trumpiau nei 3 (trejus) metus) pagal vieną ar daugiau sutarčių savo jėgomis yra suteikęs konsultacines ir (ar) ekspertines paslaugas viešųjų pirkimų srityje, kurių vertė yra ne mažesnė kaip 35 000 (trisdešimt penki tūkstančiai) eurų be PVM.“ Jei kiekvienas tiekėjas kartu su pasiūlymu pateiks bent po 5-6 sutartis ir tiek pat užsakovų pažymų, toks reikalavimas ne tik apsunkins tiekėjų pasiūlymų rengimą, nes reikės susisiekti su užsakovais arba ieškoti apskaitos dokumentų ir pan., bet taip tokios informacijos apdorojimas užims daug perkančiosios organizacijos darbuotojų laiko. Taip pat, tikėtina, kad šiuo reikalavimu sumažinama galimybę Pirkime dalyvauti kuo didesniam skaičiui dalyvių, tuo mažinant konkurenciją. Todėl Tiekėjas siūlo planuojamo pirkimo kvalifikacijos reikalavimų 1 punkto atitikties pagrindimui nereikalauti pateikti užsakovo pažymų arba sutarties šalių pasirašytų perdavimo - priėmimo akto kopijų arba kitų lygiaverčių dokumentų, o nustatyti, kad užsakovų (paslaugų gavėjų) informacijos apie tinkamą sutarčių vykdymą, CPO LT reikalaus savo nuožiūra arba kilus įtarimui, kvalifikacijos reikalavimų atitiktį pagrindžiančių dokumentų</w:t>
            </w:r>
            <w:r>
              <w:t xml:space="preserve"> </w:t>
            </w:r>
            <w:r w:rsidRPr="00BE729A">
              <w:t>skiltyje nurodant tokią ar panašią formuluotę: „Perkančioji organizacija turi teisę reikalauti pateikti papildomus dokumentus ir įrodymus dėl tiekėjo pateikiamų duomenų arba kreiptis dėl šios informacijos patikrinimo į trečiuosius asmenis.“</w:t>
            </w:r>
          </w:p>
        </w:tc>
      </w:tr>
      <w:tr w:rsidR="00703F71" w:rsidRPr="0052495C" w14:paraId="71350B6B" w14:textId="77777777" w:rsidTr="00AA09C0">
        <w:trPr>
          <w:trHeight w:val="234"/>
        </w:trPr>
        <w:tc>
          <w:tcPr>
            <w:tcW w:w="2668" w:type="pct"/>
            <w:shd w:val="clear" w:color="auto" w:fill="auto"/>
          </w:tcPr>
          <w:p w14:paraId="255260D9" w14:textId="77777777" w:rsidR="00703F71" w:rsidRPr="00BE729A" w:rsidRDefault="00703F71" w:rsidP="00BE729A">
            <w:pPr>
              <w:jc w:val="both"/>
              <w:rPr>
                <w:szCs w:val="24"/>
              </w:rPr>
            </w:pPr>
          </w:p>
        </w:tc>
        <w:tc>
          <w:tcPr>
            <w:tcW w:w="2332" w:type="pct"/>
            <w:shd w:val="clear" w:color="auto" w:fill="auto"/>
          </w:tcPr>
          <w:p w14:paraId="645A2472" w14:textId="3766CF2F" w:rsidR="00703F71" w:rsidRPr="008D5AA3" w:rsidRDefault="00E36F13" w:rsidP="002735BB">
            <w:pPr>
              <w:tabs>
                <w:tab w:val="left" w:pos="426"/>
              </w:tabs>
              <w:contextualSpacing/>
              <w:jc w:val="both"/>
              <w:rPr>
                <w:i/>
                <w:iCs/>
              </w:rPr>
            </w:pPr>
            <w:r w:rsidRPr="00E36F13">
              <w:rPr>
                <w:i/>
                <w:iCs/>
              </w:rPr>
              <w:t>Tiekėjo kvalifikacijos reikalavimų nustatymo metodikoje nurodyta, kad Pirkimo vykdytojas gali reikalauti kartu pateikti užsakovų pažymas, kuriose būtų nurodytos suteiktų paslaugų bendros sumos, datos, paslaugų gavėjai, ar paslaugos buvo suteiktos tinkamai.</w:t>
            </w:r>
            <w:r>
              <w:rPr>
                <w:i/>
                <w:iCs/>
              </w:rPr>
              <w:t xml:space="preserve"> Juo labiau, </w:t>
            </w:r>
            <w:r w:rsidRPr="00E36F13">
              <w:rPr>
                <w:i/>
                <w:iCs/>
              </w:rPr>
              <w:t>prašoma suma, t</w:t>
            </w:r>
            <w:r>
              <w:rPr>
                <w:i/>
                <w:iCs/>
              </w:rPr>
              <w:t xml:space="preserve"> </w:t>
            </w:r>
            <w:r w:rsidRPr="00E36F13">
              <w:rPr>
                <w:i/>
                <w:iCs/>
              </w:rPr>
              <w:t>.y. 35</w:t>
            </w:r>
            <w:r>
              <w:rPr>
                <w:i/>
                <w:iCs/>
              </w:rPr>
              <w:t> </w:t>
            </w:r>
            <w:r w:rsidRPr="00E36F13">
              <w:rPr>
                <w:i/>
                <w:iCs/>
              </w:rPr>
              <w:t>000</w:t>
            </w:r>
            <w:r>
              <w:rPr>
                <w:i/>
                <w:iCs/>
              </w:rPr>
              <w:t>,00 Eur, nėra</w:t>
            </w:r>
            <w:r w:rsidRPr="00E36F13">
              <w:rPr>
                <w:i/>
                <w:iCs/>
              </w:rPr>
              <w:t xml:space="preserve"> tokia didelė, kad teikiamos paslaugos tu</w:t>
            </w:r>
            <w:r>
              <w:rPr>
                <w:i/>
                <w:iCs/>
              </w:rPr>
              <w:t>rėtų</w:t>
            </w:r>
            <w:r w:rsidRPr="00E36F13">
              <w:rPr>
                <w:i/>
                <w:iCs/>
              </w:rPr>
              <w:t xml:space="preserve"> būti grindžiamos </w:t>
            </w:r>
            <w:r>
              <w:rPr>
                <w:i/>
                <w:iCs/>
              </w:rPr>
              <w:t xml:space="preserve">bent </w:t>
            </w:r>
            <w:r w:rsidRPr="00E36F13">
              <w:rPr>
                <w:i/>
                <w:iCs/>
              </w:rPr>
              <w:t xml:space="preserve">5-6 sutartimis. </w:t>
            </w:r>
            <w:r>
              <w:rPr>
                <w:i/>
                <w:iCs/>
              </w:rPr>
              <w:t xml:space="preserve"> </w:t>
            </w:r>
            <w:r w:rsidR="008D5AA3" w:rsidRPr="008D5AA3">
              <w:rPr>
                <w:i/>
                <w:iCs/>
              </w:rPr>
              <w:t xml:space="preserve">Perkančioji organizacija </w:t>
            </w:r>
            <w:r>
              <w:rPr>
                <w:i/>
                <w:iCs/>
              </w:rPr>
              <w:t xml:space="preserve">neatsisako nustatyto </w:t>
            </w:r>
            <w:r w:rsidR="008D5AA3" w:rsidRPr="008D5AA3">
              <w:rPr>
                <w:i/>
                <w:iCs/>
              </w:rPr>
              <w:t xml:space="preserve"> reikalavim</w:t>
            </w:r>
            <w:r>
              <w:rPr>
                <w:i/>
                <w:iCs/>
              </w:rPr>
              <w:t xml:space="preserve">o pateikti užsakovų pažymas. </w:t>
            </w:r>
          </w:p>
        </w:tc>
      </w:tr>
      <w:tr w:rsidR="00BE729A" w:rsidRPr="0052495C" w14:paraId="733BC5D5" w14:textId="77777777" w:rsidTr="00AA09C0">
        <w:trPr>
          <w:trHeight w:val="234"/>
        </w:trPr>
        <w:tc>
          <w:tcPr>
            <w:tcW w:w="2668" w:type="pct"/>
            <w:shd w:val="clear" w:color="auto" w:fill="auto"/>
          </w:tcPr>
          <w:p w14:paraId="7FC9A94F" w14:textId="2666E445" w:rsidR="00BE729A" w:rsidRDefault="00BE729A" w:rsidP="00BE729A">
            <w:pPr>
              <w:jc w:val="both"/>
              <w:rPr>
                <w:szCs w:val="24"/>
              </w:rPr>
            </w:pPr>
            <w:r>
              <w:rPr>
                <w:szCs w:val="24"/>
              </w:rPr>
              <w:t xml:space="preserve">12. </w:t>
            </w:r>
            <w:r w:rsidRPr="006E012D">
              <w:rPr>
                <w:szCs w:val="24"/>
              </w:rPr>
              <w:t xml:space="preserve">Nurodykite, kokia būtų preliminari kaina/įkainiai? </w:t>
            </w:r>
          </w:p>
        </w:tc>
        <w:tc>
          <w:tcPr>
            <w:tcW w:w="2332" w:type="pct"/>
            <w:shd w:val="clear" w:color="auto" w:fill="auto"/>
          </w:tcPr>
          <w:p w14:paraId="76714A49" w14:textId="5C84ECB9" w:rsidR="00BE729A" w:rsidRPr="00DB64AA" w:rsidRDefault="00DB64AA" w:rsidP="00BE729A">
            <w:pPr>
              <w:tabs>
                <w:tab w:val="left" w:pos="426"/>
              </w:tabs>
              <w:contextualSpacing/>
              <w:rPr>
                <w:i/>
                <w:iCs/>
              </w:rPr>
            </w:pPr>
            <w:r w:rsidRPr="00DB64AA">
              <w:rPr>
                <w:i/>
                <w:iCs/>
              </w:rPr>
              <w:t>Neskelbiama</w:t>
            </w:r>
          </w:p>
        </w:tc>
      </w:tr>
      <w:tr w:rsidR="00BE729A" w:rsidRPr="0052495C" w14:paraId="2CA17BEF" w14:textId="77777777" w:rsidTr="00AA09C0">
        <w:trPr>
          <w:trHeight w:val="234"/>
        </w:trPr>
        <w:tc>
          <w:tcPr>
            <w:tcW w:w="2668" w:type="pct"/>
            <w:shd w:val="clear" w:color="auto" w:fill="auto"/>
          </w:tcPr>
          <w:p w14:paraId="32A881C5" w14:textId="69E90F12" w:rsidR="00BE729A" w:rsidRDefault="00BE729A" w:rsidP="00BE729A">
            <w:pPr>
              <w:jc w:val="both"/>
              <w:rPr>
                <w:szCs w:val="24"/>
              </w:rPr>
            </w:pPr>
            <w:r w:rsidRPr="00BE729A">
              <w:rPr>
                <w:szCs w:val="24"/>
              </w:rPr>
              <w:t>13. Ar nurodyta sutarties vertė yra pakankama, atsižvelgiant į nurodytus preliminarius kiekius?</w:t>
            </w:r>
          </w:p>
        </w:tc>
        <w:tc>
          <w:tcPr>
            <w:tcW w:w="2332" w:type="pct"/>
            <w:shd w:val="clear" w:color="auto" w:fill="auto"/>
          </w:tcPr>
          <w:p w14:paraId="058724F5" w14:textId="168493BB" w:rsidR="00BE729A" w:rsidRPr="0052495C" w:rsidRDefault="00BE729A" w:rsidP="0030270D">
            <w:pPr>
              <w:tabs>
                <w:tab w:val="left" w:pos="426"/>
              </w:tabs>
              <w:contextualSpacing/>
              <w:jc w:val="both"/>
            </w:pPr>
            <w:r w:rsidRPr="00BE729A">
              <w:t>Atsižvelgiant į nurodytus preliminarius kiekius, vertinant, kad paslaugos bus susiję su Lietuvos Respublikos ir Europos Sąjungos viešųjų pirkimų teisės aiškinimu ir taikymu, sutarties vertė nėra pakankama.</w:t>
            </w:r>
          </w:p>
        </w:tc>
      </w:tr>
      <w:tr w:rsidR="00DB349F" w:rsidRPr="0052495C" w14:paraId="1EFCC5E0" w14:textId="77777777" w:rsidTr="00AA09C0">
        <w:trPr>
          <w:trHeight w:val="234"/>
        </w:trPr>
        <w:tc>
          <w:tcPr>
            <w:tcW w:w="2668" w:type="pct"/>
            <w:shd w:val="clear" w:color="auto" w:fill="auto"/>
          </w:tcPr>
          <w:p w14:paraId="65483CB9" w14:textId="77777777" w:rsidR="00DB349F" w:rsidRDefault="00DB349F" w:rsidP="00BE729A">
            <w:pPr>
              <w:jc w:val="both"/>
              <w:rPr>
                <w:szCs w:val="24"/>
              </w:rPr>
            </w:pPr>
          </w:p>
        </w:tc>
        <w:tc>
          <w:tcPr>
            <w:tcW w:w="2332" w:type="pct"/>
            <w:shd w:val="clear" w:color="auto" w:fill="auto"/>
          </w:tcPr>
          <w:p w14:paraId="1F4E6EC9" w14:textId="56133979" w:rsidR="00DB349F" w:rsidRPr="00DB349F" w:rsidRDefault="00C755A9" w:rsidP="00BE729A">
            <w:pPr>
              <w:tabs>
                <w:tab w:val="left" w:pos="426"/>
              </w:tabs>
              <w:contextualSpacing/>
              <w:rPr>
                <w:i/>
                <w:iCs/>
              </w:rPr>
            </w:pPr>
            <w:r>
              <w:rPr>
                <w:i/>
                <w:iCs/>
              </w:rPr>
              <w:t>Atsižvelgiant į pastabą, p</w:t>
            </w:r>
            <w:r w:rsidR="00DB349F" w:rsidRPr="00DB349F">
              <w:rPr>
                <w:i/>
                <w:iCs/>
              </w:rPr>
              <w:t xml:space="preserve">reliminarūs kiekiai bus patikslinti </w:t>
            </w:r>
          </w:p>
        </w:tc>
      </w:tr>
      <w:tr w:rsidR="00BE729A" w:rsidRPr="0052495C" w14:paraId="49782407" w14:textId="77777777" w:rsidTr="00AA09C0">
        <w:trPr>
          <w:trHeight w:val="234"/>
        </w:trPr>
        <w:tc>
          <w:tcPr>
            <w:tcW w:w="2668" w:type="pct"/>
            <w:shd w:val="clear" w:color="auto" w:fill="auto"/>
          </w:tcPr>
          <w:p w14:paraId="44664591" w14:textId="400D6D0A" w:rsidR="00BE729A" w:rsidRDefault="00BE729A" w:rsidP="00BE729A">
            <w:pPr>
              <w:jc w:val="both"/>
              <w:rPr>
                <w:szCs w:val="24"/>
              </w:rPr>
            </w:pPr>
            <w:r>
              <w:rPr>
                <w:szCs w:val="24"/>
              </w:rPr>
              <w:t>14.</w:t>
            </w:r>
            <w:r w:rsidRPr="006E012D">
              <w:rPr>
                <w:szCs w:val="24"/>
              </w:rPr>
              <w:t xml:space="preserve"> Kiti siūlymai ir pastebėjimai</w:t>
            </w:r>
          </w:p>
        </w:tc>
        <w:tc>
          <w:tcPr>
            <w:tcW w:w="2332" w:type="pct"/>
            <w:shd w:val="clear" w:color="auto" w:fill="auto"/>
          </w:tcPr>
          <w:p w14:paraId="5A4B89FD" w14:textId="77777777" w:rsidR="00BE729A" w:rsidRDefault="00BE729A" w:rsidP="003C6C1A">
            <w:pPr>
              <w:tabs>
                <w:tab w:val="left" w:pos="426"/>
              </w:tabs>
              <w:contextualSpacing/>
              <w:jc w:val="both"/>
            </w:pPr>
            <w:r>
              <w:t>1.Kadangi Pirkime bus perkamos paslaugos, susijusios su Lietuvos pirmininkavimu vienam svarbiausių Europos Sąjungos valdymo organų, ES Tarybai, bei atsižvelgiant į tai, kad siekiama, kad pirkimą vykdytų profesionalūs ir atsakingi specialistai, orientuoti į kokybiškas ir tvarias paslaugas (kaip Techninėje specifikacijoje nurodyta, kad bus poreikis atlikti „rizikų valdymą viešųjų pirkimų procese, gebėti pasiūlyti „konkrečių viešųjų pirkimų plano sudarymą, įgyvendinimo grafiko parengimą ir priežiūrą“ ir kitų valdymo įrankių), Tiekėjas siūlo Pirkime taip pat vertinti tiekėjų atitiktį kokybės vadybos valdymui. Todėl Tiekėjas siūlo nustatyti kvalifikacijos reikalavimą tiekėjams būti įsidiegus kokybės vadybos ISO 9001:2015 sertifikatą arba savo veikloje vadovautis kita lygiaverte paslaugų teikimo kokybės valdymo sistemą ir kvalifikacijos atitikimui pateiki ISO 9001:2015 sertifikato kopiją arba kitų lygiaverčių kokybės vadybos užtikrinimo priemonių naudojimą savo veikloje patvirtinančių dokumentų kopijas.</w:t>
            </w:r>
          </w:p>
          <w:p w14:paraId="1EF98561" w14:textId="77777777" w:rsidR="00BE729A" w:rsidRDefault="00BE729A" w:rsidP="0030270D">
            <w:pPr>
              <w:tabs>
                <w:tab w:val="left" w:pos="426"/>
              </w:tabs>
              <w:contextualSpacing/>
              <w:jc w:val="both"/>
            </w:pPr>
            <w:r>
              <w:t>2.Nors sutarties projekte yra standartiškai nurodyta, kad perkama „tik nematerialaus pobūdžio (intelektinė) paslauga, nesusijusi su materialaus objekto sukūrimu, kurios teikimo metu nėra numatomas reikšmingas neigiamas poveikis aplinkai, nesukuriamas taršos šaltinis ir negeneruojamos atliekos“, vadovaujantis siekiu vykdyti žalius pirkimus, Tiekėjas siūlo įtraukti kvalifikacijos reikalavimą tiekėjui turėti ir pateikti ISO 14001:2015 aplinkos apsaugos vadybos sertifikato kopiją arba kitų lygiaverčių aplinkos apsaugos vadybos užtikrinimo priemonių naudojimą savo veikloje patvirtinančių dokumentų kopijas.</w:t>
            </w:r>
          </w:p>
          <w:p w14:paraId="2287A957" w14:textId="28B62BB2" w:rsidR="00BE729A" w:rsidRPr="0052495C" w:rsidRDefault="00BE729A" w:rsidP="0030270D">
            <w:pPr>
              <w:tabs>
                <w:tab w:val="left" w:pos="426"/>
              </w:tabs>
              <w:contextualSpacing/>
              <w:jc w:val="both"/>
            </w:pPr>
            <w:r>
              <w:t xml:space="preserve">3.Tiekėjas siūlo Pirkime nekelti reikalavimo užtikrinti pasiūlymo galiojimą ir/arba sutarties vykdymą banko garantija, draudimo bendrovės laidavimo raštu ar užstatu, nes tai ne tik ištęsia pasiūlymų rengimo laiką (tiekėjai turi skirti laiko ir pajėgumų užtikrinimo dokumentų gavimui), bet ir </w:t>
            </w:r>
            <w:r w:rsidRPr="00BE729A">
              <w:t>sudaro papildomas tiekėjų išlaidas, kurios, tikėtina, gali išbranginti pasiūlymus.</w:t>
            </w:r>
          </w:p>
        </w:tc>
      </w:tr>
      <w:tr w:rsidR="00703F71" w:rsidRPr="0052495C" w14:paraId="2AAAA2DD" w14:textId="77777777" w:rsidTr="00AA09C0">
        <w:trPr>
          <w:trHeight w:val="234"/>
        </w:trPr>
        <w:tc>
          <w:tcPr>
            <w:tcW w:w="2668" w:type="pct"/>
            <w:shd w:val="clear" w:color="auto" w:fill="auto"/>
          </w:tcPr>
          <w:p w14:paraId="0B1A15D2" w14:textId="77777777" w:rsidR="00703F71" w:rsidRDefault="00703F71" w:rsidP="00BE729A">
            <w:pPr>
              <w:jc w:val="both"/>
              <w:rPr>
                <w:szCs w:val="24"/>
              </w:rPr>
            </w:pPr>
          </w:p>
        </w:tc>
        <w:tc>
          <w:tcPr>
            <w:tcW w:w="2332" w:type="pct"/>
            <w:shd w:val="clear" w:color="auto" w:fill="auto"/>
          </w:tcPr>
          <w:p w14:paraId="5836CCF2" w14:textId="100502D5" w:rsidR="00703F71" w:rsidRPr="00AA52D5" w:rsidRDefault="008D5AA3" w:rsidP="002735BB">
            <w:pPr>
              <w:tabs>
                <w:tab w:val="left" w:pos="426"/>
              </w:tabs>
              <w:jc w:val="both"/>
              <w:rPr>
                <w:i/>
                <w:iCs/>
              </w:rPr>
            </w:pPr>
            <w:r w:rsidRPr="00AA52D5">
              <w:rPr>
                <w:i/>
                <w:iCs/>
              </w:rPr>
              <w:t xml:space="preserve">1. Perkančioji organizacija nenumato taikyti kvalifikacijos reikalavimo tiekėjams būti įsidiegus kokybės vadybos ISO 9001:2015 sertifikatą, nes toks reikalavimas gali riboti konkurenciją. </w:t>
            </w:r>
          </w:p>
          <w:p w14:paraId="56D3EA69" w14:textId="77777777" w:rsidR="008D5AA3" w:rsidRPr="00AA52D5" w:rsidRDefault="008D5AA3" w:rsidP="002735BB">
            <w:pPr>
              <w:tabs>
                <w:tab w:val="left" w:pos="426"/>
              </w:tabs>
              <w:jc w:val="both"/>
              <w:rPr>
                <w:i/>
                <w:iCs/>
              </w:rPr>
            </w:pPr>
            <w:r w:rsidRPr="00AA52D5">
              <w:rPr>
                <w:i/>
                <w:iCs/>
              </w:rPr>
              <w:t>2. Perkančioji organizacija nenumato taikyti kvalifikacijos reikalavimo tiekėjams turėti ir pateikti ISO 14001:2015 aplinkos apsaugos vadybos sertifikato, nes toks reikalavimas gali riboti konkurenciją.</w:t>
            </w:r>
          </w:p>
          <w:p w14:paraId="02C3C008" w14:textId="0A583B67" w:rsidR="00AA52D5" w:rsidRDefault="00AA52D5" w:rsidP="002735BB">
            <w:pPr>
              <w:tabs>
                <w:tab w:val="left" w:pos="426"/>
              </w:tabs>
              <w:jc w:val="both"/>
            </w:pPr>
            <w:r w:rsidRPr="00AA52D5">
              <w:rPr>
                <w:i/>
                <w:iCs/>
              </w:rPr>
              <w:t xml:space="preserve">3. </w:t>
            </w:r>
            <w:r w:rsidR="00F33785" w:rsidRPr="00F33785">
              <w:rPr>
                <w:i/>
                <w:iCs/>
              </w:rPr>
              <w:t>Perkančioji organizacija</w:t>
            </w:r>
            <w:r w:rsidRPr="00AA52D5">
              <w:rPr>
                <w:i/>
                <w:iCs/>
              </w:rPr>
              <w:t xml:space="preserve"> nenumato kelti reikalavimo užtikrinti pasiūlymo galiojimą ir/arba sutarties vykdymą banko garantija, draudimo bendrovės laidavimo raštu ar užstatu.</w:t>
            </w:r>
            <w:r>
              <w:t xml:space="preserve"> </w:t>
            </w:r>
          </w:p>
        </w:tc>
      </w:tr>
    </w:tbl>
    <w:p w14:paraId="2BD79012" w14:textId="77777777" w:rsidR="00B074BA" w:rsidRPr="0052495C" w:rsidRDefault="00B074BA" w:rsidP="00AA09C0">
      <w:pPr>
        <w:jc w:val="both"/>
        <w:rPr>
          <w:bCs/>
          <w:szCs w:val="24"/>
        </w:rPr>
      </w:pPr>
    </w:p>
    <w:p w14:paraId="0329E787" w14:textId="759A4557" w:rsidR="00604013" w:rsidRPr="002D2CFF" w:rsidRDefault="00242CA1" w:rsidP="00242CA1">
      <w:pPr>
        <w:jc w:val="both"/>
        <w:rPr>
          <w:rFonts w:ascii="Jost" w:hAnsi="Jost"/>
          <w:bCs/>
          <w:color w:val="7F7F7F" w:themeColor="text1" w:themeTint="80"/>
          <w:szCs w:val="24"/>
        </w:rPr>
      </w:pPr>
      <w:r w:rsidRPr="002D2CFF">
        <w:rPr>
          <w:rFonts w:ascii="Jost" w:hAnsi="Jost"/>
          <w:color w:val="7F7F7F" w:themeColor="text1" w:themeTint="80"/>
        </w:rPr>
        <w:br/>
      </w:r>
    </w:p>
    <w:sectPr w:rsidR="00604013" w:rsidRPr="002D2CFF" w:rsidSect="00FF507C">
      <w:headerReference w:type="default" r:id="rId7"/>
      <w:pgSz w:w="11906" w:h="17338"/>
      <w:pgMar w:top="993" w:right="900" w:bottom="851"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75E0" w14:textId="77777777" w:rsidR="00AA6910" w:rsidRDefault="00AA6910" w:rsidP="00226548">
      <w:r>
        <w:separator/>
      </w:r>
    </w:p>
  </w:endnote>
  <w:endnote w:type="continuationSeparator" w:id="0">
    <w:p w14:paraId="2CFAAE92" w14:textId="77777777" w:rsidR="00AA6910" w:rsidRDefault="00AA6910"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2DF9" w14:textId="77777777" w:rsidR="00AA6910" w:rsidRDefault="00AA6910" w:rsidP="00226548">
      <w:r>
        <w:separator/>
      </w:r>
    </w:p>
  </w:footnote>
  <w:footnote w:type="continuationSeparator" w:id="0">
    <w:p w14:paraId="2D43076D" w14:textId="77777777" w:rsidR="00AA6910" w:rsidRDefault="00AA6910" w:rsidP="002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5AF8" w14:textId="1D6A81F5" w:rsidR="00226548" w:rsidRDefault="0048579F">
    <w:pPr>
      <w:pStyle w:val="Header"/>
    </w:pPr>
    <w:r>
      <w:rPr>
        <w:rFonts w:ascii="Nunito Sans" w:hAnsi="Nunito Sans" w:cs="Arial"/>
        <w:noProof/>
        <w:color w:val="515365"/>
        <w:sz w:val="20"/>
        <w:szCs w:val="20"/>
      </w:rPr>
      <w:drawing>
        <wp:inline distT="0" distB="0" distL="0" distR="0" wp14:anchorId="1A08514C" wp14:editId="4C239A6A">
          <wp:extent cx="1248229" cy="512485"/>
          <wp:effectExtent l="0" t="0" r="0" b="0"/>
          <wp:docPr id="1271385627" name="Picture 1271385627" descr="A black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circles&#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1B2734"/>
    <w:multiLevelType w:val="hybridMultilevel"/>
    <w:tmpl w:val="AD52B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8994336">
    <w:abstractNumId w:val="0"/>
  </w:num>
  <w:num w:numId="2" w16cid:durableId="165560919">
    <w:abstractNumId w:val="1"/>
  </w:num>
  <w:num w:numId="3" w16cid:durableId="914778417">
    <w:abstractNumId w:val="2"/>
  </w:num>
  <w:num w:numId="4" w16cid:durableId="157234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42EC5"/>
    <w:rsid w:val="00053C34"/>
    <w:rsid w:val="0005491F"/>
    <w:rsid w:val="00055868"/>
    <w:rsid w:val="00064284"/>
    <w:rsid w:val="00071535"/>
    <w:rsid w:val="00080FB1"/>
    <w:rsid w:val="00085546"/>
    <w:rsid w:val="00092F5D"/>
    <w:rsid w:val="000934E9"/>
    <w:rsid w:val="000A29DC"/>
    <w:rsid w:val="000B5BF6"/>
    <w:rsid w:val="000C69F5"/>
    <w:rsid w:val="000D113B"/>
    <w:rsid w:val="000D1F36"/>
    <w:rsid w:val="000D3801"/>
    <w:rsid w:val="000D7ECA"/>
    <w:rsid w:val="000F5FBF"/>
    <w:rsid w:val="00101118"/>
    <w:rsid w:val="00105A24"/>
    <w:rsid w:val="00111481"/>
    <w:rsid w:val="0011731A"/>
    <w:rsid w:val="00122CE2"/>
    <w:rsid w:val="00123104"/>
    <w:rsid w:val="001241A7"/>
    <w:rsid w:val="00131060"/>
    <w:rsid w:val="00131B4B"/>
    <w:rsid w:val="00137661"/>
    <w:rsid w:val="001566A4"/>
    <w:rsid w:val="0016494E"/>
    <w:rsid w:val="001663DD"/>
    <w:rsid w:val="00167B23"/>
    <w:rsid w:val="0017550B"/>
    <w:rsid w:val="0017741B"/>
    <w:rsid w:val="00181BCB"/>
    <w:rsid w:val="00182A0B"/>
    <w:rsid w:val="0018354C"/>
    <w:rsid w:val="001930A6"/>
    <w:rsid w:val="0019735F"/>
    <w:rsid w:val="001A46B5"/>
    <w:rsid w:val="001A4E04"/>
    <w:rsid w:val="001B3148"/>
    <w:rsid w:val="001D5E77"/>
    <w:rsid w:val="001F5F89"/>
    <w:rsid w:val="001F5FDC"/>
    <w:rsid w:val="00201ABB"/>
    <w:rsid w:val="00206EFC"/>
    <w:rsid w:val="00212F02"/>
    <w:rsid w:val="00213765"/>
    <w:rsid w:val="00226548"/>
    <w:rsid w:val="0023302F"/>
    <w:rsid w:val="00235D92"/>
    <w:rsid w:val="002366AD"/>
    <w:rsid w:val="00242CA1"/>
    <w:rsid w:val="0024577A"/>
    <w:rsid w:val="00247520"/>
    <w:rsid w:val="0025064F"/>
    <w:rsid w:val="00251F67"/>
    <w:rsid w:val="002619B6"/>
    <w:rsid w:val="00271ABC"/>
    <w:rsid w:val="00272E35"/>
    <w:rsid w:val="002735BB"/>
    <w:rsid w:val="0027435E"/>
    <w:rsid w:val="0028083A"/>
    <w:rsid w:val="00290942"/>
    <w:rsid w:val="00293C51"/>
    <w:rsid w:val="00295426"/>
    <w:rsid w:val="002B4B02"/>
    <w:rsid w:val="002C04D2"/>
    <w:rsid w:val="002C184B"/>
    <w:rsid w:val="002C3198"/>
    <w:rsid w:val="002C388A"/>
    <w:rsid w:val="002D01D1"/>
    <w:rsid w:val="002D2CFF"/>
    <w:rsid w:val="002D7A04"/>
    <w:rsid w:val="002E0D21"/>
    <w:rsid w:val="002E63C9"/>
    <w:rsid w:val="002F1E02"/>
    <w:rsid w:val="002F5E06"/>
    <w:rsid w:val="0030270D"/>
    <w:rsid w:val="00302BA3"/>
    <w:rsid w:val="00324C9C"/>
    <w:rsid w:val="0033312B"/>
    <w:rsid w:val="00343047"/>
    <w:rsid w:val="00362A09"/>
    <w:rsid w:val="00366CB3"/>
    <w:rsid w:val="00367CAD"/>
    <w:rsid w:val="00390180"/>
    <w:rsid w:val="00394B81"/>
    <w:rsid w:val="00396FA2"/>
    <w:rsid w:val="003A32D7"/>
    <w:rsid w:val="003A392B"/>
    <w:rsid w:val="003C3393"/>
    <w:rsid w:val="003C6C1A"/>
    <w:rsid w:val="003D4489"/>
    <w:rsid w:val="003D537F"/>
    <w:rsid w:val="003D70AF"/>
    <w:rsid w:val="003D7BB5"/>
    <w:rsid w:val="003E0EA6"/>
    <w:rsid w:val="003E35E3"/>
    <w:rsid w:val="003F0448"/>
    <w:rsid w:val="003F328D"/>
    <w:rsid w:val="00411710"/>
    <w:rsid w:val="004118A7"/>
    <w:rsid w:val="00416612"/>
    <w:rsid w:val="00416EC4"/>
    <w:rsid w:val="00423A6B"/>
    <w:rsid w:val="004330D5"/>
    <w:rsid w:val="004338EA"/>
    <w:rsid w:val="0044000D"/>
    <w:rsid w:val="00461EF6"/>
    <w:rsid w:val="004702DD"/>
    <w:rsid w:val="00470525"/>
    <w:rsid w:val="004722AD"/>
    <w:rsid w:val="00472D59"/>
    <w:rsid w:val="0048579F"/>
    <w:rsid w:val="00492F19"/>
    <w:rsid w:val="00494C3C"/>
    <w:rsid w:val="00496B94"/>
    <w:rsid w:val="0049753F"/>
    <w:rsid w:val="004A0C60"/>
    <w:rsid w:val="004A261F"/>
    <w:rsid w:val="004A414E"/>
    <w:rsid w:val="004A4BD1"/>
    <w:rsid w:val="004B5752"/>
    <w:rsid w:val="004B5C05"/>
    <w:rsid w:val="004C40BD"/>
    <w:rsid w:val="004E2DCD"/>
    <w:rsid w:val="004E65A2"/>
    <w:rsid w:val="004E68FF"/>
    <w:rsid w:val="004F0CB3"/>
    <w:rsid w:val="004F3E27"/>
    <w:rsid w:val="004F5E58"/>
    <w:rsid w:val="004F6515"/>
    <w:rsid w:val="00504605"/>
    <w:rsid w:val="00511B21"/>
    <w:rsid w:val="00512832"/>
    <w:rsid w:val="0051633A"/>
    <w:rsid w:val="005174F6"/>
    <w:rsid w:val="0052495C"/>
    <w:rsid w:val="00526474"/>
    <w:rsid w:val="00534615"/>
    <w:rsid w:val="0054186D"/>
    <w:rsid w:val="0054329C"/>
    <w:rsid w:val="005460B1"/>
    <w:rsid w:val="00552CD3"/>
    <w:rsid w:val="00563614"/>
    <w:rsid w:val="00567321"/>
    <w:rsid w:val="00577A5B"/>
    <w:rsid w:val="00581314"/>
    <w:rsid w:val="00584F9B"/>
    <w:rsid w:val="00591AE9"/>
    <w:rsid w:val="00591FC5"/>
    <w:rsid w:val="005A40D0"/>
    <w:rsid w:val="005A50EA"/>
    <w:rsid w:val="005B2653"/>
    <w:rsid w:val="005C45CF"/>
    <w:rsid w:val="005C6BFE"/>
    <w:rsid w:val="005D1E8F"/>
    <w:rsid w:val="005D3C4E"/>
    <w:rsid w:val="005D5C0D"/>
    <w:rsid w:val="005E0E08"/>
    <w:rsid w:val="005E2D64"/>
    <w:rsid w:val="00604013"/>
    <w:rsid w:val="00605B62"/>
    <w:rsid w:val="006065B6"/>
    <w:rsid w:val="006111AA"/>
    <w:rsid w:val="00617639"/>
    <w:rsid w:val="0062075B"/>
    <w:rsid w:val="00622F39"/>
    <w:rsid w:val="006277C0"/>
    <w:rsid w:val="0064274E"/>
    <w:rsid w:val="0064631E"/>
    <w:rsid w:val="0064758F"/>
    <w:rsid w:val="00653442"/>
    <w:rsid w:val="00654111"/>
    <w:rsid w:val="00662C06"/>
    <w:rsid w:val="00684DD7"/>
    <w:rsid w:val="00691C26"/>
    <w:rsid w:val="00694B38"/>
    <w:rsid w:val="006A2369"/>
    <w:rsid w:val="006A30E2"/>
    <w:rsid w:val="006A464C"/>
    <w:rsid w:val="006A5C7C"/>
    <w:rsid w:val="006B070A"/>
    <w:rsid w:val="006B373F"/>
    <w:rsid w:val="006C34E0"/>
    <w:rsid w:val="006C46DD"/>
    <w:rsid w:val="006D31FB"/>
    <w:rsid w:val="006D5EAB"/>
    <w:rsid w:val="006D7105"/>
    <w:rsid w:val="006E1697"/>
    <w:rsid w:val="006E2F9F"/>
    <w:rsid w:val="006E68DC"/>
    <w:rsid w:val="006E6C40"/>
    <w:rsid w:val="006E6DFD"/>
    <w:rsid w:val="006F0312"/>
    <w:rsid w:val="00703F71"/>
    <w:rsid w:val="00710EED"/>
    <w:rsid w:val="00711886"/>
    <w:rsid w:val="007169FC"/>
    <w:rsid w:val="007201E7"/>
    <w:rsid w:val="007266BD"/>
    <w:rsid w:val="0072731D"/>
    <w:rsid w:val="007331D2"/>
    <w:rsid w:val="007332B9"/>
    <w:rsid w:val="0074027E"/>
    <w:rsid w:val="007423B1"/>
    <w:rsid w:val="00743043"/>
    <w:rsid w:val="007641A9"/>
    <w:rsid w:val="00764954"/>
    <w:rsid w:val="00771487"/>
    <w:rsid w:val="00771A15"/>
    <w:rsid w:val="00774DD7"/>
    <w:rsid w:val="00774F18"/>
    <w:rsid w:val="00777407"/>
    <w:rsid w:val="00787D57"/>
    <w:rsid w:val="00790338"/>
    <w:rsid w:val="007B2AF9"/>
    <w:rsid w:val="007C019E"/>
    <w:rsid w:val="007C04FA"/>
    <w:rsid w:val="007C2330"/>
    <w:rsid w:val="007C253C"/>
    <w:rsid w:val="007C38DF"/>
    <w:rsid w:val="007D3E69"/>
    <w:rsid w:val="007D5A46"/>
    <w:rsid w:val="007F6534"/>
    <w:rsid w:val="007F785E"/>
    <w:rsid w:val="00800427"/>
    <w:rsid w:val="00801CA0"/>
    <w:rsid w:val="00806B22"/>
    <w:rsid w:val="0082068C"/>
    <w:rsid w:val="00821593"/>
    <w:rsid w:val="00821E80"/>
    <w:rsid w:val="0082622E"/>
    <w:rsid w:val="008268CC"/>
    <w:rsid w:val="00831F84"/>
    <w:rsid w:val="00841BD4"/>
    <w:rsid w:val="00843B10"/>
    <w:rsid w:val="008457FE"/>
    <w:rsid w:val="008467CF"/>
    <w:rsid w:val="00870742"/>
    <w:rsid w:val="00871488"/>
    <w:rsid w:val="008832F4"/>
    <w:rsid w:val="008860F6"/>
    <w:rsid w:val="0089188E"/>
    <w:rsid w:val="00897BB6"/>
    <w:rsid w:val="008A2F59"/>
    <w:rsid w:val="008D5541"/>
    <w:rsid w:val="008D5AA3"/>
    <w:rsid w:val="008D5BC1"/>
    <w:rsid w:val="008E00CF"/>
    <w:rsid w:val="008E366B"/>
    <w:rsid w:val="008F4F46"/>
    <w:rsid w:val="009019D7"/>
    <w:rsid w:val="00902E1E"/>
    <w:rsid w:val="009037EE"/>
    <w:rsid w:val="0090416B"/>
    <w:rsid w:val="00904E52"/>
    <w:rsid w:val="00910529"/>
    <w:rsid w:val="0091119B"/>
    <w:rsid w:val="009118A3"/>
    <w:rsid w:val="00927CDF"/>
    <w:rsid w:val="009475CB"/>
    <w:rsid w:val="00950730"/>
    <w:rsid w:val="00957018"/>
    <w:rsid w:val="00960139"/>
    <w:rsid w:val="00961F7F"/>
    <w:rsid w:val="009769C2"/>
    <w:rsid w:val="009808FB"/>
    <w:rsid w:val="009931FA"/>
    <w:rsid w:val="00994B56"/>
    <w:rsid w:val="00997457"/>
    <w:rsid w:val="009A2E2C"/>
    <w:rsid w:val="009A7B54"/>
    <w:rsid w:val="009B2205"/>
    <w:rsid w:val="009C0418"/>
    <w:rsid w:val="009C04D3"/>
    <w:rsid w:val="009C2D48"/>
    <w:rsid w:val="009C31EA"/>
    <w:rsid w:val="009D0351"/>
    <w:rsid w:val="009D13D4"/>
    <w:rsid w:val="009D2B06"/>
    <w:rsid w:val="009D3FD2"/>
    <w:rsid w:val="009F32C6"/>
    <w:rsid w:val="009F374E"/>
    <w:rsid w:val="009F3B0B"/>
    <w:rsid w:val="00A02D07"/>
    <w:rsid w:val="00A1210B"/>
    <w:rsid w:val="00A261D7"/>
    <w:rsid w:val="00A34C7C"/>
    <w:rsid w:val="00A35D38"/>
    <w:rsid w:val="00A47124"/>
    <w:rsid w:val="00A50A25"/>
    <w:rsid w:val="00A5286D"/>
    <w:rsid w:val="00A52A45"/>
    <w:rsid w:val="00A53874"/>
    <w:rsid w:val="00A57F6B"/>
    <w:rsid w:val="00A70A98"/>
    <w:rsid w:val="00A76ADE"/>
    <w:rsid w:val="00A77354"/>
    <w:rsid w:val="00A93B3A"/>
    <w:rsid w:val="00AA09C0"/>
    <w:rsid w:val="00AA33B5"/>
    <w:rsid w:val="00AA52D5"/>
    <w:rsid w:val="00AA6910"/>
    <w:rsid w:val="00AB4610"/>
    <w:rsid w:val="00AC3313"/>
    <w:rsid w:val="00AC69CC"/>
    <w:rsid w:val="00AC7996"/>
    <w:rsid w:val="00AD4D91"/>
    <w:rsid w:val="00AF026F"/>
    <w:rsid w:val="00AF0C1D"/>
    <w:rsid w:val="00AF26CC"/>
    <w:rsid w:val="00AF6B97"/>
    <w:rsid w:val="00B01BEA"/>
    <w:rsid w:val="00B032C6"/>
    <w:rsid w:val="00B074BA"/>
    <w:rsid w:val="00B1327F"/>
    <w:rsid w:val="00B21159"/>
    <w:rsid w:val="00B231BF"/>
    <w:rsid w:val="00B253C9"/>
    <w:rsid w:val="00B34277"/>
    <w:rsid w:val="00B37610"/>
    <w:rsid w:val="00B43ADE"/>
    <w:rsid w:val="00B46808"/>
    <w:rsid w:val="00B97E38"/>
    <w:rsid w:val="00BA3153"/>
    <w:rsid w:val="00BA5FAD"/>
    <w:rsid w:val="00BB042C"/>
    <w:rsid w:val="00BC15D9"/>
    <w:rsid w:val="00BD1531"/>
    <w:rsid w:val="00BE3B95"/>
    <w:rsid w:val="00BE729A"/>
    <w:rsid w:val="00C0065B"/>
    <w:rsid w:val="00C071CC"/>
    <w:rsid w:val="00C1495A"/>
    <w:rsid w:val="00C17894"/>
    <w:rsid w:val="00C20E8B"/>
    <w:rsid w:val="00C2786E"/>
    <w:rsid w:val="00C35A93"/>
    <w:rsid w:val="00C374F2"/>
    <w:rsid w:val="00C42057"/>
    <w:rsid w:val="00C433D5"/>
    <w:rsid w:val="00C43B34"/>
    <w:rsid w:val="00C44836"/>
    <w:rsid w:val="00C5059D"/>
    <w:rsid w:val="00C5114E"/>
    <w:rsid w:val="00C609F2"/>
    <w:rsid w:val="00C673A5"/>
    <w:rsid w:val="00C755A9"/>
    <w:rsid w:val="00C77A56"/>
    <w:rsid w:val="00C80CAF"/>
    <w:rsid w:val="00C9420B"/>
    <w:rsid w:val="00CA113C"/>
    <w:rsid w:val="00CB0089"/>
    <w:rsid w:val="00CE35E1"/>
    <w:rsid w:val="00CF6B4D"/>
    <w:rsid w:val="00CF75FD"/>
    <w:rsid w:val="00D0034B"/>
    <w:rsid w:val="00D063FB"/>
    <w:rsid w:val="00D10425"/>
    <w:rsid w:val="00D12EF3"/>
    <w:rsid w:val="00D2460A"/>
    <w:rsid w:val="00D27213"/>
    <w:rsid w:val="00D27679"/>
    <w:rsid w:val="00D351BD"/>
    <w:rsid w:val="00D35AF2"/>
    <w:rsid w:val="00D36B43"/>
    <w:rsid w:val="00D40C45"/>
    <w:rsid w:val="00D420F8"/>
    <w:rsid w:val="00D43F03"/>
    <w:rsid w:val="00D46509"/>
    <w:rsid w:val="00D5235D"/>
    <w:rsid w:val="00D61271"/>
    <w:rsid w:val="00D62BD2"/>
    <w:rsid w:val="00D67FED"/>
    <w:rsid w:val="00D7142A"/>
    <w:rsid w:val="00D73578"/>
    <w:rsid w:val="00D763B6"/>
    <w:rsid w:val="00D77D03"/>
    <w:rsid w:val="00D8796E"/>
    <w:rsid w:val="00D87FD4"/>
    <w:rsid w:val="00D91900"/>
    <w:rsid w:val="00D919F7"/>
    <w:rsid w:val="00DA2C40"/>
    <w:rsid w:val="00DA5D58"/>
    <w:rsid w:val="00DA7763"/>
    <w:rsid w:val="00DB253A"/>
    <w:rsid w:val="00DB349F"/>
    <w:rsid w:val="00DB64AA"/>
    <w:rsid w:val="00DB7D7A"/>
    <w:rsid w:val="00DC0E5E"/>
    <w:rsid w:val="00DC5D57"/>
    <w:rsid w:val="00DD694C"/>
    <w:rsid w:val="00DD698D"/>
    <w:rsid w:val="00DF396B"/>
    <w:rsid w:val="00DF62AD"/>
    <w:rsid w:val="00DF6549"/>
    <w:rsid w:val="00E0329F"/>
    <w:rsid w:val="00E06D86"/>
    <w:rsid w:val="00E134FE"/>
    <w:rsid w:val="00E17DBF"/>
    <w:rsid w:val="00E204D4"/>
    <w:rsid w:val="00E30623"/>
    <w:rsid w:val="00E34EA9"/>
    <w:rsid w:val="00E35B23"/>
    <w:rsid w:val="00E36C7D"/>
    <w:rsid w:val="00E36F13"/>
    <w:rsid w:val="00E40565"/>
    <w:rsid w:val="00E4310F"/>
    <w:rsid w:val="00E472AB"/>
    <w:rsid w:val="00E53AC3"/>
    <w:rsid w:val="00E744D9"/>
    <w:rsid w:val="00E81079"/>
    <w:rsid w:val="00E94512"/>
    <w:rsid w:val="00EA0131"/>
    <w:rsid w:val="00EA043C"/>
    <w:rsid w:val="00EA1D75"/>
    <w:rsid w:val="00EA6ACA"/>
    <w:rsid w:val="00EB1126"/>
    <w:rsid w:val="00EB38D4"/>
    <w:rsid w:val="00EB4505"/>
    <w:rsid w:val="00EB6CB6"/>
    <w:rsid w:val="00EC27EE"/>
    <w:rsid w:val="00EC2FDE"/>
    <w:rsid w:val="00EC6E0C"/>
    <w:rsid w:val="00EC768B"/>
    <w:rsid w:val="00ED27D4"/>
    <w:rsid w:val="00ED68CB"/>
    <w:rsid w:val="00EE2C13"/>
    <w:rsid w:val="00EF3200"/>
    <w:rsid w:val="00EF704B"/>
    <w:rsid w:val="00F02BED"/>
    <w:rsid w:val="00F0322E"/>
    <w:rsid w:val="00F07E38"/>
    <w:rsid w:val="00F14245"/>
    <w:rsid w:val="00F33785"/>
    <w:rsid w:val="00F80F9B"/>
    <w:rsid w:val="00F8164F"/>
    <w:rsid w:val="00F82138"/>
    <w:rsid w:val="00F9197E"/>
    <w:rsid w:val="00FA71E6"/>
    <w:rsid w:val="00FB4B58"/>
    <w:rsid w:val="00FD5152"/>
    <w:rsid w:val="00FE19F3"/>
    <w:rsid w:val="00FE4405"/>
    <w:rsid w:val="00FE7F3A"/>
    <w:rsid w:val="00FF1A46"/>
    <w:rsid w:val="00FF5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Paragraph211"/>
    <w:basedOn w:val="Normal"/>
    <w:link w:val="ListParagraphChar"/>
    <w:uiPriority w:val="34"/>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DefaultParagraphFont"/>
    <w:uiPriority w:val="99"/>
    <w:semiHidden/>
    <w:unhideWhenUsed/>
    <w:rsid w:val="00242CA1"/>
    <w:rPr>
      <w:color w:val="605E5C"/>
      <w:shd w:val="clear" w:color="auto" w:fill="E1DFDD"/>
    </w:rPr>
  </w:style>
  <w:style w:type="character" w:styleId="UnresolvedMention">
    <w:name w:val="Unresolved Mention"/>
    <w:basedOn w:val="DefaultParagraphFont"/>
    <w:uiPriority w:val="99"/>
    <w:semiHidden/>
    <w:unhideWhenUsed/>
    <w:rsid w:val="00122CE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0EA6"/>
    <w:rPr>
      <w:rFonts w:ascii="Times New Roman" w:eastAsia="Calibri" w:hAnsi="Times New Roman" w:cs="Times New Roman"/>
      <w:sz w:val="24"/>
    </w:rPr>
  </w:style>
  <w:style w:type="paragraph" w:customStyle="1" w:styleId="Heading">
    <w:name w:val="Heading"/>
    <w:next w:val="Normal"/>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Revision">
    <w:name w:val="Revision"/>
    <w:hidden/>
    <w:uiPriority w:val="99"/>
    <w:semiHidden/>
    <w:rsid w:val="00552CD3"/>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507713667">
      <w:bodyDiv w:val="1"/>
      <w:marLeft w:val="0"/>
      <w:marRight w:val="0"/>
      <w:marTop w:val="0"/>
      <w:marBottom w:val="0"/>
      <w:divBdr>
        <w:top w:val="none" w:sz="0" w:space="0" w:color="auto"/>
        <w:left w:val="none" w:sz="0" w:space="0" w:color="auto"/>
        <w:bottom w:val="none" w:sz="0" w:space="0" w:color="auto"/>
        <w:right w:val="none" w:sz="0" w:space="0" w:color="auto"/>
      </w:divBdr>
    </w:div>
    <w:div w:id="546525949">
      <w:bodyDiv w:val="1"/>
      <w:marLeft w:val="0"/>
      <w:marRight w:val="0"/>
      <w:marTop w:val="0"/>
      <w:marBottom w:val="0"/>
      <w:divBdr>
        <w:top w:val="none" w:sz="0" w:space="0" w:color="auto"/>
        <w:left w:val="none" w:sz="0" w:space="0" w:color="auto"/>
        <w:bottom w:val="none" w:sz="0" w:space="0" w:color="auto"/>
        <w:right w:val="none" w:sz="0" w:space="0" w:color="auto"/>
      </w:divBdr>
    </w:div>
    <w:div w:id="570893049">
      <w:bodyDiv w:val="1"/>
      <w:marLeft w:val="0"/>
      <w:marRight w:val="0"/>
      <w:marTop w:val="0"/>
      <w:marBottom w:val="0"/>
      <w:divBdr>
        <w:top w:val="none" w:sz="0" w:space="0" w:color="auto"/>
        <w:left w:val="none" w:sz="0" w:space="0" w:color="auto"/>
        <w:bottom w:val="none" w:sz="0" w:space="0" w:color="auto"/>
        <w:right w:val="none" w:sz="0" w:space="0" w:color="auto"/>
      </w:divBdr>
      <w:divsChild>
        <w:div w:id="1749884147">
          <w:marLeft w:val="0"/>
          <w:marRight w:val="0"/>
          <w:marTop w:val="0"/>
          <w:marBottom w:val="0"/>
          <w:divBdr>
            <w:top w:val="none" w:sz="0" w:space="0" w:color="auto"/>
            <w:left w:val="none" w:sz="0" w:space="0" w:color="auto"/>
            <w:bottom w:val="none" w:sz="0" w:space="0" w:color="auto"/>
            <w:right w:val="none" w:sz="0" w:space="0" w:color="auto"/>
          </w:divBdr>
          <w:divsChild>
            <w:div w:id="39521567">
              <w:marLeft w:val="0"/>
              <w:marRight w:val="0"/>
              <w:marTop w:val="0"/>
              <w:marBottom w:val="75"/>
              <w:divBdr>
                <w:top w:val="none" w:sz="0" w:space="0" w:color="auto"/>
                <w:left w:val="none" w:sz="0" w:space="0" w:color="auto"/>
                <w:bottom w:val="none" w:sz="0" w:space="0" w:color="auto"/>
                <w:right w:val="none" w:sz="0" w:space="0" w:color="auto"/>
              </w:divBdr>
              <w:divsChild>
                <w:div w:id="93091848">
                  <w:marLeft w:val="0"/>
                  <w:marRight w:val="0"/>
                  <w:marTop w:val="0"/>
                  <w:marBottom w:val="0"/>
                  <w:divBdr>
                    <w:top w:val="none" w:sz="0" w:space="0" w:color="auto"/>
                    <w:left w:val="none" w:sz="0" w:space="0" w:color="auto"/>
                    <w:bottom w:val="none" w:sz="0" w:space="0" w:color="auto"/>
                    <w:right w:val="none" w:sz="0" w:space="0" w:color="auto"/>
                  </w:divBdr>
                  <w:divsChild>
                    <w:div w:id="7480371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25953326">
      <w:bodyDiv w:val="1"/>
      <w:marLeft w:val="0"/>
      <w:marRight w:val="0"/>
      <w:marTop w:val="0"/>
      <w:marBottom w:val="0"/>
      <w:divBdr>
        <w:top w:val="none" w:sz="0" w:space="0" w:color="auto"/>
        <w:left w:val="none" w:sz="0" w:space="0" w:color="auto"/>
        <w:bottom w:val="none" w:sz="0" w:space="0" w:color="auto"/>
        <w:right w:val="none" w:sz="0" w:space="0" w:color="auto"/>
      </w:divBdr>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444231375">
      <w:bodyDiv w:val="1"/>
      <w:marLeft w:val="0"/>
      <w:marRight w:val="0"/>
      <w:marTop w:val="0"/>
      <w:marBottom w:val="0"/>
      <w:divBdr>
        <w:top w:val="none" w:sz="0" w:space="0" w:color="auto"/>
        <w:left w:val="none" w:sz="0" w:space="0" w:color="auto"/>
        <w:bottom w:val="none" w:sz="0" w:space="0" w:color="auto"/>
        <w:right w:val="none" w:sz="0" w:space="0" w:color="auto"/>
      </w:divBdr>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1586</Words>
  <Characters>9043</Characters>
  <Application>Microsoft Office Word</Application>
  <DocSecurity>0</DocSecurity>
  <Lines>75</Lines>
  <Paragraphs>21</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
      <vt:lpstr>DĖL Lietuvos pirmininkavimui Europos Sąjungos Tarybai skirtų viešųjų pirkimų vyk</vt:lpstr>
      <vt:lpstr>pirkimo</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Raminta Mecelicė</cp:lastModifiedBy>
  <cp:revision>19</cp:revision>
  <cp:lastPrinted>2019-08-01T08:52:00Z</cp:lastPrinted>
  <dcterms:created xsi:type="dcterms:W3CDTF">2025-01-23T13:23:00Z</dcterms:created>
  <dcterms:modified xsi:type="dcterms:W3CDTF">2025-01-23T15:28:00Z</dcterms:modified>
</cp:coreProperties>
</file>