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4472C4" w:themeFill="accent1"/>
        <w:tblLook w:val="04A0" w:firstRow="1" w:lastRow="0" w:firstColumn="1" w:lastColumn="0" w:noHBand="0" w:noVBand="1"/>
      </w:tblPr>
      <w:tblGrid>
        <w:gridCol w:w="9628"/>
      </w:tblGrid>
      <w:tr w:rsidR="002C1403" w:rsidRPr="005E0186" w14:paraId="332511FC" w14:textId="77777777" w:rsidTr="005E0186">
        <w:trPr>
          <w:trHeight w:val="416"/>
        </w:trPr>
        <w:tc>
          <w:tcPr>
            <w:tcW w:w="9628" w:type="dxa"/>
            <w:shd w:val="clear" w:color="auto" w:fill="4472C4" w:themeFill="accent1"/>
            <w:vAlign w:val="center"/>
          </w:tcPr>
          <w:p w14:paraId="6FB5F92C" w14:textId="6160B883" w:rsidR="002C1403" w:rsidRPr="005E0186" w:rsidRDefault="000F6511" w:rsidP="002C1403">
            <w:pPr>
              <w:jc w:val="left"/>
              <w:rPr>
                <w:rFonts w:ascii="Arial" w:hAnsi="Arial" w:cs="Arial"/>
                <w:b/>
                <w:caps/>
                <w:color w:val="FFFFFF" w:themeColor="background1"/>
                <w:sz w:val="20"/>
              </w:rPr>
            </w:pPr>
            <w:bookmarkStart w:id="0" w:name="_Hlk80274242"/>
            <w:r w:rsidRPr="005E0186">
              <w:rPr>
                <w:rFonts w:ascii="Arial" w:hAnsi="Arial" w:cs="Arial"/>
                <w:b/>
                <w:caps/>
                <w:color w:val="FFFFFF" w:themeColor="background1"/>
                <w:sz w:val="20"/>
              </w:rPr>
              <w:t>1</w:t>
            </w:r>
            <w:r w:rsidR="002C1403" w:rsidRPr="005E0186">
              <w:rPr>
                <w:rFonts w:ascii="Arial" w:hAnsi="Arial" w:cs="Arial"/>
                <w:b/>
                <w:caps/>
                <w:color w:val="FFFFFF" w:themeColor="background1"/>
                <w:sz w:val="20"/>
              </w:rPr>
              <w:t>. PIRKIMO OBJEKTAS</w:t>
            </w:r>
          </w:p>
        </w:tc>
      </w:tr>
      <w:bookmarkEnd w:id="0"/>
    </w:tbl>
    <w:p w14:paraId="1137ACEB" w14:textId="15EC27C6" w:rsidR="007A5584" w:rsidRPr="005E0186" w:rsidRDefault="007A5584" w:rsidP="002C1403">
      <w:pPr>
        <w:jc w:val="left"/>
        <w:rPr>
          <w:rFonts w:ascii="Arial" w:hAnsi="Arial" w:cs="Arial"/>
          <w:b/>
          <w:caps/>
          <w:sz w:val="20"/>
        </w:rPr>
      </w:pPr>
    </w:p>
    <w:p w14:paraId="22586534" w14:textId="2CF1366F" w:rsidR="002C1403" w:rsidRPr="005E0186" w:rsidRDefault="00EB627D" w:rsidP="002C1403">
      <w:pPr>
        <w:pStyle w:val="Bodytext20"/>
        <w:shd w:val="clear" w:color="auto" w:fill="auto"/>
        <w:tabs>
          <w:tab w:val="left" w:pos="0"/>
        </w:tabs>
        <w:spacing w:line="240" w:lineRule="auto"/>
        <w:ind w:right="55" w:firstLine="0"/>
        <w:jc w:val="both"/>
        <w:rPr>
          <w:rFonts w:ascii="Arial" w:hAnsi="Arial" w:cs="Arial"/>
          <w:i w:val="0"/>
          <w:iCs w:val="0"/>
          <w:sz w:val="20"/>
          <w:szCs w:val="20"/>
        </w:rPr>
      </w:pPr>
      <w:r w:rsidRPr="005E0186">
        <w:rPr>
          <w:rFonts w:ascii="Arial" w:hAnsi="Arial" w:cs="Arial"/>
          <w:i w:val="0"/>
          <w:iCs w:val="0"/>
          <w:sz w:val="20"/>
          <w:szCs w:val="20"/>
        </w:rPr>
        <w:t xml:space="preserve">Pirkimo objektas – </w:t>
      </w:r>
      <w:r w:rsidR="001E564A" w:rsidRPr="005E0186">
        <w:rPr>
          <w:rFonts w:ascii="Arial" w:hAnsi="Arial" w:cs="Arial"/>
          <w:i w:val="0"/>
          <w:iCs w:val="0"/>
          <w:sz w:val="20"/>
          <w:szCs w:val="20"/>
        </w:rPr>
        <w:t>S</w:t>
      </w:r>
      <w:r w:rsidR="00A67458" w:rsidRPr="005E0186">
        <w:rPr>
          <w:rFonts w:ascii="Arial" w:hAnsi="Arial" w:cs="Arial"/>
          <w:i w:val="0"/>
          <w:iCs w:val="0"/>
          <w:sz w:val="20"/>
          <w:szCs w:val="20"/>
        </w:rPr>
        <w:t>ąnaudų ir naudos analizių</w:t>
      </w:r>
      <w:r w:rsidRPr="005E0186">
        <w:rPr>
          <w:rFonts w:ascii="Arial" w:hAnsi="Arial" w:cs="Arial"/>
          <w:i w:val="0"/>
          <w:iCs w:val="0"/>
          <w:sz w:val="20"/>
          <w:szCs w:val="20"/>
        </w:rPr>
        <w:t xml:space="preserve"> p</w:t>
      </w:r>
      <w:r w:rsidR="00F61E15" w:rsidRPr="005E0186">
        <w:rPr>
          <w:rFonts w:ascii="Arial" w:hAnsi="Arial" w:cs="Arial"/>
          <w:i w:val="0"/>
          <w:iCs w:val="0"/>
          <w:sz w:val="20"/>
          <w:szCs w:val="20"/>
        </w:rPr>
        <w:t>arengimo</w:t>
      </w:r>
      <w:r w:rsidRPr="005E0186">
        <w:rPr>
          <w:rFonts w:ascii="Arial" w:hAnsi="Arial" w:cs="Arial"/>
          <w:i w:val="0"/>
          <w:iCs w:val="0"/>
          <w:sz w:val="20"/>
          <w:szCs w:val="20"/>
        </w:rPr>
        <w:t xml:space="preserve"> </w:t>
      </w:r>
      <w:r w:rsidR="001E564A" w:rsidRPr="005E0186">
        <w:rPr>
          <w:rFonts w:ascii="Arial" w:hAnsi="Arial" w:cs="Arial"/>
          <w:i w:val="0"/>
          <w:iCs w:val="0"/>
          <w:sz w:val="20"/>
          <w:szCs w:val="20"/>
        </w:rPr>
        <w:t xml:space="preserve">vadovaujantis CPVA metodika </w:t>
      </w:r>
      <w:r w:rsidRPr="005E0186">
        <w:rPr>
          <w:rFonts w:ascii="Arial" w:hAnsi="Arial" w:cs="Arial"/>
          <w:i w:val="0"/>
          <w:iCs w:val="0"/>
          <w:sz w:val="20"/>
          <w:szCs w:val="20"/>
        </w:rPr>
        <w:t xml:space="preserve">paslauga. Preliminarus kiekis yra </w:t>
      </w:r>
      <w:r w:rsidR="00A67458" w:rsidRPr="005E0186">
        <w:rPr>
          <w:rFonts w:ascii="Arial" w:hAnsi="Arial" w:cs="Arial"/>
          <w:i w:val="0"/>
          <w:iCs w:val="0"/>
          <w:sz w:val="20"/>
          <w:szCs w:val="20"/>
        </w:rPr>
        <w:t>10</w:t>
      </w:r>
      <w:r w:rsidRPr="005E0186">
        <w:rPr>
          <w:rFonts w:ascii="Arial" w:hAnsi="Arial" w:cs="Arial"/>
          <w:i w:val="0"/>
          <w:iCs w:val="0"/>
          <w:sz w:val="20"/>
          <w:szCs w:val="20"/>
        </w:rPr>
        <w:t xml:space="preserve"> vienet</w:t>
      </w:r>
      <w:r w:rsidR="00A67458" w:rsidRPr="005E0186">
        <w:rPr>
          <w:rFonts w:ascii="Arial" w:hAnsi="Arial" w:cs="Arial"/>
          <w:i w:val="0"/>
          <w:iCs w:val="0"/>
          <w:sz w:val="20"/>
          <w:szCs w:val="20"/>
        </w:rPr>
        <w:t>ų</w:t>
      </w:r>
      <w:r w:rsidRPr="005E0186">
        <w:rPr>
          <w:rFonts w:ascii="Arial" w:hAnsi="Arial" w:cs="Arial"/>
          <w:i w:val="0"/>
          <w:iCs w:val="0"/>
          <w:sz w:val="20"/>
          <w:szCs w:val="20"/>
        </w:rPr>
        <w:t>. BVPŽ kodas –</w:t>
      </w:r>
      <w:r w:rsidR="00807B7E" w:rsidRPr="005E0186">
        <w:rPr>
          <w:rFonts w:ascii="Arial" w:hAnsi="Arial" w:cs="Arial"/>
          <w:i w:val="0"/>
          <w:iCs w:val="0"/>
          <w:sz w:val="20"/>
          <w:szCs w:val="20"/>
        </w:rPr>
        <w:t xml:space="preserve"> 79200000-6 Apskaitos, audito ir fiskalinės paslaugos.</w:t>
      </w:r>
      <w:r w:rsidR="00AE6A46" w:rsidRPr="005E0186">
        <w:rPr>
          <w:rFonts w:ascii="Arial" w:hAnsi="Arial" w:cs="Arial"/>
          <w:sz w:val="20"/>
          <w:szCs w:val="20"/>
        </w:rPr>
        <w:t xml:space="preserve"> </w:t>
      </w:r>
      <w:r w:rsidR="00AE6A46" w:rsidRPr="005E0186">
        <w:rPr>
          <w:rFonts w:ascii="Arial" w:hAnsi="Arial" w:cs="Arial"/>
          <w:i w:val="0"/>
          <w:iCs w:val="0"/>
          <w:sz w:val="20"/>
          <w:szCs w:val="20"/>
        </w:rPr>
        <w:t xml:space="preserve">Paslaugų pristatymo vieta – AB </w:t>
      </w:r>
      <w:r w:rsidR="005E0186">
        <w:rPr>
          <w:rFonts w:ascii="Arial" w:hAnsi="Arial" w:cs="Arial"/>
          <w:i w:val="0"/>
          <w:iCs w:val="0"/>
          <w:sz w:val="20"/>
          <w:szCs w:val="20"/>
        </w:rPr>
        <w:t>„</w:t>
      </w:r>
      <w:r w:rsidR="00AE6A46" w:rsidRPr="005E0186">
        <w:rPr>
          <w:rFonts w:ascii="Arial" w:hAnsi="Arial" w:cs="Arial"/>
          <w:i w:val="0"/>
          <w:iCs w:val="0"/>
          <w:sz w:val="20"/>
          <w:szCs w:val="20"/>
        </w:rPr>
        <w:t>Via Lietuva</w:t>
      </w:r>
      <w:r w:rsidR="005E0186">
        <w:rPr>
          <w:rFonts w:ascii="Arial" w:hAnsi="Arial" w:cs="Arial"/>
          <w:i w:val="0"/>
          <w:iCs w:val="0"/>
          <w:sz w:val="20"/>
          <w:szCs w:val="20"/>
        </w:rPr>
        <w:t>“</w:t>
      </w:r>
      <w:r w:rsidR="00AE6A46" w:rsidRPr="005E0186">
        <w:rPr>
          <w:rFonts w:ascii="Arial" w:hAnsi="Arial" w:cs="Arial"/>
          <w:i w:val="0"/>
          <w:iCs w:val="0"/>
          <w:sz w:val="20"/>
          <w:szCs w:val="20"/>
        </w:rPr>
        <w:t xml:space="preserve"> būstinė Kauno g. 22-202, Vilniuje.</w:t>
      </w:r>
    </w:p>
    <w:p w14:paraId="1FBE925A" w14:textId="0FBA3E0F" w:rsidR="002C1403" w:rsidRPr="005E0186" w:rsidRDefault="002C1403" w:rsidP="002C1403">
      <w:pPr>
        <w:jc w:val="left"/>
        <w:rPr>
          <w:rFonts w:ascii="Arial" w:hAnsi="Arial" w:cs="Arial"/>
          <w:b/>
          <w:caps/>
          <w:sz w:val="20"/>
        </w:rPr>
      </w:pPr>
    </w:p>
    <w:tbl>
      <w:tblPr>
        <w:tblStyle w:val="Lentelstinklelis"/>
        <w:tblW w:w="0" w:type="auto"/>
        <w:shd w:val="clear" w:color="auto" w:fill="4472C4" w:themeFill="accent1"/>
        <w:tblLook w:val="04A0" w:firstRow="1" w:lastRow="0" w:firstColumn="1" w:lastColumn="0" w:noHBand="0" w:noVBand="1"/>
      </w:tblPr>
      <w:tblGrid>
        <w:gridCol w:w="9628"/>
      </w:tblGrid>
      <w:tr w:rsidR="002C1403" w:rsidRPr="005E0186" w14:paraId="67B4BB6C" w14:textId="77777777" w:rsidTr="005E0186">
        <w:trPr>
          <w:trHeight w:val="416"/>
        </w:trPr>
        <w:tc>
          <w:tcPr>
            <w:tcW w:w="9628" w:type="dxa"/>
            <w:shd w:val="clear" w:color="auto" w:fill="4472C4" w:themeFill="accent1"/>
            <w:vAlign w:val="center"/>
          </w:tcPr>
          <w:p w14:paraId="383516B4" w14:textId="129563ED" w:rsidR="002C1403" w:rsidRPr="005E0186" w:rsidRDefault="000F6511" w:rsidP="00196A0F">
            <w:pPr>
              <w:jc w:val="left"/>
              <w:rPr>
                <w:rFonts w:ascii="Arial" w:hAnsi="Arial" w:cs="Arial"/>
                <w:b/>
                <w:caps/>
                <w:color w:val="FFFFFF" w:themeColor="background1"/>
                <w:sz w:val="20"/>
              </w:rPr>
            </w:pPr>
            <w:bookmarkStart w:id="1" w:name="_Hlk80275011"/>
            <w:r w:rsidRPr="005E0186">
              <w:rPr>
                <w:rFonts w:ascii="Arial" w:hAnsi="Arial" w:cs="Arial"/>
                <w:b/>
                <w:caps/>
                <w:color w:val="FFFFFF" w:themeColor="background1"/>
                <w:sz w:val="20"/>
              </w:rPr>
              <w:t>2</w:t>
            </w:r>
            <w:r w:rsidR="002C1403" w:rsidRPr="005E0186">
              <w:rPr>
                <w:rFonts w:ascii="Arial" w:hAnsi="Arial" w:cs="Arial"/>
                <w:b/>
                <w:caps/>
                <w:color w:val="FFFFFF" w:themeColor="background1"/>
                <w:sz w:val="20"/>
              </w:rPr>
              <w:t xml:space="preserve">. </w:t>
            </w:r>
            <w:r w:rsidR="00E44CBF" w:rsidRPr="005E0186">
              <w:rPr>
                <w:rFonts w:ascii="Arial" w:hAnsi="Arial" w:cs="Arial"/>
                <w:b/>
                <w:caps/>
                <w:color w:val="FFFFFF" w:themeColor="background1"/>
                <w:sz w:val="20"/>
              </w:rPr>
              <w:t>TECHNINIŲ REIKALAVIMŲ, KURIUOS TURI ATITIKTI PERKAMOS PREKĖS / PASLAUGOS APRAŠYMAS</w:t>
            </w:r>
          </w:p>
        </w:tc>
      </w:tr>
      <w:bookmarkEnd w:id="1"/>
    </w:tbl>
    <w:p w14:paraId="76EB6F2E" w14:textId="77777777" w:rsidR="002C1403" w:rsidRPr="005E0186" w:rsidRDefault="002C1403" w:rsidP="002C1403">
      <w:pPr>
        <w:jc w:val="left"/>
        <w:rPr>
          <w:rFonts w:ascii="Arial" w:hAnsi="Arial" w:cs="Arial"/>
          <w:b/>
          <w:caps/>
          <w:sz w:val="20"/>
        </w:rPr>
      </w:pPr>
    </w:p>
    <w:p w14:paraId="257A3F95" w14:textId="77777777" w:rsidR="00AE6A46" w:rsidRPr="005E0186" w:rsidRDefault="00AE6A46"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p>
    <w:p w14:paraId="670AA1DE" w14:textId="7D728E81" w:rsidR="00E44CBF" w:rsidRPr="005E0186" w:rsidRDefault="00E44CBF"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r w:rsidRPr="005E0186">
        <w:rPr>
          <w:rFonts w:ascii="Arial" w:hAnsi="Arial" w:cs="Arial"/>
          <w:sz w:val="20"/>
          <w:szCs w:val="20"/>
        </w:rPr>
        <w:t>PIRKIMO OBJEKTO SAVYBĖS, FUNKCINIAI REIKALAVIMAI AR / IR NORIMAS REZULTATAS</w:t>
      </w:r>
    </w:p>
    <w:p w14:paraId="639AACA2" w14:textId="77777777" w:rsidR="00E44CBF" w:rsidRPr="005E0186" w:rsidRDefault="00E44CBF"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p>
    <w:p w14:paraId="61DE3104" w14:textId="464E59DA" w:rsidR="00F61E15" w:rsidRPr="005E0186" w:rsidRDefault="00F61E15" w:rsidP="00F61E15">
      <w:pPr>
        <w:rPr>
          <w:rFonts w:ascii="Arial" w:hAnsi="Arial" w:cs="Arial"/>
          <w:b/>
          <w:bCs/>
          <w:sz w:val="20"/>
          <w:lang w:eastAsia="lt-LT"/>
        </w:rPr>
      </w:pPr>
      <w:r w:rsidRPr="005E0186">
        <w:rPr>
          <w:rFonts w:ascii="Arial" w:eastAsia="Calibri" w:hAnsi="Arial" w:cs="Arial"/>
          <w:bCs/>
          <w:iCs/>
          <w:sz w:val="20"/>
        </w:rPr>
        <w:t>Akcinė bendrovė Via Lietuva (toliau – Perkančioji organizacija) šiuo viešuoju pirkimu planuoja įsigyti planuojamų įgyvendinti valstybinės reikšmės kelių rekonstrukcijos ir plėtros projektų</w:t>
      </w:r>
      <w:r w:rsidRPr="005E0186">
        <w:rPr>
          <w:rFonts w:ascii="Arial" w:hAnsi="Arial" w:cs="Arial"/>
          <w:sz w:val="20"/>
          <w:lang w:eastAsia="lt-LT"/>
        </w:rPr>
        <w:t xml:space="preserve">, kurių finansavimo poreikis turi būti pagrįstas Lietuvos Respublikos teisės aktų nustatyta tvarka, investicijų projektų </w:t>
      </w:r>
      <w:r w:rsidR="00A67458" w:rsidRPr="005E0186">
        <w:rPr>
          <w:rFonts w:ascii="Arial" w:hAnsi="Arial" w:cs="Arial"/>
          <w:sz w:val="20"/>
          <w:lang w:eastAsia="lt-LT"/>
        </w:rPr>
        <w:t>sąnaudų ir naudos analizių</w:t>
      </w:r>
      <w:r w:rsidRPr="005E0186">
        <w:rPr>
          <w:rFonts w:ascii="Arial" w:hAnsi="Arial" w:cs="Arial"/>
          <w:sz w:val="20"/>
          <w:lang w:eastAsia="lt-LT"/>
        </w:rPr>
        <w:t xml:space="preserve">, </w:t>
      </w:r>
      <w:r w:rsidR="00A67458" w:rsidRPr="005E0186">
        <w:rPr>
          <w:rFonts w:ascii="Arial" w:hAnsi="Arial" w:cs="Arial"/>
          <w:sz w:val="20"/>
          <w:lang w:eastAsia="lt-LT"/>
        </w:rPr>
        <w:t xml:space="preserve">kurios turi būti </w:t>
      </w:r>
      <w:r w:rsidRPr="005E0186">
        <w:rPr>
          <w:rFonts w:ascii="Arial" w:hAnsi="Arial" w:cs="Arial"/>
          <w:sz w:val="20"/>
          <w:lang w:eastAsia="lt-LT"/>
        </w:rPr>
        <w:t>parengt</w:t>
      </w:r>
      <w:r w:rsidR="00A67458" w:rsidRPr="005E0186">
        <w:rPr>
          <w:rFonts w:ascii="Arial" w:hAnsi="Arial" w:cs="Arial"/>
          <w:sz w:val="20"/>
          <w:lang w:eastAsia="lt-LT"/>
        </w:rPr>
        <w:t>os</w:t>
      </w:r>
      <w:r w:rsidRPr="005E0186">
        <w:rPr>
          <w:rFonts w:ascii="Arial" w:hAnsi="Arial" w:cs="Arial"/>
          <w:sz w:val="20"/>
          <w:lang w:eastAsia="lt-LT"/>
        </w:rPr>
        <w:t xml:space="preserve"> pagal VšĮ Centrinės projektų valdymo agentūros (toliau – CPVA) viešai skelbiamą metodiką,  parengimo paslaugą.</w:t>
      </w:r>
      <w:r w:rsidRPr="005E0186">
        <w:rPr>
          <w:rFonts w:ascii="Arial" w:hAnsi="Arial" w:cs="Arial"/>
          <w:i/>
          <w:iCs/>
          <w:sz w:val="20"/>
        </w:rPr>
        <w:t xml:space="preserve"> </w:t>
      </w:r>
    </w:p>
    <w:p w14:paraId="240B45FD" w14:textId="6EC79074" w:rsidR="00F61E15" w:rsidRPr="005E0186" w:rsidRDefault="00F61E15" w:rsidP="00F61E15">
      <w:pPr>
        <w:tabs>
          <w:tab w:val="left" w:pos="1134"/>
        </w:tabs>
        <w:rPr>
          <w:rFonts w:ascii="Arial" w:eastAsia="Calibri" w:hAnsi="Arial" w:cs="Arial"/>
          <w:bCs/>
          <w:iCs/>
          <w:sz w:val="20"/>
        </w:rPr>
      </w:pPr>
      <w:r w:rsidRPr="005E0186">
        <w:rPr>
          <w:rFonts w:ascii="Arial" w:eastAsia="Calibri" w:hAnsi="Arial" w:cs="Arial"/>
          <w:bCs/>
          <w:iCs/>
          <w:sz w:val="20"/>
        </w:rPr>
        <w:t xml:space="preserve">1. Pirkimo objektas – </w:t>
      </w:r>
      <w:r w:rsidRPr="005E0186">
        <w:rPr>
          <w:rFonts w:ascii="Arial" w:hAnsi="Arial" w:cs="Arial"/>
          <w:sz w:val="20"/>
          <w:lang w:eastAsia="lt-LT"/>
        </w:rPr>
        <w:t xml:space="preserve">investicijų projektų </w:t>
      </w:r>
      <w:r w:rsidR="00A67458" w:rsidRPr="005E0186">
        <w:rPr>
          <w:rFonts w:ascii="Arial" w:hAnsi="Arial" w:cs="Arial"/>
          <w:sz w:val="20"/>
          <w:lang w:eastAsia="lt-LT"/>
        </w:rPr>
        <w:t xml:space="preserve">sąnaudų ir naudos analizių </w:t>
      </w:r>
      <w:r w:rsidRPr="005E0186">
        <w:rPr>
          <w:rFonts w:ascii="Arial" w:hAnsi="Arial" w:cs="Arial"/>
          <w:sz w:val="20"/>
          <w:lang w:eastAsia="lt-LT"/>
        </w:rPr>
        <w:t xml:space="preserve"> parengimo</w:t>
      </w:r>
      <w:r w:rsidR="00261068">
        <w:rPr>
          <w:rFonts w:ascii="Arial" w:hAnsi="Arial" w:cs="Arial"/>
          <w:sz w:val="20"/>
          <w:lang w:eastAsia="lt-LT"/>
        </w:rPr>
        <w:t>,</w:t>
      </w:r>
      <w:r w:rsidRPr="005E0186">
        <w:rPr>
          <w:rFonts w:ascii="Arial" w:hAnsi="Arial" w:cs="Arial"/>
          <w:sz w:val="20"/>
          <w:lang w:eastAsia="lt-LT"/>
        </w:rPr>
        <w:t xml:space="preserve"> </w:t>
      </w:r>
      <w:r w:rsidR="00807B7E" w:rsidRPr="005E0186">
        <w:rPr>
          <w:rFonts w:ascii="Arial" w:hAnsi="Arial" w:cs="Arial"/>
          <w:sz w:val="20"/>
          <w:lang w:eastAsia="lt-LT"/>
        </w:rPr>
        <w:t>vadovaujantis CPVA metodika</w:t>
      </w:r>
      <w:r w:rsidR="00261068">
        <w:rPr>
          <w:rFonts w:ascii="Arial" w:hAnsi="Arial" w:cs="Arial"/>
          <w:sz w:val="20"/>
          <w:lang w:eastAsia="lt-LT"/>
        </w:rPr>
        <w:t>,</w:t>
      </w:r>
      <w:r w:rsidRPr="005E0186">
        <w:rPr>
          <w:rFonts w:ascii="Arial" w:hAnsi="Arial" w:cs="Arial"/>
          <w:sz w:val="20"/>
          <w:lang w:eastAsia="lt-LT"/>
        </w:rPr>
        <w:t xml:space="preserve"> paslauga</w:t>
      </w:r>
      <w:r w:rsidR="00F61147">
        <w:rPr>
          <w:rFonts w:ascii="Arial" w:hAnsi="Arial" w:cs="Arial"/>
          <w:sz w:val="20"/>
          <w:lang w:eastAsia="lt-LT"/>
        </w:rPr>
        <w:t xml:space="preserve"> (toliau – paslauga arba paslaugos)</w:t>
      </w:r>
      <w:r w:rsidRPr="005E0186">
        <w:rPr>
          <w:rFonts w:ascii="Arial" w:hAnsi="Arial" w:cs="Arial"/>
          <w:sz w:val="20"/>
          <w:lang w:eastAsia="lt-LT"/>
        </w:rPr>
        <w:t>.</w:t>
      </w:r>
    </w:p>
    <w:p w14:paraId="5F88C516" w14:textId="77777777" w:rsidR="00F61E15" w:rsidRPr="005E0186" w:rsidRDefault="00F61E15" w:rsidP="00F61E15">
      <w:pPr>
        <w:tabs>
          <w:tab w:val="left" w:pos="1134"/>
        </w:tabs>
        <w:rPr>
          <w:rFonts w:ascii="Arial" w:eastAsia="Calibri" w:hAnsi="Arial" w:cs="Arial"/>
          <w:bCs/>
          <w:iCs/>
          <w:sz w:val="20"/>
        </w:rPr>
      </w:pPr>
      <w:r w:rsidRPr="005E0186">
        <w:rPr>
          <w:rFonts w:ascii="Arial" w:eastAsia="Calibri" w:hAnsi="Arial" w:cs="Arial"/>
          <w:bCs/>
          <w:iCs/>
          <w:sz w:val="20"/>
        </w:rPr>
        <w:t xml:space="preserve">2. Paslaugos teikimo terminas – 24 mėn.(dvidešimt keturi mėnesiai) nuo sutarties įsigaliojimo dienos. </w:t>
      </w:r>
    </w:p>
    <w:p w14:paraId="1CFDD674" w14:textId="5EC2B461" w:rsidR="00F61E15" w:rsidRPr="005E0186" w:rsidRDefault="00F61E15" w:rsidP="00F61E15">
      <w:pPr>
        <w:tabs>
          <w:tab w:val="left" w:pos="1134"/>
        </w:tabs>
        <w:rPr>
          <w:rFonts w:ascii="Arial" w:eastAsia="Calibri" w:hAnsi="Arial" w:cs="Arial"/>
          <w:bCs/>
          <w:iCs/>
          <w:sz w:val="20"/>
        </w:rPr>
      </w:pPr>
      <w:r w:rsidRPr="005E0186">
        <w:rPr>
          <w:rFonts w:ascii="Arial" w:eastAsia="Calibri" w:hAnsi="Arial" w:cs="Arial"/>
          <w:bCs/>
          <w:iCs/>
          <w:sz w:val="20"/>
        </w:rPr>
        <w:t xml:space="preserve">3. Paslaugos teikėjas, rengdamas </w:t>
      </w:r>
      <w:r w:rsidRPr="005E0186">
        <w:rPr>
          <w:rFonts w:ascii="Arial" w:hAnsi="Arial" w:cs="Arial"/>
          <w:sz w:val="20"/>
          <w:lang w:eastAsia="lt-LT"/>
        </w:rPr>
        <w:t xml:space="preserve">investicijų projektus su investicijų skaičiuoklėmis, privalo vadovautis </w:t>
      </w:r>
      <w:r w:rsidR="00001A48" w:rsidRPr="005E0186">
        <w:rPr>
          <w:rFonts w:ascii="Arial" w:hAnsi="Arial" w:cs="Arial"/>
          <w:sz w:val="20"/>
          <w:lang w:eastAsia="lt-LT"/>
        </w:rPr>
        <w:t>CPVA</w:t>
      </w:r>
      <w:r w:rsidRPr="005E0186">
        <w:rPr>
          <w:rFonts w:ascii="Arial" w:hAnsi="Arial" w:cs="Arial"/>
          <w:sz w:val="20"/>
          <w:lang w:eastAsia="lt-LT"/>
        </w:rPr>
        <w:t xml:space="preserve"> </w:t>
      </w:r>
      <w:r w:rsidR="00001A48" w:rsidRPr="005E0186">
        <w:rPr>
          <w:rFonts w:ascii="Arial" w:hAnsi="Arial" w:cs="Arial"/>
          <w:sz w:val="20"/>
          <w:lang w:eastAsia="lt-LT"/>
        </w:rPr>
        <w:t>viešai skelbiama metodika</w:t>
      </w:r>
      <w:r w:rsidRPr="005E0186">
        <w:rPr>
          <w:rFonts w:ascii="Arial" w:hAnsi="Arial" w:cs="Arial"/>
          <w:sz w:val="20"/>
          <w:lang w:eastAsia="lt-LT"/>
        </w:rPr>
        <w:t>.</w:t>
      </w:r>
    </w:p>
    <w:p w14:paraId="5118E479" w14:textId="110BBAB8" w:rsidR="00F61E15" w:rsidRPr="005E0186" w:rsidRDefault="00F61E15" w:rsidP="00F61E15">
      <w:pPr>
        <w:tabs>
          <w:tab w:val="left" w:pos="1134"/>
        </w:tabs>
        <w:rPr>
          <w:rFonts w:ascii="Arial" w:eastAsia="Calibri" w:hAnsi="Arial" w:cs="Arial"/>
          <w:bCs/>
          <w:iCs/>
          <w:sz w:val="20"/>
        </w:rPr>
      </w:pPr>
      <w:r w:rsidRPr="005E0186">
        <w:rPr>
          <w:rFonts w:ascii="Arial" w:eastAsia="Calibri" w:hAnsi="Arial" w:cs="Arial"/>
          <w:bCs/>
          <w:iCs/>
          <w:sz w:val="20"/>
        </w:rPr>
        <w:t xml:space="preserve">4.Paslaugas Užsakovas pirks pagal poreikį, pateikdamas paslaugų užsakymus. Užsakovas neįsipareigoja nupirkti visų Techninėje specifikacijoje nurodytų paslaugų. </w:t>
      </w:r>
    </w:p>
    <w:p w14:paraId="4301E8F9" w14:textId="52549F07" w:rsidR="00F61E15" w:rsidRPr="005E0186" w:rsidRDefault="00F61E15" w:rsidP="00F61E15">
      <w:pPr>
        <w:tabs>
          <w:tab w:val="left" w:pos="1134"/>
        </w:tabs>
        <w:rPr>
          <w:rFonts w:ascii="Arial" w:eastAsia="Calibri" w:hAnsi="Arial" w:cs="Arial"/>
          <w:color w:val="000000"/>
          <w:sz w:val="20"/>
          <w:lang w:eastAsia="lt-LT"/>
        </w:rPr>
      </w:pPr>
      <w:r w:rsidRPr="005E0186">
        <w:rPr>
          <w:rFonts w:ascii="Arial" w:eastAsia="Calibri" w:hAnsi="Arial" w:cs="Arial"/>
          <w:bCs/>
          <w:iCs/>
          <w:sz w:val="20"/>
        </w:rPr>
        <w:t xml:space="preserve">5. </w:t>
      </w:r>
      <w:r w:rsidRPr="005E0186">
        <w:rPr>
          <w:rFonts w:ascii="Arial" w:hAnsi="Arial" w:cs="Arial"/>
          <w:sz w:val="20"/>
          <w:lang w:eastAsia="lt-LT"/>
        </w:rPr>
        <w:t>Investicijų projekt</w:t>
      </w:r>
      <w:r w:rsidR="00B241FD" w:rsidRPr="005E0186">
        <w:rPr>
          <w:rFonts w:ascii="Arial" w:hAnsi="Arial" w:cs="Arial"/>
          <w:sz w:val="20"/>
          <w:lang w:eastAsia="lt-LT"/>
        </w:rPr>
        <w:t>ų sąnaudų ir naudos analizių</w:t>
      </w:r>
      <w:r w:rsidRPr="005E0186">
        <w:rPr>
          <w:rFonts w:ascii="Arial" w:eastAsia="Calibri" w:hAnsi="Arial" w:cs="Arial"/>
          <w:bCs/>
          <w:iCs/>
          <w:sz w:val="20"/>
        </w:rPr>
        <w:t xml:space="preserve"> </w:t>
      </w:r>
      <w:r w:rsidRPr="005E0186">
        <w:rPr>
          <w:rFonts w:ascii="Arial" w:eastAsia="Calibri" w:hAnsi="Arial" w:cs="Arial"/>
          <w:color w:val="000000"/>
          <w:sz w:val="20"/>
          <w:lang w:eastAsia="lt-LT"/>
        </w:rPr>
        <w:t xml:space="preserve">parengimo ir pateikimo Užsakovui terminas - per </w:t>
      </w:r>
      <w:r w:rsidR="00B241FD" w:rsidRPr="005E0186">
        <w:rPr>
          <w:rFonts w:ascii="Arial" w:eastAsia="Calibri" w:hAnsi="Arial" w:cs="Arial"/>
          <w:color w:val="000000"/>
          <w:sz w:val="20"/>
          <w:lang w:eastAsia="lt-LT"/>
        </w:rPr>
        <w:t>25</w:t>
      </w:r>
      <w:r w:rsidRPr="005E0186">
        <w:rPr>
          <w:rFonts w:ascii="Arial" w:eastAsia="Calibri" w:hAnsi="Arial" w:cs="Arial"/>
          <w:color w:val="000000"/>
          <w:sz w:val="20"/>
          <w:lang w:eastAsia="lt-LT"/>
        </w:rPr>
        <w:t xml:space="preserve"> darbo dienas nuo užsakymo iš Perkančiosios organizacijos gavimo dienos.</w:t>
      </w:r>
    </w:p>
    <w:p w14:paraId="3B536B54" w14:textId="77777777" w:rsidR="00F61E15" w:rsidRPr="005E0186" w:rsidRDefault="00F61E15" w:rsidP="00F61E15">
      <w:pPr>
        <w:tabs>
          <w:tab w:val="left" w:pos="1134"/>
        </w:tabs>
        <w:rPr>
          <w:rFonts w:ascii="Arial" w:eastAsia="Calibri" w:hAnsi="Arial" w:cs="Arial"/>
          <w:color w:val="000000"/>
          <w:sz w:val="20"/>
          <w:lang w:eastAsia="lt-LT"/>
        </w:rPr>
      </w:pPr>
      <w:r w:rsidRPr="005E0186">
        <w:rPr>
          <w:rFonts w:ascii="Arial" w:hAnsi="Arial" w:cs="Arial"/>
          <w:sz w:val="20"/>
        </w:rPr>
        <w:t>6.  Paslaugos teikėjas bendraus su Perkančiosios organizacijos atstovais susitikimų metu, raštu ir elektroniniu paštu. Susitikimai bus vykdomi nuotoliniu būdu arba Perkančiosios organizacijos patalpose (susitikimų protokolus rengs Paslaugų teikėjas).</w:t>
      </w:r>
    </w:p>
    <w:p w14:paraId="0A494B50" w14:textId="77777777" w:rsidR="00F61E15" w:rsidRPr="005E0186" w:rsidRDefault="00F61E15" w:rsidP="00F61E15">
      <w:pPr>
        <w:tabs>
          <w:tab w:val="left" w:pos="1134"/>
        </w:tabs>
        <w:rPr>
          <w:rFonts w:ascii="Arial" w:eastAsia="Calibri" w:hAnsi="Arial" w:cs="Arial"/>
          <w:color w:val="000000"/>
          <w:sz w:val="20"/>
          <w:lang w:eastAsia="lt-LT"/>
        </w:rPr>
      </w:pPr>
      <w:r w:rsidRPr="005E0186">
        <w:rPr>
          <w:rFonts w:ascii="Arial" w:eastAsia="Calibri" w:hAnsi="Arial" w:cs="Arial"/>
          <w:color w:val="000000"/>
          <w:sz w:val="20"/>
          <w:lang w:eastAsia="lt-LT"/>
        </w:rPr>
        <w:t xml:space="preserve">7. </w:t>
      </w:r>
      <w:r w:rsidRPr="005E0186">
        <w:rPr>
          <w:rFonts w:ascii="Arial" w:hAnsi="Arial" w:cs="Arial"/>
          <w:sz w:val="20"/>
        </w:rPr>
        <w:t xml:space="preserve">Paslaugų teikėjo parengtas rezultatas turi būti suderintas su Perkančiąja organizacija. Perkančiajai organizacijai pateikus pastabų ir pasiūlymų, Paslaugų teikėjas, per 10 (dešimt) darbo dienų nuo gautų pastabų ir/arba pasiūlymų turi pateikti pakoreguotą paraišką atsižvelgiant į Perkančiosios organizacijos pateiktas pastabas bei teisės aktų reikalavimų, susijusių su projektų įgyvendinimu, galimais pakeitimais. </w:t>
      </w:r>
    </w:p>
    <w:p w14:paraId="38DAEEB7" w14:textId="77777777" w:rsidR="00F61E15" w:rsidRPr="005E0186" w:rsidRDefault="00F61E15" w:rsidP="00F61E15">
      <w:pPr>
        <w:tabs>
          <w:tab w:val="left" w:pos="1134"/>
        </w:tabs>
        <w:rPr>
          <w:rFonts w:ascii="Arial" w:eastAsia="Calibri" w:hAnsi="Arial" w:cs="Arial"/>
          <w:color w:val="000000"/>
          <w:sz w:val="20"/>
          <w:lang w:eastAsia="lt-LT"/>
        </w:rPr>
      </w:pPr>
      <w:r w:rsidRPr="005E0186">
        <w:rPr>
          <w:rFonts w:ascii="Arial" w:eastAsia="Calibri" w:hAnsi="Arial" w:cs="Arial"/>
          <w:color w:val="000000"/>
          <w:sz w:val="20"/>
          <w:lang w:eastAsia="lt-LT"/>
        </w:rPr>
        <w:t xml:space="preserve">8. </w:t>
      </w:r>
      <w:r w:rsidRPr="005E0186">
        <w:rPr>
          <w:rFonts w:ascii="Arial" w:hAnsi="Arial" w:cs="Arial"/>
          <w:sz w:val="20"/>
        </w:rPr>
        <w:t>R</w:t>
      </w:r>
      <w:r w:rsidRPr="005E0186">
        <w:rPr>
          <w:rFonts w:ascii="Arial" w:hAnsi="Arial" w:cs="Arial"/>
          <w:sz w:val="20"/>
          <w:lang w:eastAsia="lt-LT"/>
        </w:rPr>
        <w:t>ezultato galutinis variantas bei visi susiję dokumentai turi būti pateikiami Perkančiajai organizacijai elektroniniu formatu (Microsoft Excel ir/arba Word formatu), kurį Perkančioji organizacija, esant poreikiui, galėtų koreguoti.</w:t>
      </w:r>
    </w:p>
    <w:p w14:paraId="4204B43A" w14:textId="77777777" w:rsidR="00F61E15" w:rsidRPr="005E0186" w:rsidRDefault="00F61E15" w:rsidP="00F61E15">
      <w:pPr>
        <w:tabs>
          <w:tab w:val="left" w:pos="1134"/>
        </w:tabs>
        <w:rPr>
          <w:rFonts w:ascii="Arial" w:eastAsia="Calibri" w:hAnsi="Arial" w:cs="Arial"/>
          <w:color w:val="000000"/>
          <w:sz w:val="20"/>
          <w:lang w:eastAsia="lt-LT"/>
        </w:rPr>
      </w:pPr>
      <w:r w:rsidRPr="005E0186">
        <w:rPr>
          <w:rFonts w:ascii="Arial" w:eastAsia="Calibri" w:hAnsi="Arial" w:cs="Arial"/>
          <w:color w:val="000000"/>
          <w:sz w:val="20"/>
          <w:lang w:eastAsia="lt-LT"/>
        </w:rPr>
        <w:t xml:space="preserve">9. </w:t>
      </w:r>
      <w:r w:rsidRPr="005E0186">
        <w:rPr>
          <w:rFonts w:ascii="Arial" w:hAnsi="Arial" w:cs="Arial"/>
          <w:sz w:val="20"/>
        </w:rPr>
        <w:t>V</w:t>
      </w:r>
      <w:r w:rsidRPr="005E0186">
        <w:rPr>
          <w:rFonts w:ascii="Arial" w:hAnsi="Arial" w:cs="Arial"/>
          <w:bCs/>
          <w:sz w:val="20"/>
        </w:rPr>
        <w:t>isa su Rezultato galutiniu variantu susijusi medžiaga ir dokumentai turi būti teikiami lietuvių arba anglų kalba (kalbos naudojimo konkretiems darbams poreikis susiderinamas iš anksto).</w:t>
      </w:r>
    </w:p>
    <w:p w14:paraId="4982F56E" w14:textId="77777777" w:rsidR="00F61E15" w:rsidRPr="005E0186" w:rsidRDefault="00F61E15" w:rsidP="00F61E15">
      <w:pPr>
        <w:tabs>
          <w:tab w:val="left" w:pos="1134"/>
        </w:tabs>
        <w:rPr>
          <w:rFonts w:ascii="Arial" w:eastAsia="Calibri" w:hAnsi="Arial" w:cs="Arial"/>
          <w:color w:val="000000"/>
          <w:sz w:val="20"/>
          <w:lang w:eastAsia="lt-LT"/>
        </w:rPr>
      </w:pPr>
      <w:r w:rsidRPr="005E0186">
        <w:rPr>
          <w:rFonts w:ascii="Arial" w:eastAsia="Calibri" w:hAnsi="Arial" w:cs="Arial"/>
          <w:color w:val="000000"/>
          <w:sz w:val="20"/>
          <w:lang w:eastAsia="lt-LT"/>
        </w:rPr>
        <w:t xml:space="preserve">10. </w:t>
      </w:r>
      <w:r w:rsidRPr="005E0186">
        <w:rPr>
          <w:rFonts w:ascii="Arial" w:hAnsi="Arial" w:cs="Arial"/>
          <w:sz w:val="20"/>
        </w:rPr>
        <w:t>Visų teikiamų paslaugų valdymo organizavimui Paslaugų teikėjas turės:</w:t>
      </w:r>
    </w:p>
    <w:p w14:paraId="400E4711" w14:textId="5B834188" w:rsidR="00F61E15" w:rsidRPr="005E0186" w:rsidRDefault="00F61E15" w:rsidP="005B6307">
      <w:pPr>
        <w:tabs>
          <w:tab w:val="left" w:pos="284"/>
          <w:tab w:val="left" w:pos="567"/>
        </w:tabs>
        <w:ind w:firstLine="284"/>
        <w:rPr>
          <w:rFonts w:ascii="Arial" w:eastAsia="Calibri" w:hAnsi="Arial" w:cs="Arial"/>
          <w:color w:val="000000"/>
          <w:sz w:val="20"/>
          <w:lang w:eastAsia="lt-LT"/>
        </w:rPr>
      </w:pPr>
      <w:r w:rsidRPr="005E0186">
        <w:rPr>
          <w:rFonts w:ascii="Arial" w:eastAsia="Calibri" w:hAnsi="Arial" w:cs="Arial"/>
          <w:color w:val="000000"/>
          <w:sz w:val="20"/>
          <w:lang w:eastAsia="lt-LT"/>
        </w:rPr>
        <w:t xml:space="preserve">10.1. </w:t>
      </w:r>
      <w:r w:rsidRPr="005E0186">
        <w:rPr>
          <w:rFonts w:ascii="Arial" w:hAnsi="Arial" w:cs="Arial"/>
          <w:sz w:val="20"/>
        </w:rPr>
        <w:t>Užtikrinti tinkamą paslaugų organizavimą, apibrėžiant vadovavimo, valdymo ir vykdymo atsakomybes ir atsiskaitymo būdus;</w:t>
      </w:r>
    </w:p>
    <w:p w14:paraId="7EC9234D" w14:textId="76F567DD" w:rsidR="00F61E15" w:rsidRPr="005E0186" w:rsidRDefault="00F61E15" w:rsidP="005B6307">
      <w:pPr>
        <w:numPr>
          <w:ilvl w:val="1"/>
          <w:numId w:val="8"/>
        </w:numPr>
        <w:tabs>
          <w:tab w:val="left" w:pos="851"/>
        </w:tabs>
        <w:spacing w:after="200" w:line="276" w:lineRule="auto"/>
        <w:ind w:left="0" w:firstLine="284"/>
        <w:contextualSpacing/>
        <w:rPr>
          <w:rFonts w:ascii="Arial" w:hAnsi="Arial" w:cs="Arial"/>
          <w:sz w:val="20"/>
        </w:rPr>
      </w:pPr>
      <w:r w:rsidRPr="005E0186">
        <w:rPr>
          <w:rFonts w:ascii="Arial" w:hAnsi="Arial" w:cs="Arial"/>
          <w:sz w:val="20"/>
        </w:rPr>
        <w:t>Užtikrinti Bendrojo asmens duomenų reglamento reikalavim</w:t>
      </w:r>
      <w:r w:rsidR="00286FC4">
        <w:rPr>
          <w:rFonts w:ascii="Arial" w:hAnsi="Arial" w:cs="Arial"/>
          <w:sz w:val="20"/>
        </w:rPr>
        <w:t>ų laikymąsi</w:t>
      </w:r>
      <w:r w:rsidR="00001A48" w:rsidRPr="005E0186">
        <w:rPr>
          <w:rFonts w:ascii="Arial" w:hAnsi="Arial" w:cs="Arial"/>
          <w:sz w:val="20"/>
        </w:rPr>
        <w:t>;</w:t>
      </w:r>
    </w:p>
    <w:p w14:paraId="3CA24B19" w14:textId="1AD563B4" w:rsidR="00F61E15" w:rsidRPr="005B6307" w:rsidRDefault="00F61E15" w:rsidP="005B6307">
      <w:pPr>
        <w:numPr>
          <w:ilvl w:val="1"/>
          <w:numId w:val="8"/>
        </w:numPr>
        <w:tabs>
          <w:tab w:val="left" w:pos="851"/>
        </w:tabs>
        <w:spacing w:after="200" w:line="276" w:lineRule="auto"/>
        <w:ind w:left="0" w:firstLine="284"/>
        <w:contextualSpacing/>
        <w:rPr>
          <w:rFonts w:ascii="Arial" w:hAnsi="Arial" w:cs="Arial"/>
          <w:sz w:val="20"/>
        </w:rPr>
      </w:pPr>
      <w:r w:rsidRPr="005E0186">
        <w:rPr>
          <w:rFonts w:ascii="Arial" w:hAnsi="Arial" w:cs="Arial"/>
          <w:sz w:val="20"/>
        </w:rPr>
        <w:t xml:space="preserve">Paskirti asmenį, atsakingą už paslaugų teikimo organizavimą, koordinavimą ir derinimą </w:t>
      </w:r>
      <w:r w:rsidRPr="005B6307">
        <w:rPr>
          <w:rFonts w:ascii="Arial" w:hAnsi="Arial" w:cs="Arial"/>
          <w:sz w:val="20"/>
        </w:rPr>
        <w:t>su</w:t>
      </w:r>
      <w:r w:rsidR="005B6307">
        <w:rPr>
          <w:rFonts w:ascii="Arial" w:hAnsi="Arial" w:cs="Arial"/>
          <w:sz w:val="20"/>
        </w:rPr>
        <w:t xml:space="preserve"> </w:t>
      </w:r>
      <w:r w:rsidRPr="005B6307">
        <w:rPr>
          <w:rFonts w:ascii="Arial" w:hAnsi="Arial" w:cs="Arial"/>
          <w:sz w:val="20"/>
        </w:rPr>
        <w:t>Perkančiosios organizacijos įgaliotais atstovais</w:t>
      </w:r>
      <w:r w:rsidR="00001A48" w:rsidRPr="005B6307">
        <w:rPr>
          <w:rFonts w:ascii="Arial" w:hAnsi="Arial" w:cs="Arial"/>
          <w:sz w:val="20"/>
        </w:rPr>
        <w:t>;</w:t>
      </w:r>
    </w:p>
    <w:p w14:paraId="491A6454" w14:textId="39020157" w:rsidR="00F61E15" w:rsidRPr="00286FC4" w:rsidRDefault="00F61E15" w:rsidP="005B6307">
      <w:pPr>
        <w:numPr>
          <w:ilvl w:val="1"/>
          <w:numId w:val="8"/>
        </w:numPr>
        <w:tabs>
          <w:tab w:val="left" w:pos="709"/>
          <w:tab w:val="left" w:pos="851"/>
        </w:tabs>
        <w:spacing w:after="200" w:line="276" w:lineRule="auto"/>
        <w:ind w:left="0" w:firstLine="284"/>
        <w:contextualSpacing/>
        <w:rPr>
          <w:rFonts w:ascii="Arial" w:hAnsi="Arial" w:cs="Arial"/>
          <w:sz w:val="20"/>
        </w:rPr>
      </w:pPr>
      <w:r w:rsidRPr="005E0186">
        <w:rPr>
          <w:rFonts w:ascii="Arial" w:hAnsi="Arial" w:cs="Arial"/>
          <w:sz w:val="20"/>
        </w:rPr>
        <w:t xml:space="preserve">Už įsipareigojimų nevykdymą ar netinkamą vykdymą, jei tai įvyktų dėl nuo Paslaugų </w:t>
      </w:r>
      <w:r w:rsidRPr="00286FC4">
        <w:rPr>
          <w:rFonts w:ascii="Arial" w:hAnsi="Arial" w:cs="Arial"/>
          <w:sz w:val="20"/>
        </w:rPr>
        <w:t>teikėjo</w:t>
      </w:r>
      <w:r w:rsidR="00286FC4">
        <w:rPr>
          <w:rFonts w:ascii="Arial" w:hAnsi="Arial" w:cs="Arial"/>
          <w:sz w:val="20"/>
        </w:rPr>
        <w:t xml:space="preserve"> </w:t>
      </w:r>
      <w:r w:rsidRPr="00286FC4">
        <w:rPr>
          <w:rFonts w:ascii="Arial" w:hAnsi="Arial" w:cs="Arial"/>
          <w:sz w:val="20"/>
        </w:rPr>
        <w:t>nepriklausančių priežasčių, nebus reikalaujama mokėti Sutartyje numatytų delspinigių bei padengti nuostolius.</w:t>
      </w:r>
    </w:p>
    <w:p w14:paraId="1487C209" w14:textId="46CCC0C7" w:rsidR="00F61E15" w:rsidRPr="005E0186" w:rsidRDefault="00F61E15" w:rsidP="00F61E15">
      <w:pPr>
        <w:tabs>
          <w:tab w:val="left" w:pos="851"/>
          <w:tab w:val="left" w:pos="993"/>
          <w:tab w:val="left" w:pos="1134"/>
        </w:tabs>
        <w:rPr>
          <w:rFonts w:ascii="Arial" w:hAnsi="Arial" w:cs="Arial"/>
          <w:sz w:val="20"/>
        </w:rPr>
      </w:pPr>
      <w:r w:rsidRPr="005E0186">
        <w:rPr>
          <w:rFonts w:ascii="Arial" w:hAnsi="Arial" w:cs="Arial"/>
          <w:sz w:val="20"/>
        </w:rPr>
        <w:t>11. Po perdavimo-priėmimo akto pasirašymo dienos, pranešus apie aptiktas klaidas, Teikėjas privalo nedelsdamas ištaisyti klaidas ir per trumpiausią įmanomą laiką, bet ne vėliau kaip per 3 (tris) darbo dienas</w:t>
      </w:r>
      <w:r w:rsidR="005B6307">
        <w:rPr>
          <w:rFonts w:ascii="Arial" w:hAnsi="Arial" w:cs="Arial"/>
          <w:sz w:val="20"/>
        </w:rPr>
        <w:t>,</w:t>
      </w:r>
      <w:r w:rsidRPr="005E0186">
        <w:rPr>
          <w:rFonts w:ascii="Arial" w:hAnsi="Arial" w:cs="Arial"/>
          <w:sz w:val="20"/>
        </w:rPr>
        <w:t xml:space="preserve"> pateikti </w:t>
      </w:r>
      <w:r w:rsidRPr="005E0186">
        <w:rPr>
          <w:rFonts w:ascii="Arial" w:eastAsia="Calibri" w:hAnsi="Arial" w:cs="Arial"/>
          <w:bCs/>
          <w:iCs/>
          <w:sz w:val="20"/>
        </w:rPr>
        <w:t>Perkančiajai organizacijai</w:t>
      </w:r>
      <w:r w:rsidRPr="005E0186">
        <w:rPr>
          <w:rFonts w:ascii="Arial" w:hAnsi="Arial" w:cs="Arial"/>
          <w:sz w:val="20"/>
        </w:rPr>
        <w:t xml:space="preserve"> patikslintą</w:t>
      </w:r>
      <w:r w:rsidR="00001A48" w:rsidRPr="005E0186">
        <w:rPr>
          <w:rFonts w:ascii="Arial" w:hAnsi="Arial" w:cs="Arial"/>
          <w:sz w:val="20"/>
        </w:rPr>
        <w:t xml:space="preserve"> </w:t>
      </w:r>
      <w:r w:rsidR="00B241FD" w:rsidRPr="005E0186">
        <w:rPr>
          <w:rFonts w:ascii="Arial" w:hAnsi="Arial" w:cs="Arial"/>
          <w:sz w:val="20"/>
        </w:rPr>
        <w:t>sąnaudų ir naudos analizės</w:t>
      </w:r>
      <w:r w:rsidRPr="005E0186">
        <w:rPr>
          <w:rFonts w:ascii="Arial" w:hAnsi="Arial" w:cs="Arial"/>
          <w:sz w:val="20"/>
        </w:rPr>
        <w:t xml:space="preserve"> informaciją ir atnaujinti dokumentaciją be papildomo atlygio už tokio pobūdžio (t.y., Teikėjo padarytų klaidų taisymo) darbus. Klaidų, kurios būtų  aptiktos Perkančiajai organizacijai priėmus atliktus darbus iš Paslaugų teikėjo</w:t>
      </w:r>
      <w:r w:rsidR="00D84124">
        <w:rPr>
          <w:rFonts w:ascii="Arial" w:hAnsi="Arial" w:cs="Arial"/>
          <w:sz w:val="20"/>
        </w:rPr>
        <w:t>,</w:t>
      </w:r>
      <w:r w:rsidRPr="005E0186">
        <w:rPr>
          <w:rFonts w:ascii="Arial" w:hAnsi="Arial" w:cs="Arial"/>
          <w:sz w:val="20"/>
        </w:rPr>
        <w:t xml:space="preserve"> kartojimasis daugiau nei du kartus yra pagrindas nutraukti bendradarbiavimą su Paslaugų teikėju.</w:t>
      </w:r>
    </w:p>
    <w:p w14:paraId="372B8CBE" w14:textId="77777777" w:rsidR="00F61E15" w:rsidRPr="005E0186" w:rsidRDefault="00F61E15" w:rsidP="00F61E15">
      <w:pPr>
        <w:tabs>
          <w:tab w:val="left" w:pos="851"/>
          <w:tab w:val="left" w:pos="993"/>
          <w:tab w:val="left" w:pos="1134"/>
        </w:tabs>
        <w:rPr>
          <w:rFonts w:ascii="Arial" w:hAnsi="Arial" w:cs="Arial"/>
          <w:sz w:val="20"/>
        </w:rPr>
      </w:pPr>
      <w:r w:rsidRPr="005E0186">
        <w:rPr>
          <w:rFonts w:ascii="Arial" w:hAnsi="Arial" w:cs="Arial"/>
          <w:sz w:val="20"/>
        </w:rPr>
        <w:t>12.Visi rezultatai ir su jais susietos teisės, įgytos suteikus numatytas paslaugas, įskaitant autorines ir kitas intelektinės nuosavybės teises, yra Perkančiosios organizacijos nuosavybė, kurią ji gali naudoti, publikuoti, perleisti ar perduoti, kaip mano esant tinkama ir be jokių geografinių ar kitų apribojimų.</w:t>
      </w:r>
    </w:p>
    <w:p w14:paraId="1CC314B7" w14:textId="4181C652" w:rsidR="00F61E15" w:rsidRPr="005E0186" w:rsidRDefault="00F61E15" w:rsidP="00F61E15">
      <w:pPr>
        <w:tabs>
          <w:tab w:val="left" w:pos="851"/>
          <w:tab w:val="left" w:pos="993"/>
          <w:tab w:val="left" w:pos="1134"/>
        </w:tabs>
        <w:rPr>
          <w:rFonts w:ascii="Arial" w:hAnsi="Arial" w:cs="Arial"/>
          <w:sz w:val="20"/>
        </w:rPr>
      </w:pPr>
      <w:r w:rsidRPr="005E0186">
        <w:rPr>
          <w:rFonts w:ascii="Arial" w:hAnsi="Arial" w:cs="Arial"/>
          <w:sz w:val="20"/>
        </w:rPr>
        <w:t>13. Preliminarus kiekis:</w:t>
      </w:r>
    </w:p>
    <w:p w14:paraId="02FE7319" w14:textId="77777777" w:rsidR="00F61E15" w:rsidRPr="005E0186" w:rsidRDefault="00F61E15" w:rsidP="00F61E15">
      <w:pPr>
        <w:tabs>
          <w:tab w:val="left" w:pos="851"/>
          <w:tab w:val="left" w:pos="993"/>
          <w:tab w:val="left" w:pos="1134"/>
        </w:tabs>
        <w:rPr>
          <w:rFonts w:ascii="Arial" w:hAnsi="Arial" w:cs="Arial"/>
          <w:sz w:val="20"/>
        </w:rPr>
      </w:pPr>
    </w:p>
    <w:p w14:paraId="7692258D" w14:textId="77777777" w:rsidR="00F61E15" w:rsidRPr="005E0186" w:rsidRDefault="00F61E15" w:rsidP="00F61E15">
      <w:pPr>
        <w:tabs>
          <w:tab w:val="left" w:pos="851"/>
          <w:tab w:val="left" w:pos="993"/>
          <w:tab w:val="left" w:pos="1134"/>
        </w:tabs>
        <w:rPr>
          <w:rFonts w:ascii="Arial" w:hAnsi="Arial" w:cs="Arial"/>
          <w:sz w:val="20"/>
        </w:rPr>
      </w:pPr>
    </w:p>
    <w:tbl>
      <w:tblPr>
        <w:tblW w:w="6360" w:type="dxa"/>
        <w:tblInd w:w="5" w:type="dxa"/>
        <w:tblLayout w:type="fixed"/>
        <w:tblLook w:val="04A0" w:firstRow="1" w:lastRow="0" w:firstColumn="1" w:lastColumn="0" w:noHBand="0" w:noVBand="1"/>
      </w:tblPr>
      <w:tblGrid>
        <w:gridCol w:w="691"/>
        <w:gridCol w:w="3410"/>
        <w:gridCol w:w="1092"/>
        <w:gridCol w:w="1167"/>
      </w:tblGrid>
      <w:tr w:rsidR="00F61E15" w:rsidRPr="005E0186" w14:paraId="7E67B466" w14:textId="77777777" w:rsidTr="00340E5F">
        <w:trPr>
          <w:trHeight w:val="1241"/>
        </w:trPr>
        <w:tc>
          <w:tcPr>
            <w:tcW w:w="690" w:type="dxa"/>
            <w:tcBorders>
              <w:top w:val="single" w:sz="8" w:space="0" w:color="auto"/>
              <w:left w:val="single" w:sz="8" w:space="0" w:color="auto"/>
              <w:bottom w:val="single" w:sz="8" w:space="0" w:color="000000"/>
              <w:right w:val="single" w:sz="8" w:space="0" w:color="auto"/>
            </w:tcBorders>
            <w:vAlign w:val="center"/>
            <w:hideMark/>
          </w:tcPr>
          <w:p w14:paraId="5FB77727" w14:textId="77777777" w:rsidR="00F61E15" w:rsidRPr="005E0186" w:rsidRDefault="00F61E15" w:rsidP="00551BA2">
            <w:pPr>
              <w:spacing w:after="200" w:line="276" w:lineRule="auto"/>
              <w:jc w:val="center"/>
              <w:rPr>
                <w:rFonts w:ascii="Arial" w:eastAsia="Calibri" w:hAnsi="Arial" w:cs="Arial"/>
                <w:b/>
                <w:bCs/>
                <w:color w:val="000000"/>
                <w:sz w:val="20"/>
                <w:lang w:eastAsia="lt-LT"/>
              </w:rPr>
            </w:pPr>
            <w:r w:rsidRPr="005E0186">
              <w:rPr>
                <w:rFonts w:ascii="Arial" w:eastAsia="Calibri" w:hAnsi="Arial" w:cs="Arial"/>
                <w:b/>
                <w:bCs/>
                <w:color w:val="000000"/>
                <w:sz w:val="20"/>
                <w:lang w:eastAsia="lt-LT"/>
              </w:rPr>
              <w:lastRenderedPageBreak/>
              <w:t>Eil. Nr.</w:t>
            </w:r>
          </w:p>
        </w:tc>
        <w:tc>
          <w:tcPr>
            <w:tcW w:w="3406" w:type="dxa"/>
            <w:tcBorders>
              <w:top w:val="single" w:sz="8" w:space="0" w:color="auto"/>
              <w:left w:val="single" w:sz="8" w:space="0" w:color="auto"/>
              <w:bottom w:val="single" w:sz="8" w:space="0" w:color="000000"/>
              <w:right w:val="single" w:sz="8" w:space="0" w:color="auto"/>
            </w:tcBorders>
            <w:vAlign w:val="center"/>
            <w:hideMark/>
          </w:tcPr>
          <w:p w14:paraId="1C62F759" w14:textId="77777777" w:rsidR="00F61E15" w:rsidRPr="005E0186" w:rsidRDefault="00F61E15" w:rsidP="00551BA2">
            <w:pPr>
              <w:spacing w:after="200" w:line="276" w:lineRule="auto"/>
              <w:jc w:val="center"/>
              <w:rPr>
                <w:rFonts w:ascii="Arial" w:eastAsia="Calibri" w:hAnsi="Arial" w:cs="Arial"/>
                <w:b/>
                <w:bCs/>
                <w:color w:val="000000"/>
                <w:sz w:val="20"/>
                <w:lang w:eastAsia="lt-LT"/>
              </w:rPr>
            </w:pPr>
            <w:r w:rsidRPr="005E0186">
              <w:rPr>
                <w:rFonts w:ascii="Arial" w:eastAsia="Calibri" w:hAnsi="Arial" w:cs="Arial"/>
                <w:b/>
                <w:bCs/>
                <w:color w:val="000000"/>
                <w:sz w:val="20"/>
                <w:lang w:eastAsia="lt-LT"/>
              </w:rPr>
              <w:t>Paslaugų pavadinimas</w:t>
            </w:r>
          </w:p>
        </w:tc>
        <w:tc>
          <w:tcPr>
            <w:tcW w:w="1091" w:type="dxa"/>
            <w:tcBorders>
              <w:top w:val="single" w:sz="8" w:space="0" w:color="auto"/>
              <w:left w:val="nil"/>
              <w:bottom w:val="single" w:sz="4" w:space="0" w:color="auto"/>
              <w:right w:val="single" w:sz="8" w:space="0" w:color="auto"/>
            </w:tcBorders>
            <w:vAlign w:val="center"/>
            <w:hideMark/>
          </w:tcPr>
          <w:p w14:paraId="1BB7E58E" w14:textId="77777777" w:rsidR="00F61E15" w:rsidRPr="005E0186" w:rsidRDefault="00F61E15" w:rsidP="00551BA2">
            <w:pPr>
              <w:spacing w:after="200" w:line="276" w:lineRule="auto"/>
              <w:jc w:val="center"/>
              <w:rPr>
                <w:rFonts w:ascii="Arial" w:eastAsia="Calibri" w:hAnsi="Arial" w:cs="Arial"/>
                <w:b/>
                <w:bCs/>
                <w:color w:val="000000"/>
                <w:sz w:val="20"/>
                <w:lang w:eastAsia="lt-LT"/>
              </w:rPr>
            </w:pPr>
            <w:r w:rsidRPr="005E0186">
              <w:rPr>
                <w:rFonts w:ascii="Arial" w:eastAsia="Calibri" w:hAnsi="Arial" w:cs="Arial"/>
                <w:b/>
                <w:bCs/>
                <w:color w:val="000000"/>
                <w:sz w:val="20"/>
                <w:lang w:eastAsia="lt-LT"/>
              </w:rPr>
              <w:t xml:space="preserve">Mato </w:t>
            </w:r>
          </w:p>
          <w:p w14:paraId="78EE325A" w14:textId="77777777" w:rsidR="00F61E15" w:rsidRPr="005E0186" w:rsidRDefault="00F61E15" w:rsidP="00551BA2">
            <w:pPr>
              <w:spacing w:after="200" w:line="276" w:lineRule="auto"/>
              <w:jc w:val="center"/>
              <w:rPr>
                <w:rFonts w:ascii="Arial" w:eastAsia="Calibri" w:hAnsi="Arial" w:cs="Arial"/>
                <w:b/>
                <w:bCs/>
                <w:color w:val="000000"/>
                <w:sz w:val="20"/>
                <w:lang w:eastAsia="lt-LT"/>
              </w:rPr>
            </w:pPr>
            <w:r w:rsidRPr="005E0186">
              <w:rPr>
                <w:rFonts w:ascii="Arial" w:eastAsia="Calibri" w:hAnsi="Arial" w:cs="Arial"/>
                <w:b/>
                <w:bCs/>
                <w:color w:val="000000"/>
                <w:sz w:val="20"/>
                <w:lang w:eastAsia="lt-LT"/>
              </w:rPr>
              <w:t>vnt.</w:t>
            </w:r>
          </w:p>
        </w:tc>
        <w:tc>
          <w:tcPr>
            <w:tcW w:w="1166" w:type="dxa"/>
            <w:tcBorders>
              <w:top w:val="single" w:sz="8" w:space="0" w:color="auto"/>
              <w:left w:val="nil"/>
              <w:bottom w:val="single" w:sz="4" w:space="0" w:color="auto"/>
              <w:right w:val="single" w:sz="8" w:space="0" w:color="auto"/>
            </w:tcBorders>
            <w:vAlign w:val="center"/>
            <w:hideMark/>
          </w:tcPr>
          <w:p w14:paraId="650EA89E" w14:textId="77777777" w:rsidR="00F61E15" w:rsidRPr="005E0186" w:rsidRDefault="00F61E15" w:rsidP="00551BA2">
            <w:pPr>
              <w:spacing w:after="200" w:line="276" w:lineRule="auto"/>
              <w:jc w:val="center"/>
              <w:rPr>
                <w:rFonts w:ascii="Arial" w:eastAsia="Calibri" w:hAnsi="Arial" w:cs="Arial"/>
                <w:b/>
                <w:bCs/>
                <w:color w:val="000000"/>
                <w:sz w:val="20"/>
                <w:lang w:eastAsia="lt-LT"/>
              </w:rPr>
            </w:pPr>
            <w:r w:rsidRPr="005E0186">
              <w:rPr>
                <w:rFonts w:ascii="Arial" w:eastAsia="Calibri" w:hAnsi="Arial" w:cs="Arial"/>
                <w:b/>
                <w:bCs/>
                <w:color w:val="000000"/>
                <w:sz w:val="20"/>
                <w:lang w:eastAsia="lt-LT"/>
              </w:rPr>
              <w:t>Preli-minarus kiekis</w:t>
            </w:r>
          </w:p>
        </w:tc>
      </w:tr>
      <w:tr w:rsidR="00F61E15" w:rsidRPr="005E0186" w14:paraId="37C4E0D4" w14:textId="77777777" w:rsidTr="00340E5F">
        <w:trPr>
          <w:trHeight w:val="330"/>
        </w:trPr>
        <w:tc>
          <w:tcPr>
            <w:tcW w:w="690" w:type="dxa"/>
            <w:tcBorders>
              <w:top w:val="single" w:sz="4" w:space="0" w:color="auto"/>
              <w:left w:val="single" w:sz="4" w:space="0" w:color="auto"/>
              <w:bottom w:val="single" w:sz="4" w:space="0" w:color="auto"/>
              <w:right w:val="single" w:sz="4" w:space="0" w:color="auto"/>
            </w:tcBorders>
            <w:vAlign w:val="center"/>
            <w:hideMark/>
          </w:tcPr>
          <w:p w14:paraId="6B80A8AF" w14:textId="77777777" w:rsidR="00F61E15" w:rsidRPr="005E0186" w:rsidRDefault="00F61E15" w:rsidP="00551BA2">
            <w:pPr>
              <w:spacing w:after="200" w:line="276" w:lineRule="auto"/>
              <w:jc w:val="left"/>
              <w:rPr>
                <w:rFonts w:ascii="Arial" w:eastAsia="Calibri" w:hAnsi="Arial" w:cs="Arial"/>
                <w:color w:val="000000"/>
                <w:sz w:val="20"/>
                <w:lang w:eastAsia="lt-LT"/>
              </w:rPr>
            </w:pPr>
            <w:r w:rsidRPr="005E0186">
              <w:rPr>
                <w:rFonts w:ascii="Arial" w:eastAsia="Calibri" w:hAnsi="Arial" w:cs="Arial"/>
                <w:color w:val="000000"/>
                <w:sz w:val="20"/>
                <w:lang w:eastAsia="lt-LT"/>
              </w:rPr>
              <w:t>1.</w:t>
            </w:r>
          </w:p>
        </w:tc>
        <w:tc>
          <w:tcPr>
            <w:tcW w:w="3406" w:type="dxa"/>
            <w:tcBorders>
              <w:top w:val="single" w:sz="4" w:space="0" w:color="auto"/>
              <w:left w:val="single" w:sz="4" w:space="0" w:color="auto"/>
              <w:bottom w:val="single" w:sz="4" w:space="0" w:color="auto"/>
              <w:right w:val="single" w:sz="4" w:space="0" w:color="auto"/>
            </w:tcBorders>
            <w:vAlign w:val="center"/>
          </w:tcPr>
          <w:p w14:paraId="0542D42F" w14:textId="505FBDCC" w:rsidR="00F61E15" w:rsidRPr="005E0186" w:rsidRDefault="00D82BCD" w:rsidP="00340E5F">
            <w:pPr>
              <w:tabs>
                <w:tab w:val="left" w:pos="1134"/>
              </w:tabs>
              <w:rPr>
                <w:rFonts w:ascii="Arial" w:eastAsia="Calibri" w:hAnsi="Arial" w:cs="Arial"/>
                <w:color w:val="000000"/>
                <w:sz w:val="20"/>
                <w:lang w:eastAsia="lt-LT"/>
              </w:rPr>
            </w:pPr>
            <w:r>
              <w:rPr>
                <w:rFonts w:ascii="Arial" w:hAnsi="Arial" w:cs="Arial"/>
                <w:sz w:val="20"/>
              </w:rPr>
              <w:t>S</w:t>
            </w:r>
            <w:r w:rsidR="00B241FD" w:rsidRPr="005E0186">
              <w:rPr>
                <w:rFonts w:ascii="Arial" w:hAnsi="Arial" w:cs="Arial"/>
                <w:sz w:val="20"/>
              </w:rPr>
              <w:t xml:space="preserve">ąnaudų ir naudos analizių </w:t>
            </w:r>
            <w:r w:rsidR="00340E5F" w:rsidRPr="005E0186">
              <w:rPr>
                <w:rFonts w:ascii="Arial" w:hAnsi="Arial" w:cs="Arial"/>
                <w:sz w:val="20"/>
              </w:rPr>
              <w:t>parengim</w:t>
            </w:r>
            <w:r>
              <w:rPr>
                <w:rFonts w:ascii="Arial" w:hAnsi="Arial" w:cs="Arial"/>
                <w:sz w:val="20"/>
              </w:rPr>
              <w:t>as vadovaujantis CPVA metodika</w:t>
            </w:r>
          </w:p>
        </w:tc>
        <w:tc>
          <w:tcPr>
            <w:tcW w:w="1091" w:type="dxa"/>
            <w:tcBorders>
              <w:top w:val="single" w:sz="4" w:space="0" w:color="auto"/>
              <w:left w:val="single" w:sz="4" w:space="0" w:color="auto"/>
              <w:bottom w:val="single" w:sz="4" w:space="0" w:color="auto"/>
              <w:right w:val="single" w:sz="4" w:space="0" w:color="auto"/>
            </w:tcBorders>
            <w:vAlign w:val="center"/>
            <w:hideMark/>
          </w:tcPr>
          <w:p w14:paraId="6FD2C52B" w14:textId="39C32A83" w:rsidR="00F61E15" w:rsidRPr="005E0186" w:rsidRDefault="00676DA0" w:rsidP="00551BA2">
            <w:pPr>
              <w:spacing w:after="200" w:line="276" w:lineRule="auto"/>
              <w:jc w:val="center"/>
              <w:rPr>
                <w:rFonts w:ascii="Arial" w:eastAsia="Calibri" w:hAnsi="Arial" w:cs="Arial"/>
                <w:color w:val="000000"/>
                <w:sz w:val="20"/>
                <w:lang w:eastAsia="lt-LT"/>
              </w:rPr>
            </w:pPr>
            <w:r>
              <w:rPr>
                <w:rFonts w:ascii="Arial" w:eastAsia="Calibri" w:hAnsi="Arial" w:cs="Arial"/>
                <w:color w:val="000000"/>
                <w:sz w:val="20"/>
                <w:lang w:eastAsia="lt-LT"/>
              </w:rPr>
              <w:t>v</w:t>
            </w:r>
            <w:r w:rsidR="00F61E15" w:rsidRPr="005E0186">
              <w:rPr>
                <w:rFonts w:ascii="Arial" w:eastAsia="Calibri" w:hAnsi="Arial" w:cs="Arial"/>
                <w:color w:val="000000"/>
                <w:sz w:val="20"/>
                <w:lang w:eastAsia="lt-LT"/>
              </w:rPr>
              <w:t>nt.</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3E3085F" w14:textId="334E4C28" w:rsidR="00F61E15" w:rsidRPr="005E0186" w:rsidRDefault="00F61E15" w:rsidP="00551BA2">
            <w:pPr>
              <w:spacing w:after="200" w:line="276" w:lineRule="auto"/>
              <w:jc w:val="left"/>
              <w:rPr>
                <w:rFonts w:ascii="Arial" w:eastAsia="Calibri" w:hAnsi="Arial" w:cs="Arial"/>
                <w:color w:val="000000"/>
                <w:sz w:val="20"/>
                <w:lang w:eastAsia="lt-LT"/>
              </w:rPr>
            </w:pPr>
            <w:r w:rsidRPr="005E0186">
              <w:rPr>
                <w:rFonts w:ascii="Arial" w:eastAsia="Calibri" w:hAnsi="Arial" w:cs="Arial"/>
                <w:color w:val="000000"/>
                <w:sz w:val="20"/>
                <w:lang w:eastAsia="lt-LT"/>
              </w:rPr>
              <w:t xml:space="preserve">    </w:t>
            </w:r>
            <w:r w:rsidR="00B241FD" w:rsidRPr="005E0186">
              <w:rPr>
                <w:rFonts w:ascii="Arial" w:eastAsia="Calibri" w:hAnsi="Arial" w:cs="Arial"/>
                <w:color w:val="000000"/>
                <w:sz w:val="20"/>
                <w:lang w:eastAsia="lt-LT"/>
              </w:rPr>
              <w:t>10</w:t>
            </w:r>
          </w:p>
        </w:tc>
      </w:tr>
    </w:tbl>
    <w:p w14:paraId="1C771378" w14:textId="722BD9F6" w:rsidR="00F61E15" w:rsidRPr="005E0186" w:rsidRDefault="00F61E15" w:rsidP="00F61E15">
      <w:pPr>
        <w:rPr>
          <w:rFonts w:ascii="Arial" w:eastAsia="Calibri" w:hAnsi="Arial" w:cs="Arial"/>
          <w:sz w:val="20"/>
        </w:rPr>
      </w:pPr>
    </w:p>
    <w:p w14:paraId="1D7663C5" w14:textId="77777777" w:rsidR="00F61E15" w:rsidRPr="005E0186" w:rsidRDefault="00F61E15"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p>
    <w:p w14:paraId="3723DDB1" w14:textId="421DCB3E" w:rsidR="00E44CBF" w:rsidRPr="005E0186" w:rsidRDefault="00757D7F" w:rsidP="00E44CBF">
      <w:pPr>
        <w:pStyle w:val="Bodytext20"/>
        <w:shd w:val="clear" w:color="auto" w:fill="auto"/>
        <w:tabs>
          <w:tab w:val="left" w:pos="0"/>
        </w:tabs>
        <w:spacing w:line="240" w:lineRule="auto"/>
        <w:ind w:right="55" w:firstLine="0"/>
        <w:jc w:val="both"/>
        <w:rPr>
          <w:rFonts w:ascii="Arial" w:hAnsi="Arial" w:cs="Arial"/>
          <w:i w:val="0"/>
          <w:iCs w:val="0"/>
          <w:sz w:val="20"/>
          <w:szCs w:val="20"/>
        </w:rPr>
      </w:pPr>
      <w:r w:rsidRPr="00DF58AA">
        <w:rPr>
          <w:rFonts w:ascii="Arial" w:hAnsi="Arial" w:cs="Arial"/>
          <w:i w:val="0"/>
          <w:iCs w:val="0"/>
          <w:sz w:val="20"/>
          <w:szCs w:val="20"/>
        </w:rPr>
        <w:t xml:space="preserve">14. </w:t>
      </w:r>
      <w:r w:rsidR="000C2049" w:rsidRPr="00DF58AA">
        <w:rPr>
          <w:rFonts w:ascii="Arial" w:hAnsi="Arial" w:cs="Arial"/>
          <w:i w:val="0"/>
          <w:iCs w:val="0"/>
          <w:sz w:val="20"/>
          <w:szCs w:val="20"/>
        </w:rPr>
        <w:t>Atliekamas žaliasis pirkimas. Pirkimas vykdomas vadovaujantis Lietuvos Respublikos aplinkos ministro 2011 m. birželio 28 d. įsakymu Nr. D1-508 „Dėl aplinkos apsaugos kriterijų taikymo, vykdant žaliuosius pirkimus, tvarkos aprašo patvirtinimo“ 4 punkto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75FCB07B" w14:textId="088110BD" w:rsidR="00E44CBF" w:rsidRPr="005E0186" w:rsidRDefault="00E44CBF" w:rsidP="00E44CBF">
      <w:pPr>
        <w:pStyle w:val="Bodytext1"/>
        <w:shd w:val="clear" w:color="auto" w:fill="auto"/>
        <w:tabs>
          <w:tab w:val="left" w:pos="0"/>
        </w:tabs>
        <w:spacing w:before="0" w:after="0" w:line="240" w:lineRule="auto"/>
        <w:ind w:right="55" w:firstLine="0"/>
        <w:jc w:val="both"/>
        <w:rPr>
          <w:rFonts w:ascii="Arial" w:hAnsi="Arial" w:cs="Arial"/>
          <w:i/>
          <w:iCs/>
          <w:sz w:val="20"/>
          <w:szCs w:val="20"/>
        </w:rPr>
      </w:pPr>
    </w:p>
    <w:p w14:paraId="5A6BE652" w14:textId="6A07780A" w:rsidR="000F6511" w:rsidRPr="005E0186" w:rsidRDefault="000F6511"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p>
    <w:p w14:paraId="64CD6577" w14:textId="77777777" w:rsidR="009E28D4" w:rsidRPr="005E0186" w:rsidRDefault="009E28D4" w:rsidP="00E44CBF">
      <w:pPr>
        <w:pStyle w:val="Bodytext1"/>
        <w:shd w:val="clear" w:color="auto" w:fill="auto"/>
        <w:tabs>
          <w:tab w:val="left" w:pos="0"/>
        </w:tabs>
        <w:spacing w:before="0" w:after="0" w:line="240" w:lineRule="auto"/>
        <w:ind w:right="55" w:firstLine="0"/>
        <w:jc w:val="both"/>
        <w:rPr>
          <w:rFonts w:ascii="Arial" w:hAnsi="Arial" w:cs="Arial"/>
          <w:sz w:val="20"/>
          <w:szCs w:val="20"/>
        </w:rPr>
      </w:pPr>
    </w:p>
    <w:sectPr w:rsidR="009E28D4" w:rsidRPr="005E0186" w:rsidSect="002A5C9C">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AAEF" w14:textId="77777777" w:rsidR="00F02434" w:rsidRDefault="00F02434" w:rsidP="00EC4D0B">
      <w:r>
        <w:separator/>
      </w:r>
    </w:p>
  </w:endnote>
  <w:endnote w:type="continuationSeparator" w:id="0">
    <w:p w14:paraId="22D12B50" w14:textId="77777777" w:rsidR="00F02434" w:rsidRDefault="00F0243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BFE5" w14:textId="77777777" w:rsidR="00F02434" w:rsidRDefault="00F02434" w:rsidP="00EC4D0B">
      <w:r>
        <w:separator/>
      </w:r>
    </w:p>
  </w:footnote>
  <w:footnote w:type="continuationSeparator" w:id="0">
    <w:p w14:paraId="45BA265D" w14:textId="77777777" w:rsidR="00F02434" w:rsidRDefault="00F02434"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397"/>
      <w:gridCol w:w="4922"/>
      <w:gridCol w:w="1309"/>
    </w:tblGrid>
    <w:tr w:rsidR="00B157E1" w14:paraId="27E68F0D" w14:textId="77777777" w:rsidTr="00B07299">
      <w:trPr>
        <w:trHeight w:val="708"/>
      </w:trPr>
      <w:tc>
        <w:tcPr>
          <w:tcW w:w="3397" w:type="dxa"/>
          <w:vAlign w:val="center"/>
        </w:tcPr>
        <w:p w14:paraId="4E0FBFE7" w14:textId="34847B8D" w:rsidR="00B157E1" w:rsidRDefault="00B157E1" w:rsidP="00B31D3F">
          <w:pPr>
            <w:pStyle w:val="Antrats"/>
          </w:pPr>
          <w:r>
            <w:rPr>
              <w:noProof/>
            </w:rPr>
            <w:drawing>
              <wp:inline distT="0" distB="0" distL="0" distR="0" wp14:anchorId="59849AED" wp14:editId="4F386A9C">
                <wp:extent cx="1613640" cy="206023"/>
                <wp:effectExtent l="0" t="0" r="0" b="0"/>
                <wp:docPr id="20137828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22" w:type="dxa"/>
          <w:shd w:val="clear" w:color="auto" w:fill="auto"/>
          <w:vAlign w:val="center"/>
        </w:tcPr>
        <w:p w14:paraId="4D41CFE4" w14:textId="45390478" w:rsidR="00B157E1" w:rsidRPr="00500F46" w:rsidRDefault="00B157E1" w:rsidP="00B31D3F">
          <w:pPr>
            <w:pStyle w:val="Antrats"/>
            <w:jc w:val="center"/>
            <w:rPr>
              <w:b/>
              <w:bCs/>
              <w:sz w:val="24"/>
              <w:szCs w:val="28"/>
            </w:rPr>
          </w:pPr>
          <w:r w:rsidRPr="002C1403">
            <w:rPr>
              <w:b/>
              <w:caps/>
              <w:sz w:val="24"/>
              <w:szCs w:val="28"/>
            </w:rPr>
            <w:t>Techninė specifikacij</w:t>
          </w:r>
          <w:r>
            <w:rPr>
              <w:b/>
              <w:caps/>
              <w:sz w:val="24"/>
              <w:szCs w:val="28"/>
            </w:rPr>
            <w:t>A</w:t>
          </w:r>
        </w:p>
      </w:tc>
      <w:tc>
        <w:tcPr>
          <w:tcW w:w="1309" w:type="dxa"/>
          <w:vAlign w:val="center"/>
        </w:tcPr>
        <w:p w14:paraId="70D148E6" w14:textId="08B86885" w:rsidR="00B157E1" w:rsidRPr="00FD42B8" w:rsidRDefault="00B157E1" w:rsidP="00B31D3F">
          <w:pPr>
            <w:pStyle w:val="Antrats"/>
            <w:rPr>
              <w:rFonts w:cs="Calibri"/>
              <w:color w:val="000000"/>
              <w:szCs w:val="20"/>
            </w:rPr>
          </w:pPr>
          <w:r>
            <w:rPr>
              <w:rFonts w:cs="Calibri"/>
              <w:color w:val="000000"/>
              <w:szCs w:val="20"/>
            </w:rPr>
            <w:t>1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397"/>
      <w:gridCol w:w="4926"/>
      <w:gridCol w:w="1305"/>
    </w:tblGrid>
    <w:tr w:rsidR="00E53EE0" w14:paraId="55F10952" w14:textId="77777777" w:rsidTr="00B157E1">
      <w:trPr>
        <w:trHeight w:val="708"/>
      </w:trPr>
      <w:tc>
        <w:tcPr>
          <w:tcW w:w="3397" w:type="dxa"/>
          <w:vAlign w:val="center"/>
        </w:tcPr>
        <w:p w14:paraId="6F8E6B3A" w14:textId="0DD61B89" w:rsidR="00E53EE0" w:rsidRDefault="00B157E1" w:rsidP="009E569C">
          <w:pPr>
            <w:pStyle w:val="Antrats"/>
          </w:pPr>
          <w:r>
            <w:rPr>
              <w:noProof/>
            </w:rPr>
            <w:drawing>
              <wp:inline distT="0" distB="0" distL="0" distR="0" wp14:anchorId="69EB1C9A" wp14:editId="7BB524DF">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26" w:type="dxa"/>
          <w:shd w:val="clear" w:color="auto" w:fill="auto"/>
          <w:vAlign w:val="center"/>
        </w:tcPr>
        <w:p w14:paraId="45B48017" w14:textId="08C6EFBD" w:rsidR="00E53EE0" w:rsidRPr="00500F46" w:rsidRDefault="00E53EE0" w:rsidP="009E569C">
          <w:pPr>
            <w:pStyle w:val="Antrats"/>
            <w:jc w:val="center"/>
            <w:rPr>
              <w:b/>
              <w:bCs/>
              <w:sz w:val="24"/>
              <w:szCs w:val="28"/>
            </w:rPr>
          </w:pPr>
          <w:r w:rsidRPr="002C1403">
            <w:rPr>
              <w:b/>
              <w:caps/>
              <w:sz w:val="24"/>
              <w:szCs w:val="28"/>
            </w:rPr>
            <w:t>Techninė specifikacij</w:t>
          </w:r>
          <w:r>
            <w:rPr>
              <w:b/>
              <w:caps/>
              <w:sz w:val="24"/>
              <w:szCs w:val="28"/>
            </w:rPr>
            <w:t>A</w:t>
          </w:r>
        </w:p>
      </w:tc>
      <w:tc>
        <w:tcPr>
          <w:tcW w:w="1305" w:type="dxa"/>
          <w:vAlign w:val="center"/>
        </w:tcPr>
        <w:p w14:paraId="38A2BB1D" w14:textId="48087FA1" w:rsidR="00E53EE0" w:rsidRPr="00E53EE0" w:rsidRDefault="00E53EE0" w:rsidP="009E569C">
          <w:pPr>
            <w:pStyle w:val="Antrats"/>
            <w:rPr>
              <w:rFonts w:cs="Calibri"/>
              <w:b/>
              <w:bCs/>
              <w:color w:val="000000"/>
              <w:szCs w:val="20"/>
            </w:rPr>
          </w:pPr>
          <w:r w:rsidRPr="00E53EE0">
            <w:rPr>
              <w:rFonts w:cs="Calibri"/>
              <w:b/>
              <w:bCs/>
              <w:color w:val="000000"/>
              <w:szCs w:val="20"/>
            </w:rPr>
            <w:t>1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16F"/>
    <w:multiLevelType w:val="multilevel"/>
    <w:tmpl w:val="1B92301E"/>
    <w:lvl w:ilvl="0">
      <w:start w:val="10"/>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6"/>
  </w:num>
  <w:num w:numId="2" w16cid:durableId="1351029735">
    <w:abstractNumId w:val="3"/>
  </w:num>
  <w:num w:numId="3" w16cid:durableId="2080252091">
    <w:abstractNumId w:val="4"/>
  </w:num>
  <w:num w:numId="4" w16cid:durableId="1015035112">
    <w:abstractNumId w:val="5"/>
  </w:num>
  <w:num w:numId="5" w16cid:durableId="1159930471">
    <w:abstractNumId w:val="1"/>
  </w:num>
  <w:num w:numId="6" w16cid:durableId="1354921942">
    <w:abstractNumId w:val="7"/>
  </w:num>
  <w:num w:numId="7" w16cid:durableId="1461610445">
    <w:abstractNumId w:val="2"/>
  </w:num>
  <w:num w:numId="8" w16cid:durableId="1482310448">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A48"/>
    <w:rsid w:val="00010285"/>
    <w:rsid w:val="00011E8B"/>
    <w:rsid w:val="00027751"/>
    <w:rsid w:val="0003313F"/>
    <w:rsid w:val="00034AD1"/>
    <w:rsid w:val="0004380B"/>
    <w:rsid w:val="00074AE3"/>
    <w:rsid w:val="0008011D"/>
    <w:rsid w:val="00082FF5"/>
    <w:rsid w:val="00083194"/>
    <w:rsid w:val="00085B18"/>
    <w:rsid w:val="00086E13"/>
    <w:rsid w:val="000948A1"/>
    <w:rsid w:val="000957F1"/>
    <w:rsid w:val="000A5B4D"/>
    <w:rsid w:val="000A7249"/>
    <w:rsid w:val="000B5263"/>
    <w:rsid w:val="000C2049"/>
    <w:rsid w:val="000C24B2"/>
    <w:rsid w:val="000D5588"/>
    <w:rsid w:val="000D5D8D"/>
    <w:rsid w:val="000E27C2"/>
    <w:rsid w:val="000E5B1C"/>
    <w:rsid w:val="000F1DB6"/>
    <w:rsid w:val="000F4907"/>
    <w:rsid w:val="000F5711"/>
    <w:rsid w:val="000F6511"/>
    <w:rsid w:val="00110CCB"/>
    <w:rsid w:val="0012301A"/>
    <w:rsid w:val="00132400"/>
    <w:rsid w:val="0013656E"/>
    <w:rsid w:val="001376E6"/>
    <w:rsid w:val="0014684C"/>
    <w:rsid w:val="00150302"/>
    <w:rsid w:val="0015165C"/>
    <w:rsid w:val="00152CA2"/>
    <w:rsid w:val="0016409E"/>
    <w:rsid w:val="001661C7"/>
    <w:rsid w:val="0016744B"/>
    <w:rsid w:val="001725FF"/>
    <w:rsid w:val="00193C31"/>
    <w:rsid w:val="001940D3"/>
    <w:rsid w:val="00194D5E"/>
    <w:rsid w:val="001A2945"/>
    <w:rsid w:val="001A3260"/>
    <w:rsid w:val="001A7BF0"/>
    <w:rsid w:val="001B18E5"/>
    <w:rsid w:val="001B2B60"/>
    <w:rsid w:val="001B4624"/>
    <w:rsid w:val="001C3CD7"/>
    <w:rsid w:val="001D7D4A"/>
    <w:rsid w:val="001E05FB"/>
    <w:rsid w:val="001E2B8D"/>
    <w:rsid w:val="001E564A"/>
    <w:rsid w:val="001E68E3"/>
    <w:rsid w:val="00200A98"/>
    <w:rsid w:val="00202C04"/>
    <w:rsid w:val="00204DB7"/>
    <w:rsid w:val="00205822"/>
    <w:rsid w:val="00232369"/>
    <w:rsid w:val="002369C6"/>
    <w:rsid w:val="0025076B"/>
    <w:rsid w:val="002566B7"/>
    <w:rsid w:val="00261068"/>
    <w:rsid w:val="0026400F"/>
    <w:rsid w:val="00265EC4"/>
    <w:rsid w:val="002722F2"/>
    <w:rsid w:val="00273AB4"/>
    <w:rsid w:val="002836FE"/>
    <w:rsid w:val="00286FC4"/>
    <w:rsid w:val="00291AAC"/>
    <w:rsid w:val="00293A51"/>
    <w:rsid w:val="002A0C50"/>
    <w:rsid w:val="002A5C9C"/>
    <w:rsid w:val="002A60BD"/>
    <w:rsid w:val="002A676B"/>
    <w:rsid w:val="002B3F13"/>
    <w:rsid w:val="002C1403"/>
    <w:rsid w:val="002C1672"/>
    <w:rsid w:val="002C72B9"/>
    <w:rsid w:val="002D4C57"/>
    <w:rsid w:val="002D6142"/>
    <w:rsid w:val="002E0940"/>
    <w:rsid w:val="002E7254"/>
    <w:rsid w:val="002F04F9"/>
    <w:rsid w:val="002F1CFD"/>
    <w:rsid w:val="002F4D7E"/>
    <w:rsid w:val="002F58A5"/>
    <w:rsid w:val="002F65FC"/>
    <w:rsid w:val="00315165"/>
    <w:rsid w:val="0032145C"/>
    <w:rsid w:val="00327BC6"/>
    <w:rsid w:val="00334066"/>
    <w:rsid w:val="003343AE"/>
    <w:rsid w:val="0033443A"/>
    <w:rsid w:val="00340E5F"/>
    <w:rsid w:val="003431BD"/>
    <w:rsid w:val="00346096"/>
    <w:rsid w:val="00346944"/>
    <w:rsid w:val="00346B2C"/>
    <w:rsid w:val="0035225B"/>
    <w:rsid w:val="00363C92"/>
    <w:rsid w:val="00365270"/>
    <w:rsid w:val="003670F6"/>
    <w:rsid w:val="0037261E"/>
    <w:rsid w:val="00372E1A"/>
    <w:rsid w:val="00384823"/>
    <w:rsid w:val="00391772"/>
    <w:rsid w:val="003922F5"/>
    <w:rsid w:val="0039376C"/>
    <w:rsid w:val="00395512"/>
    <w:rsid w:val="003972F1"/>
    <w:rsid w:val="003977F5"/>
    <w:rsid w:val="003A3326"/>
    <w:rsid w:val="003A6BA0"/>
    <w:rsid w:val="003B03DB"/>
    <w:rsid w:val="003B0564"/>
    <w:rsid w:val="003B22D9"/>
    <w:rsid w:val="003B3009"/>
    <w:rsid w:val="003B4AB5"/>
    <w:rsid w:val="003C18D8"/>
    <w:rsid w:val="003C2D1D"/>
    <w:rsid w:val="003C6EED"/>
    <w:rsid w:val="003D4EB3"/>
    <w:rsid w:val="003D52D4"/>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3638"/>
    <w:rsid w:val="0046686C"/>
    <w:rsid w:val="004742EC"/>
    <w:rsid w:val="00480C7E"/>
    <w:rsid w:val="004877C3"/>
    <w:rsid w:val="00493146"/>
    <w:rsid w:val="004952A7"/>
    <w:rsid w:val="004A262F"/>
    <w:rsid w:val="004B6E9C"/>
    <w:rsid w:val="004C06A1"/>
    <w:rsid w:val="004D3A0F"/>
    <w:rsid w:val="004D6FF2"/>
    <w:rsid w:val="004E2CB6"/>
    <w:rsid w:val="004E424B"/>
    <w:rsid w:val="004E62D7"/>
    <w:rsid w:val="00500F46"/>
    <w:rsid w:val="0050650D"/>
    <w:rsid w:val="00514334"/>
    <w:rsid w:val="00515AAC"/>
    <w:rsid w:val="00516061"/>
    <w:rsid w:val="005222B7"/>
    <w:rsid w:val="00522A41"/>
    <w:rsid w:val="00522BB7"/>
    <w:rsid w:val="00530EF2"/>
    <w:rsid w:val="00533F71"/>
    <w:rsid w:val="00534EF1"/>
    <w:rsid w:val="0053600D"/>
    <w:rsid w:val="005439F6"/>
    <w:rsid w:val="0054552B"/>
    <w:rsid w:val="005649D3"/>
    <w:rsid w:val="0056744B"/>
    <w:rsid w:val="00570CC3"/>
    <w:rsid w:val="0057565E"/>
    <w:rsid w:val="00584B80"/>
    <w:rsid w:val="005A0F32"/>
    <w:rsid w:val="005A23E4"/>
    <w:rsid w:val="005A2578"/>
    <w:rsid w:val="005A7973"/>
    <w:rsid w:val="005B6307"/>
    <w:rsid w:val="005C6C58"/>
    <w:rsid w:val="005D4E25"/>
    <w:rsid w:val="005D631A"/>
    <w:rsid w:val="005D6F1F"/>
    <w:rsid w:val="005E0186"/>
    <w:rsid w:val="005E4DE2"/>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51873"/>
    <w:rsid w:val="006609F8"/>
    <w:rsid w:val="00676DA0"/>
    <w:rsid w:val="00680EA0"/>
    <w:rsid w:val="00683FAC"/>
    <w:rsid w:val="006902A7"/>
    <w:rsid w:val="0069136D"/>
    <w:rsid w:val="0069268A"/>
    <w:rsid w:val="00693D2E"/>
    <w:rsid w:val="00696A4E"/>
    <w:rsid w:val="00696AB4"/>
    <w:rsid w:val="006A0584"/>
    <w:rsid w:val="006A3084"/>
    <w:rsid w:val="006A40C9"/>
    <w:rsid w:val="006A79C3"/>
    <w:rsid w:val="006B414E"/>
    <w:rsid w:val="006B5668"/>
    <w:rsid w:val="006C35E5"/>
    <w:rsid w:val="006D2FF2"/>
    <w:rsid w:val="006E7003"/>
    <w:rsid w:val="006F3B16"/>
    <w:rsid w:val="00716421"/>
    <w:rsid w:val="0072566E"/>
    <w:rsid w:val="007459E9"/>
    <w:rsid w:val="00756EB2"/>
    <w:rsid w:val="00757D7F"/>
    <w:rsid w:val="00765DA1"/>
    <w:rsid w:val="00766F6B"/>
    <w:rsid w:val="00770625"/>
    <w:rsid w:val="00786840"/>
    <w:rsid w:val="00790DCB"/>
    <w:rsid w:val="0079418E"/>
    <w:rsid w:val="007A0188"/>
    <w:rsid w:val="007A217F"/>
    <w:rsid w:val="007A42CF"/>
    <w:rsid w:val="007A5584"/>
    <w:rsid w:val="007B040F"/>
    <w:rsid w:val="007B5EB3"/>
    <w:rsid w:val="007B66F6"/>
    <w:rsid w:val="007C0027"/>
    <w:rsid w:val="007C0995"/>
    <w:rsid w:val="007C24AA"/>
    <w:rsid w:val="007C36CB"/>
    <w:rsid w:val="007C635E"/>
    <w:rsid w:val="007D0B89"/>
    <w:rsid w:val="007D1098"/>
    <w:rsid w:val="007E13C6"/>
    <w:rsid w:val="007E2C18"/>
    <w:rsid w:val="007F6185"/>
    <w:rsid w:val="008002F6"/>
    <w:rsid w:val="00800367"/>
    <w:rsid w:val="008035E8"/>
    <w:rsid w:val="00806038"/>
    <w:rsid w:val="0080603F"/>
    <w:rsid w:val="00807326"/>
    <w:rsid w:val="00807B7E"/>
    <w:rsid w:val="00814AD6"/>
    <w:rsid w:val="00825735"/>
    <w:rsid w:val="00835728"/>
    <w:rsid w:val="00835BA1"/>
    <w:rsid w:val="00835EE5"/>
    <w:rsid w:val="0084382C"/>
    <w:rsid w:val="008504B4"/>
    <w:rsid w:val="00856801"/>
    <w:rsid w:val="00867969"/>
    <w:rsid w:val="0087202B"/>
    <w:rsid w:val="00876CE1"/>
    <w:rsid w:val="00893D82"/>
    <w:rsid w:val="008A1EC5"/>
    <w:rsid w:val="008A30EA"/>
    <w:rsid w:val="008A3157"/>
    <w:rsid w:val="008C3DF6"/>
    <w:rsid w:val="008D0114"/>
    <w:rsid w:val="008D3215"/>
    <w:rsid w:val="008E397B"/>
    <w:rsid w:val="008E4684"/>
    <w:rsid w:val="008F5908"/>
    <w:rsid w:val="00904A80"/>
    <w:rsid w:val="0090587F"/>
    <w:rsid w:val="00946A9F"/>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8D4"/>
    <w:rsid w:val="009E2A62"/>
    <w:rsid w:val="009E569C"/>
    <w:rsid w:val="009F49C3"/>
    <w:rsid w:val="009F7223"/>
    <w:rsid w:val="00A03585"/>
    <w:rsid w:val="00A0361A"/>
    <w:rsid w:val="00A149A5"/>
    <w:rsid w:val="00A21236"/>
    <w:rsid w:val="00A335D5"/>
    <w:rsid w:val="00A40BEA"/>
    <w:rsid w:val="00A455CA"/>
    <w:rsid w:val="00A6087C"/>
    <w:rsid w:val="00A61256"/>
    <w:rsid w:val="00A67084"/>
    <w:rsid w:val="00A67458"/>
    <w:rsid w:val="00A725FC"/>
    <w:rsid w:val="00A7507A"/>
    <w:rsid w:val="00A84B07"/>
    <w:rsid w:val="00A87DCE"/>
    <w:rsid w:val="00A93D3D"/>
    <w:rsid w:val="00A97EA5"/>
    <w:rsid w:val="00AA13A8"/>
    <w:rsid w:val="00AA2CD9"/>
    <w:rsid w:val="00AA4911"/>
    <w:rsid w:val="00AA5011"/>
    <w:rsid w:val="00AA52CB"/>
    <w:rsid w:val="00AB3028"/>
    <w:rsid w:val="00AC1F6E"/>
    <w:rsid w:val="00AC4DE9"/>
    <w:rsid w:val="00AC654C"/>
    <w:rsid w:val="00AC6B8E"/>
    <w:rsid w:val="00AC7983"/>
    <w:rsid w:val="00AD3466"/>
    <w:rsid w:val="00AD4916"/>
    <w:rsid w:val="00AD63B6"/>
    <w:rsid w:val="00AD7AF0"/>
    <w:rsid w:val="00AE1AA8"/>
    <w:rsid w:val="00AE30A9"/>
    <w:rsid w:val="00AE65D7"/>
    <w:rsid w:val="00AE6A46"/>
    <w:rsid w:val="00AE6EA9"/>
    <w:rsid w:val="00AE7106"/>
    <w:rsid w:val="00AF1C6E"/>
    <w:rsid w:val="00AF3F1B"/>
    <w:rsid w:val="00AF4A50"/>
    <w:rsid w:val="00AF5F91"/>
    <w:rsid w:val="00AF64A6"/>
    <w:rsid w:val="00B03BB2"/>
    <w:rsid w:val="00B07D62"/>
    <w:rsid w:val="00B10687"/>
    <w:rsid w:val="00B13260"/>
    <w:rsid w:val="00B157E1"/>
    <w:rsid w:val="00B15FED"/>
    <w:rsid w:val="00B22376"/>
    <w:rsid w:val="00B224B0"/>
    <w:rsid w:val="00B241FD"/>
    <w:rsid w:val="00B25E77"/>
    <w:rsid w:val="00B270C3"/>
    <w:rsid w:val="00B31D3F"/>
    <w:rsid w:val="00B42C55"/>
    <w:rsid w:val="00B4322F"/>
    <w:rsid w:val="00B47E45"/>
    <w:rsid w:val="00B56571"/>
    <w:rsid w:val="00B62ED9"/>
    <w:rsid w:val="00B64A39"/>
    <w:rsid w:val="00B703B9"/>
    <w:rsid w:val="00B74ED2"/>
    <w:rsid w:val="00B8713B"/>
    <w:rsid w:val="00B93799"/>
    <w:rsid w:val="00BA6CB9"/>
    <w:rsid w:val="00BB088C"/>
    <w:rsid w:val="00BB1A18"/>
    <w:rsid w:val="00BC32F7"/>
    <w:rsid w:val="00BD27F5"/>
    <w:rsid w:val="00BD5AD4"/>
    <w:rsid w:val="00BD6417"/>
    <w:rsid w:val="00BE01C7"/>
    <w:rsid w:val="00BF73A7"/>
    <w:rsid w:val="00C021D5"/>
    <w:rsid w:val="00C02327"/>
    <w:rsid w:val="00C139F4"/>
    <w:rsid w:val="00C22A3B"/>
    <w:rsid w:val="00C234E3"/>
    <w:rsid w:val="00C25083"/>
    <w:rsid w:val="00C26167"/>
    <w:rsid w:val="00C2718C"/>
    <w:rsid w:val="00C2798F"/>
    <w:rsid w:val="00C32513"/>
    <w:rsid w:val="00C34FE5"/>
    <w:rsid w:val="00C40923"/>
    <w:rsid w:val="00C462C4"/>
    <w:rsid w:val="00C50CE5"/>
    <w:rsid w:val="00C5563D"/>
    <w:rsid w:val="00C55CF7"/>
    <w:rsid w:val="00C56D2E"/>
    <w:rsid w:val="00C66064"/>
    <w:rsid w:val="00C703E8"/>
    <w:rsid w:val="00C70481"/>
    <w:rsid w:val="00C721C5"/>
    <w:rsid w:val="00C73A5C"/>
    <w:rsid w:val="00C7421D"/>
    <w:rsid w:val="00C76E63"/>
    <w:rsid w:val="00C8227F"/>
    <w:rsid w:val="00C85A52"/>
    <w:rsid w:val="00C8765E"/>
    <w:rsid w:val="00C910FE"/>
    <w:rsid w:val="00C91FC6"/>
    <w:rsid w:val="00C975D2"/>
    <w:rsid w:val="00C97992"/>
    <w:rsid w:val="00CA04CF"/>
    <w:rsid w:val="00CB3A26"/>
    <w:rsid w:val="00CC36A1"/>
    <w:rsid w:val="00CD691C"/>
    <w:rsid w:val="00D05BF5"/>
    <w:rsid w:val="00D173BF"/>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2BCD"/>
    <w:rsid w:val="00D82E6C"/>
    <w:rsid w:val="00D84124"/>
    <w:rsid w:val="00DB4FE8"/>
    <w:rsid w:val="00DC2BDE"/>
    <w:rsid w:val="00DC336E"/>
    <w:rsid w:val="00DD2F72"/>
    <w:rsid w:val="00DD550A"/>
    <w:rsid w:val="00DD769E"/>
    <w:rsid w:val="00DE208B"/>
    <w:rsid w:val="00DF1D10"/>
    <w:rsid w:val="00DF58AA"/>
    <w:rsid w:val="00E029DC"/>
    <w:rsid w:val="00E03F5B"/>
    <w:rsid w:val="00E12DAC"/>
    <w:rsid w:val="00E161E6"/>
    <w:rsid w:val="00E202D3"/>
    <w:rsid w:val="00E203E4"/>
    <w:rsid w:val="00E215F0"/>
    <w:rsid w:val="00E30246"/>
    <w:rsid w:val="00E36449"/>
    <w:rsid w:val="00E4296C"/>
    <w:rsid w:val="00E44CBF"/>
    <w:rsid w:val="00E4564F"/>
    <w:rsid w:val="00E45C10"/>
    <w:rsid w:val="00E45CEB"/>
    <w:rsid w:val="00E4729D"/>
    <w:rsid w:val="00E51748"/>
    <w:rsid w:val="00E53EE0"/>
    <w:rsid w:val="00E564D4"/>
    <w:rsid w:val="00E60283"/>
    <w:rsid w:val="00E631E1"/>
    <w:rsid w:val="00E73BE4"/>
    <w:rsid w:val="00E757F1"/>
    <w:rsid w:val="00E8126E"/>
    <w:rsid w:val="00E91725"/>
    <w:rsid w:val="00E931F4"/>
    <w:rsid w:val="00E93728"/>
    <w:rsid w:val="00E946CB"/>
    <w:rsid w:val="00EA073D"/>
    <w:rsid w:val="00EA3A36"/>
    <w:rsid w:val="00EA4B3E"/>
    <w:rsid w:val="00EB627D"/>
    <w:rsid w:val="00EC4D0B"/>
    <w:rsid w:val="00EC4E2D"/>
    <w:rsid w:val="00ED16CB"/>
    <w:rsid w:val="00ED7F96"/>
    <w:rsid w:val="00EE4D34"/>
    <w:rsid w:val="00EF0BC8"/>
    <w:rsid w:val="00EF1A7B"/>
    <w:rsid w:val="00EF632B"/>
    <w:rsid w:val="00EF7DB0"/>
    <w:rsid w:val="00F02434"/>
    <w:rsid w:val="00F042EF"/>
    <w:rsid w:val="00F04F33"/>
    <w:rsid w:val="00F06766"/>
    <w:rsid w:val="00F17F6F"/>
    <w:rsid w:val="00F20C9B"/>
    <w:rsid w:val="00F223DE"/>
    <w:rsid w:val="00F31705"/>
    <w:rsid w:val="00F533D5"/>
    <w:rsid w:val="00F54573"/>
    <w:rsid w:val="00F61147"/>
    <w:rsid w:val="00F61E15"/>
    <w:rsid w:val="00F63133"/>
    <w:rsid w:val="00F70034"/>
    <w:rsid w:val="00F75A12"/>
    <w:rsid w:val="00F92223"/>
    <w:rsid w:val="00F973FA"/>
    <w:rsid w:val="00F97F51"/>
    <w:rsid w:val="00FA2209"/>
    <w:rsid w:val="00FA2F1F"/>
    <w:rsid w:val="00FB0519"/>
    <w:rsid w:val="00FB1AC6"/>
    <w:rsid w:val="00FB600A"/>
    <w:rsid w:val="00FC1B0B"/>
    <w:rsid w:val="00FC403E"/>
    <w:rsid w:val="00FC7822"/>
    <w:rsid w:val="00FD0018"/>
    <w:rsid w:val="00FD2106"/>
    <w:rsid w:val="00FD2E59"/>
    <w:rsid w:val="00FD42B8"/>
    <w:rsid w:val="00FE05E7"/>
    <w:rsid w:val="00FE43DE"/>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1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3183</Words>
  <Characters>1815</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9</cp:revision>
  <dcterms:created xsi:type="dcterms:W3CDTF">2025-01-16T13:07:00Z</dcterms:created>
  <dcterms:modified xsi:type="dcterms:W3CDTF">2025-01-22T08:26:00Z</dcterms:modified>
</cp:coreProperties>
</file>