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6E7451"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6109C335" w:rsidR="001B7327" w:rsidRPr="00B02194" w:rsidRDefault="006E7451" w:rsidP="008C1137">
            <w:pPr>
              <w:spacing w:after="20" w:line="240" w:lineRule="auto"/>
              <w:ind w:right="-68"/>
              <w:rPr>
                <w:rFonts w:ascii="Times New Roman" w:hAnsi="Times New Roman" w:cs="Times New Roman"/>
                <w:sz w:val="20"/>
                <w:szCs w:val="20"/>
              </w:rPr>
            </w:pPr>
            <w:r>
              <w:rPr>
                <w:rFonts w:ascii="Times New Roman" w:hAnsi="Times New Roman" w:cs="Times New Roman"/>
                <w:sz w:val="20"/>
                <w:szCs w:val="20"/>
              </w:rPr>
              <w:t xml:space="preserve">Tęstinio skyriaus vedėjas Aivaras Lajauskas, </w:t>
            </w:r>
            <w:hyperlink r:id="rId8" w:history="1">
              <w:r>
                <w:rPr>
                  <w:rStyle w:val="Hyperlink"/>
                  <w:rFonts w:ascii="Times New Roman" w:hAnsi="Times New Roman" w:cs="Times New Roman"/>
                  <w:sz w:val="20"/>
                  <w:szCs w:val="20"/>
                </w:rPr>
                <w:t>aivaras.lajauskas@klaipedosgpmc.lt</w:t>
              </w:r>
            </w:hyperlink>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2209F381" w:rsidR="00BD7D67" w:rsidRPr="00B02194" w:rsidRDefault="00ED5740" w:rsidP="00AB7E65">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AB7E65">
              <w:rPr>
                <w:rFonts w:ascii="Times New Roman" w:hAnsi="Times New Roman" w:cs="Times New Roman"/>
                <w:i/>
                <w:sz w:val="20"/>
                <w:szCs w:val="20"/>
              </w:rPr>
              <w:t xml:space="preserve">Suvirinimo įrangą </w:t>
            </w:r>
            <w:r>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420B9715" w:rsidR="00660DC6" w:rsidRPr="00CE608A" w:rsidRDefault="008B24A9"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Ne vėliau kaip per 10 (dešimt) savaičių nuo Sutarties pasirašymo datos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0A319BFF" w:rsidR="0069699C" w:rsidRPr="00CE608A" w:rsidRDefault="00AB7E65" w:rsidP="00245CF9">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Iki 2 (dviejų) savaičių nuo Tiekėjo nepriklausančių priežasčių</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141EC4">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648234A2"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74358012" w:rsidR="00FB42BE" w:rsidRPr="00B02194" w:rsidRDefault="00AB7E65"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 xml:space="preserve">Sutarties 2 priedas – pasiūlymas </w:t>
            </w:r>
            <w:r w:rsidRPr="00AB7E65">
              <w:rPr>
                <w:rFonts w:ascii="Times New Roman" w:hAnsi="Times New Roman" w:cs="Times New Roman"/>
                <w:bCs/>
                <w:color w:val="FF0000"/>
                <w:sz w:val="20"/>
                <w:szCs w:val="20"/>
              </w:rPr>
              <w:t>Pirkimui Nr. ____</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3EECE85F" w14:textId="6C42AD06" w:rsidR="00553EC6" w:rsidRDefault="00553EC6"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p w14:paraId="23D75963" w14:textId="437F1FB6" w:rsidR="00553EC6" w:rsidRPr="00B02194" w:rsidRDefault="00553EC6" w:rsidP="00553EC6">
            <w:pPr>
              <w:spacing w:after="0" w:line="240" w:lineRule="auto"/>
              <w:ind w:right="-68"/>
              <w:jc w:val="both"/>
              <w:rPr>
                <w:rFonts w:ascii="Times New Roman" w:hAnsi="Times New Roman" w:cs="Times New Roman"/>
                <w:bCs/>
                <w:sz w:val="20"/>
                <w:szCs w:val="20"/>
              </w:rPr>
            </w:pP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6E7451">
            <w:pPr>
              <w:pStyle w:val="ListParagraph"/>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651179B2" w:rsidR="005F4414" w:rsidRPr="00CE608A" w:rsidRDefault="00AB7E65"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fiksuotas įkainis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5F0DCE4B" w:rsidR="005F4414" w:rsidRPr="00B02194" w:rsidRDefault="006E7451"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AB7E65">
                  <w:rPr>
                    <w:rFonts w:ascii="Times New Roman" w:hAnsi="Times New Roman" w:cs="Times New Roman"/>
                    <w:bCs/>
                    <w:sz w:val="20"/>
                    <w:szCs w:val="20"/>
                  </w:rPr>
                  <w:t>Maksimali sutarties kaina</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384CF0A5" w:rsidR="005F4414" w:rsidRPr="00CE608A" w:rsidRDefault="00AB7E65" w:rsidP="003863B2">
            <w:pPr>
              <w:spacing w:after="0" w:line="240" w:lineRule="auto"/>
              <w:ind w:right="-68"/>
              <w:rPr>
                <w:rFonts w:ascii="Times New Roman" w:hAnsi="Times New Roman" w:cs="Times New Roman"/>
                <w:sz w:val="20"/>
                <w:szCs w:val="20"/>
              </w:rPr>
            </w:pPr>
            <w:r>
              <w:rPr>
                <w:rFonts w:ascii="Times New Roman" w:hAnsi="Times New Roman" w:cs="Times New Roman"/>
                <w:bCs/>
                <w:sz w:val="20"/>
                <w:szCs w:val="20"/>
              </w:rPr>
              <w:t xml:space="preserve">Sutarties 2 priedas – pasiūlymas </w:t>
            </w:r>
            <w:r w:rsidRPr="00AB7E65">
              <w:rPr>
                <w:rFonts w:ascii="Times New Roman" w:hAnsi="Times New Roman" w:cs="Times New Roman"/>
                <w:bCs/>
                <w:color w:val="FF0000"/>
                <w:sz w:val="20"/>
                <w:szCs w:val="20"/>
              </w:rPr>
              <w:t>Pirkimui Nr. ____</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7AB8B17F" w:rsidR="003863B2" w:rsidRPr="00CE608A" w:rsidRDefault="00CB21E8" w:rsidP="00AB7E65">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788BFFBB"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AB7E65">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2DDE9CC6"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7DAD540D" w:rsidR="00C27901" w:rsidRPr="00B02194" w:rsidRDefault="00AB7E65" w:rsidP="000E7A44">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Taikos prospektas 67,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70443245" w:rsidR="00C27901" w:rsidRPr="00B02194" w:rsidRDefault="006E7451" w:rsidP="008B24A9">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8B24A9">
                  <w:rPr>
                    <w:rFonts w:ascii="Times New Roman" w:hAnsi="Times New Roman" w:cs="Times New Roman"/>
                    <w:sz w:val="20"/>
                    <w:szCs w:val="20"/>
                  </w:rPr>
                  <w:t xml:space="preserve">12 (dvylika)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727AC940" w:rsidR="001A5940" w:rsidRDefault="00AB7E65"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Galimas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7CB1BB78" w:rsidR="00D33378" w:rsidRPr="00B02194" w:rsidRDefault="00AB7E65"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0,05% (penkios šimtosios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6761AC0D" w:rsidR="00C27901" w:rsidRPr="00B02194" w:rsidRDefault="00AB7E65" w:rsidP="00EE3A7D">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Tiekėjas praveda Pirkėjo personalo apmokymą naudotis pristatytomis prekėmis. </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0" w:name="part_8f4dadbdf27c4882b72f57a56c9631ad"/>
      <w:bookmarkStart w:id="1" w:name="part_9fd9687904354f69bb532178a7959ebe"/>
      <w:bookmarkEnd w:id="0"/>
      <w:bookmarkEnd w:id="1"/>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lastRenderedPageBreak/>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2"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2"/>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3" w:name="_Toc438559489"/>
      <w:bookmarkStart w:id="4"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3"/>
      <w:bookmarkEnd w:id="4"/>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6E7451">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5" w:name="_Toc438559500"/>
      <w:bookmarkStart w:id="6"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5"/>
    <w:bookmarkEnd w:id="6"/>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7A83B0A"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VšĮ 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27E0DF9A" w14:textId="34B55170" w:rsidR="00D86B5B" w:rsidRDefault="00C66E33" w:rsidP="006E7451">
      <w:pPr>
        <w:rPr>
          <w:rFonts w:ascii="Times New Roman" w:hAnsi="Times New Roman"/>
        </w:rPr>
      </w:pPr>
      <w:r>
        <w:rPr>
          <w:rFonts w:ascii="Times New Roman" w:hAnsi="Times New Roman"/>
        </w:rPr>
        <w:br w:type="page"/>
      </w:r>
      <w:bookmarkStart w:id="7" w:name="_GoBack"/>
      <w:bookmarkEnd w:id="7"/>
      <w:r>
        <w:rPr>
          <w:rFonts w:ascii="Times New Roman" w:hAnsi="Times New Roman"/>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6E7451">
        <w:rPr>
          <w:rFonts w:ascii="Times New Roman" w:eastAsia="Times New Roman" w:hAnsi="Times New Roman" w:cs="Times New Roman"/>
          <w:sz w:val="20"/>
          <w:szCs w:val="20"/>
        </w:rPr>
      </w:r>
      <w:r w:rsidR="006E7451">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6E7451">
        <w:rPr>
          <w:rFonts w:ascii="Times New Roman" w:eastAsia="Times New Roman" w:hAnsi="Times New Roman" w:cs="Times New Roman"/>
          <w:sz w:val="20"/>
          <w:szCs w:val="20"/>
        </w:rPr>
      </w:r>
      <w:r w:rsidR="006E7451">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6E7451">
        <w:rPr>
          <w:rFonts w:ascii="Times New Roman" w:eastAsia="Times New Roman" w:hAnsi="Times New Roman" w:cs="Times New Roman"/>
          <w:sz w:val="20"/>
          <w:szCs w:val="20"/>
        </w:rPr>
      </w:r>
      <w:r w:rsidR="006E7451">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451"/>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24A9"/>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3D27"/>
    <w:rsid w:val="00AA51B1"/>
    <w:rsid w:val="00AA7158"/>
    <w:rsid w:val="00AA7ACD"/>
    <w:rsid w:val="00AB01F0"/>
    <w:rsid w:val="00AB0305"/>
    <w:rsid w:val="00AB2278"/>
    <w:rsid w:val="00AB33BA"/>
    <w:rsid w:val="00AB43D8"/>
    <w:rsid w:val="00AB48C6"/>
    <w:rsid w:val="00AB5F4D"/>
    <w:rsid w:val="00AB6EEF"/>
    <w:rsid w:val="00AB721F"/>
    <w:rsid w:val="00AB77D2"/>
    <w:rsid w:val="00AB7E65"/>
    <w:rsid w:val="00AC0AA5"/>
    <w:rsid w:val="00AC140A"/>
    <w:rsid w:val="00AC4F69"/>
    <w:rsid w:val="00AC6372"/>
    <w:rsid w:val="00AC76FD"/>
    <w:rsid w:val="00AC7A43"/>
    <w:rsid w:val="00AC7C53"/>
    <w:rsid w:val="00AD0292"/>
    <w:rsid w:val="00AD1A07"/>
    <w:rsid w:val="00AD47E4"/>
    <w:rsid w:val="00AD69BC"/>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as.lajauska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B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15021</Words>
  <Characters>8562</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2025-01-22T15:24:00Z</dcterms:created>
  <dcterms:modified xsi:type="dcterms:W3CDTF">2025-01-22T15:24:00Z</dcterms:modified>
  <cp:category/>
  <cp:contentStatus/>
</cp:coreProperties>
</file>