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7770C57F" w:rsidR="000F17D6" w:rsidRPr="00246643" w:rsidRDefault="000F17D6" w:rsidP="008E4265">
      <w:pPr>
        <w:jc w:val="right"/>
        <w:rPr>
          <w:rFonts w:ascii="Joost" w:hAnsi="Joost" w:cs="Calibri" w:hint="eastAsia"/>
          <w:sz w:val="23"/>
          <w:szCs w:val="23"/>
        </w:rPr>
      </w:pPr>
      <w:r w:rsidRPr="00246643">
        <w:rPr>
          <w:rFonts w:ascii="Joost" w:hAnsi="Joost" w:cs="Calibri"/>
          <w:sz w:val="23"/>
          <w:szCs w:val="23"/>
        </w:rPr>
        <w:t xml:space="preserve"> </w:t>
      </w:r>
    </w:p>
    <w:p w14:paraId="058888F4" w14:textId="77777777" w:rsidR="000F17D6" w:rsidRPr="00246643" w:rsidRDefault="000F17D6" w:rsidP="008E4265">
      <w:pPr>
        <w:rPr>
          <w:rFonts w:ascii="Joost" w:hAnsi="Joost" w:cs="Calibri" w:hint="eastAsia"/>
          <w:sz w:val="23"/>
          <w:szCs w:val="23"/>
        </w:rPr>
      </w:pPr>
    </w:p>
    <w:p w14:paraId="61FAB302" w14:textId="77777777" w:rsidR="000F17D6" w:rsidRPr="00246643" w:rsidRDefault="000F17D6" w:rsidP="008E4265">
      <w:pPr>
        <w:rPr>
          <w:rFonts w:ascii="Joost" w:hAnsi="Joost" w:cs="Calibri" w:hint="eastAsia"/>
          <w:i/>
          <w:iCs/>
          <w:sz w:val="23"/>
          <w:szCs w:val="23"/>
        </w:rPr>
      </w:pPr>
      <w:r w:rsidRPr="00246643">
        <w:rPr>
          <w:rFonts w:ascii="Joost" w:hAnsi="Joost" w:cs="Calibri"/>
          <w:i/>
          <w:iCs/>
          <w:sz w:val="23"/>
          <w:szCs w:val="23"/>
        </w:rPr>
        <w:t>Tiekėjams</w:t>
      </w:r>
    </w:p>
    <w:p w14:paraId="69B240AC" w14:textId="77777777" w:rsidR="000F17D6" w:rsidRPr="00246643" w:rsidRDefault="000F17D6" w:rsidP="008E4265">
      <w:pPr>
        <w:rPr>
          <w:rFonts w:ascii="Joost" w:hAnsi="Joost" w:cs="Calibri" w:hint="eastAsia"/>
          <w:i/>
          <w:iCs/>
          <w:sz w:val="23"/>
          <w:szCs w:val="23"/>
        </w:rPr>
      </w:pPr>
      <w:r w:rsidRPr="00246643">
        <w:rPr>
          <w:rFonts w:ascii="Joost" w:hAnsi="Joost" w:cs="Calibri"/>
          <w:i/>
          <w:iCs/>
          <w:sz w:val="23"/>
          <w:szCs w:val="23"/>
        </w:rPr>
        <w:t>Siunčiama CVP IS priemonėmis</w:t>
      </w:r>
    </w:p>
    <w:p w14:paraId="7667E45E" w14:textId="77777777" w:rsidR="000F17D6" w:rsidRPr="00246643" w:rsidRDefault="000F17D6" w:rsidP="008E4265">
      <w:pPr>
        <w:rPr>
          <w:rFonts w:ascii="Joost" w:hAnsi="Joost" w:cs="Calibri" w:hint="eastAsia"/>
          <w:b/>
          <w:bCs/>
          <w:sz w:val="23"/>
          <w:szCs w:val="23"/>
        </w:rPr>
      </w:pPr>
    </w:p>
    <w:p w14:paraId="3DC84B23" w14:textId="77777777" w:rsidR="000F17D6" w:rsidRPr="00246643" w:rsidRDefault="000F17D6" w:rsidP="008E4265">
      <w:pPr>
        <w:rPr>
          <w:rFonts w:ascii="Joost" w:hAnsi="Joost" w:cs="Calibri" w:hint="eastAsia"/>
          <w:b/>
          <w:bCs/>
          <w:sz w:val="23"/>
          <w:szCs w:val="23"/>
        </w:rPr>
      </w:pPr>
      <w:r w:rsidRPr="00246643">
        <w:rPr>
          <w:rFonts w:ascii="Joost" w:hAnsi="Joost" w:cs="Calibri"/>
          <w:b/>
          <w:bCs/>
          <w:sz w:val="23"/>
          <w:szCs w:val="23"/>
        </w:rPr>
        <w:t>DĖL PATEIKTO PAKLAUSIMO</w:t>
      </w:r>
    </w:p>
    <w:p w14:paraId="47F7602C" w14:textId="77777777" w:rsidR="000F17D6" w:rsidRPr="00246643" w:rsidRDefault="000F17D6" w:rsidP="008E4265">
      <w:pPr>
        <w:jc w:val="center"/>
        <w:rPr>
          <w:rFonts w:ascii="Joost" w:hAnsi="Joost" w:cs="Calibri" w:hint="eastAsia"/>
          <w:b/>
          <w:bCs/>
          <w:sz w:val="23"/>
          <w:szCs w:val="23"/>
        </w:rPr>
      </w:pPr>
    </w:p>
    <w:p w14:paraId="398D9FD3" w14:textId="68121C16" w:rsidR="004724B7" w:rsidRPr="00246643" w:rsidRDefault="004724B7" w:rsidP="004F71AD">
      <w:pPr>
        <w:ind w:firstLine="567"/>
        <w:jc w:val="both"/>
        <w:rPr>
          <w:rFonts w:ascii="Joost" w:hAnsi="Joost" w:cs="Calibri" w:hint="eastAsia"/>
          <w:sz w:val="23"/>
          <w:szCs w:val="23"/>
        </w:rPr>
      </w:pPr>
      <w:r w:rsidRPr="00246643">
        <w:rPr>
          <w:rFonts w:ascii="Joost" w:hAnsi="Joost" w:cs="Calibri"/>
          <w:sz w:val="23"/>
          <w:szCs w:val="23"/>
        </w:rPr>
        <w:t xml:space="preserve">Viešoji įstaiga CPO LT (toliau – CPO LT), </w:t>
      </w:r>
      <w:bookmarkStart w:id="0" w:name="_Hlk120190959"/>
      <w:r w:rsidRPr="00246643">
        <w:rPr>
          <w:rFonts w:ascii="Joost" w:hAnsi="Joost" w:cs="Calibri"/>
          <w:sz w:val="23"/>
          <w:szCs w:val="23"/>
        </w:rPr>
        <w:t xml:space="preserve">vykdydama viešąjį pirkimą </w:t>
      </w:r>
      <w:r w:rsidR="008E4265" w:rsidRPr="00246643">
        <w:rPr>
          <w:rStyle w:val="normaltextrun"/>
          <w:rFonts w:ascii="Joost" w:hAnsi="Joost" w:cs="Arial Unicode MS"/>
          <w:b/>
          <w:bCs/>
          <w:sz w:val="23"/>
          <w:szCs w:val="23"/>
        </w:rPr>
        <w:t>„</w:t>
      </w:r>
      <w:r w:rsidR="008E4265" w:rsidRPr="00246643">
        <w:rPr>
          <w:rFonts w:ascii="Joost" w:eastAsia="Calibri" w:hAnsi="Joost"/>
          <w:b/>
          <w:bCs/>
          <w:i/>
          <w:iCs/>
          <w:noProof/>
          <w:sz w:val="23"/>
          <w:szCs w:val="23"/>
        </w:rPr>
        <w:t>Skaitmeninės paslaugų platformos kūrimo ir diegimo paslaugos</w:t>
      </w:r>
      <w:r w:rsidR="008E4265" w:rsidRPr="00246643">
        <w:rPr>
          <w:rStyle w:val="normaltextrun"/>
          <w:rFonts w:ascii="Joost" w:hAnsi="Joost" w:cs="Arial Unicode MS"/>
          <w:b/>
          <w:bCs/>
          <w:sz w:val="23"/>
          <w:szCs w:val="23"/>
        </w:rPr>
        <w:t>”</w:t>
      </w:r>
      <w:r w:rsidRPr="00246643">
        <w:rPr>
          <w:rFonts w:ascii="Joost" w:hAnsi="Joost" w:cs="Calibri"/>
          <w:sz w:val="23"/>
          <w:szCs w:val="23"/>
        </w:rPr>
        <w:t>atviro (</w:t>
      </w:r>
      <w:r w:rsidR="00322AFC" w:rsidRPr="00246643">
        <w:rPr>
          <w:rFonts w:ascii="Joost" w:hAnsi="Joost" w:cs="Calibri"/>
          <w:sz w:val="23"/>
          <w:szCs w:val="23"/>
        </w:rPr>
        <w:t>tarptautinio</w:t>
      </w:r>
      <w:r w:rsidRPr="00246643">
        <w:rPr>
          <w:rFonts w:ascii="Joost" w:hAnsi="Joost" w:cs="Calibri"/>
          <w:sz w:val="23"/>
          <w:szCs w:val="23"/>
        </w:rPr>
        <w:t>) konkurso būdu</w:t>
      </w:r>
      <w:r w:rsidR="00F71DC1" w:rsidRPr="00246643">
        <w:rPr>
          <w:rFonts w:ascii="Joost" w:hAnsi="Joost" w:cs="Calibri"/>
          <w:sz w:val="23"/>
          <w:szCs w:val="23"/>
        </w:rPr>
        <w:t xml:space="preserve"> </w:t>
      </w:r>
      <w:r w:rsidR="00F71DC1" w:rsidRPr="00246643">
        <w:rPr>
          <w:rFonts w:ascii="Joost" w:hAnsi="Joost"/>
          <w:sz w:val="23"/>
          <w:szCs w:val="23"/>
        </w:rPr>
        <w:t xml:space="preserve">(pirkimo Nr. </w:t>
      </w:r>
      <w:r w:rsidR="008E4265" w:rsidRPr="00246643">
        <w:rPr>
          <w:rFonts w:ascii="Joost" w:hAnsi="Joost"/>
          <w:sz w:val="23"/>
          <w:szCs w:val="23"/>
        </w:rPr>
        <w:t>597760</w:t>
      </w:r>
      <w:r w:rsidR="00F71DC1" w:rsidRPr="00246643">
        <w:rPr>
          <w:rFonts w:ascii="Joost" w:hAnsi="Joost" w:cs="Calibri"/>
          <w:sz w:val="23"/>
          <w:szCs w:val="23"/>
        </w:rPr>
        <w:t>, toliau – Pirkimas)</w:t>
      </w:r>
      <w:r w:rsidRPr="00246643">
        <w:rPr>
          <w:rFonts w:ascii="Joost" w:hAnsi="Joost" w:cs="Calibri"/>
          <w:sz w:val="23"/>
          <w:szCs w:val="23"/>
        </w:rPr>
        <w:t xml:space="preserve">, </w:t>
      </w:r>
      <w:bookmarkEnd w:id="0"/>
      <w:r w:rsidR="00322AFC" w:rsidRPr="00D0659F">
        <w:rPr>
          <w:rFonts w:ascii="Joost" w:hAnsi="Joost" w:cs="Calibri"/>
          <w:sz w:val="23"/>
          <w:szCs w:val="23"/>
        </w:rPr>
        <w:t>2025-01-</w:t>
      </w:r>
      <w:r w:rsidR="00D0659F" w:rsidRPr="00D0659F">
        <w:rPr>
          <w:rFonts w:ascii="Joost" w:hAnsi="Joost" w:cs="Calibri"/>
          <w:sz w:val="23"/>
          <w:szCs w:val="23"/>
        </w:rPr>
        <w:t>21</w:t>
      </w:r>
      <w:r w:rsidR="00275ADA" w:rsidRPr="00D0659F">
        <w:rPr>
          <w:rFonts w:ascii="Joost" w:hAnsi="Joost" w:cs="Calibri"/>
          <w:sz w:val="23"/>
          <w:szCs w:val="23"/>
        </w:rPr>
        <w:t xml:space="preserve"> </w:t>
      </w:r>
      <w:r w:rsidRPr="00246643">
        <w:rPr>
          <w:rFonts w:ascii="Joost" w:hAnsi="Joost" w:cs="Calibri"/>
          <w:sz w:val="23"/>
          <w:szCs w:val="23"/>
        </w:rPr>
        <w:t xml:space="preserve">CVP IS priemonėmis </w:t>
      </w:r>
      <w:r w:rsidRPr="00EA2301">
        <w:rPr>
          <w:rFonts w:ascii="Joost" w:hAnsi="Joost" w:cs="Calibri"/>
          <w:sz w:val="23"/>
          <w:szCs w:val="23"/>
        </w:rPr>
        <w:t>gavo potencialaus tiekėjo</w:t>
      </w:r>
      <w:r w:rsidRPr="00246643">
        <w:rPr>
          <w:rFonts w:ascii="Joost" w:hAnsi="Joost" w:cs="Calibri"/>
          <w:sz w:val="23"/>
          <w:szCs w:val="23"/>
        </w:rPr>
        <w:t xml:space="preserve"> paklausim</w:t>
      </w:r>
      <w:r w:rsidR="00EA2301">
        <w:rPr>
          <w:rFonts w:ascii="Joost" w:hAnsi="Joost" w:cs="Calibri"/>
          <w:sz w:val="23"/>
          <w:szCs w:val="23"/>
        </w:rPr>
        <w:t>ą</w:t>
      </w:r>
      <w:r w:rsidRPr="00246643">
        <w:rPr>
          <w:rFonts w:ascii="Joost" w:hAnsi="Joost" w:cs="Calibri"/>
          <w:sz w:val="23"/>
          <w:szCs w:val="23"/>
        </w:rPr>
        <w:t xml:space="preserve">. </w:t>
      </w:r>
    </w:p>
    <w:p w14:paraId="0939295D" w14:textId="5B8BD820" w:rsidR="004724B7" w:rsidRPr="00246643" w:rsidRDefault="004724B7" w:rsidP="004F71AD">
      <w:pPr>
        <w:ind w:firstLine="567"/>
        <w:jc w:val="both"/>
        <w:rPr>
          <w:rFonts w:ascii="Joost" w:hAnsi="Joost" w:cs="Calibri" w:hint="eastAsia"/>
          <w:sz w:val="23"/>
          <w:szCs w:val="23"/>
        </w:rPr>
      </w:pPr>
      <w:r w:rsidRPr="00EA2301">
        <w:rPr>
          <w:rFonts w:ascii="Joost" w:hAnsi="Joost" w:cs="Calibri"/>
          <w:sz w:val="23"/>
          <w:szCs w:val="23"/>
        </w:rPr>
        <w:t>Paklausima</w:t>
      </w:r>
      <w:r w:rsidR="00EA2301" w:rsidRPr="00EA2301">
        <w:rPr>
          <w:rFonts w:ascii="Joost" w:hAnsi="Joost" w:cs="Calibri"/>
          <w:sz w:val="23"/>
          <w:szCs w:val="23"/>
        </w:rPr>
        <w:t>s</w:t>
      </w:r>
      <w:r w:rsidRPr="00EA2301">
        <w:rPr>
          <w:rFonts w:ascii="Joost" w:hAnsi="Joost" w:cs="Calibri"/>
          <w:sz w:val="23"/>
          <w:szCs w:val="23"/>
        </w:rPr>
        <w:t xml:space="preserve"> pateikt</w:t>
      </w:r>
      <w:r w:rsidR="00EA2301" w:rsidRPr="00EA2301">
        <w:rPr>
          <w:rFonts w:ascii="Joost" w:hAnsi="Joost" w:cs="Calibri"/>
          <w:sz w:val="23"/>
          <w:szCs w:val="23"/>
        </w:rPr>
        <w:t>as</w:t>
      </w:r>
      <w:r w:rsidRPr="00EA2301">
        <w:rPr>
          <w:rFonts w:ascii="Joost" w:hAnsi="Joost" w:cs="Calibri"/>
          <w:sz w:val="23"/>
          <w:szCs w:val="23"/>
        </w:rPr>
        <w:t xml:space="preserve"> laikantis Pirkimo dokumentų Specialiųjų sąlygų 1 priedo „Terminai“ lentelės 3 eil. nustatyto termino </w:t>
      </w:r>
      <w:r w:rsidRPr="00EA2301">
        <w:rPr>
          <w:rFonts w:ascii="Joost" w:hAnsi="Joost" w:cs="Calibri"/>
          <w:i/>
          <w:iCs/>
          <w:sz w:val="23"/>
          <w:szCs w:val="23"/>
        </w:rPr>
        <w:t xml:space="preserve">„Prašymą paaiškinti, patikslinti pirkimo sąlygas tiekėjas turi pateikti ne vėliau kaip: </w:t>
      </w:r>
      <w:r w:rsidR="00322AFC" w:rsidRPr="00EA2301">
        <w:rPr>
          <w:rFonts w:ascii="Joost" w:hAnsi="Joost" w:cs="Calibri"/>
          <w:i/>
          <w:iCs/>
          <w:sz w:val="23"/>
          <w:szCs w:val="23"/>
        </w:rPr>
        <w:t>9</w:t>
      </w:r>
      <w:r w:rsidRPr="00EA2301">
        <w:rPr>
          <w:rFonts w:ascii="Joost" w:hAnsi="Joost" w:cs="Calibri"/>
          <w:i/>
          <w:iCs/>
          <w:sz w:val="23"/>
          <w:szCs w:val="23"/>
        </w:rPr>
        <w:t xml:space="preserve"> (</w:t>
      </w:r>
      <w:r w:rsidR="00322AFC" w:rsidRPr="00EA2301">
        <w:rPr>
          <w:rFonts w:ascii="Joost" w:hAnsi="Joost" w:cs="Calibri"/>
          <w:i/>
          <w:iCs/>
          <w:sz w:val="23"/>
          <w:szCs w:val="23"/>
        </w:rPr>
        <w:t>devynio</w:t>
      </w:r>
      <w:r w:rsidR="00B635A5" w:rsidRPr="00EA2301">
        <w:rPr>
          <w:rFonts w:ascii="Joost" w:hAnsi="Joost" w:cs="Calibri"/>
          <w:i/>
          <w:iCs/>
          <w:sz w:val="23"/>
          <w:szCs w:val="23"/>
        </w:rPr>
        <w:t>s</w:t>
      </w:r>
      <w:r w:rsidRPr="00EA2301">
        <w:rPr>
          <w:rFonts w:ascii="Joost" w:hAnsi="Joost" w:cs="Calibri"/>
          <w:i/>
          <w:iCs/>
          <w:sz w:val="23"/>
          <w:szCs w:val="23"/>
        </w:rPr>
        <w:t xml:space="preserve">) dienos iki pasiūlymų pateikimo dienos.“, </w:t>
      </w:r>
      <w:r w:rsidRPr="00EA2301">
        <w:rPr>
          <w:rFonts w:ascii="Joost" w:hAnsi="Joost" w:cs="Calibri"/>
          <w:sz w:val="23"/>
          <w:szCs w:val="23"/>
        </w:rPr>
        <w:t>t. y. pateikt</w:t>
      </w:r>
      <w:r w:rsidR="00EA2301" w:rsidRPr="00EA2301">
        <w:rPr>
          <w:rFonts w:ascii="Joost" w:hAnsi="Joost" w:cs="Calibri"/>
          <w:sz w:val="23"/>
          <w:szCs w:val="23"/>
        </w:rPr>
        <w:t>as</w:t>
      </w:r>
      <w:r w:rsidRPr="00EA2301">
        <w:rPr>
          <w:rFonts w:ascii="Joost" w:hAnsi="Joost" w:cs="Calibri"/>
          <w:sz w:val="23"/>
          <w:szCs w:val="23"/>
        </w:rPr>
        <w:t xml:space="preserve"> laiku.</w:t>
      </w:r>
    </w:p>
    <w:p w14:paraId="70F481BD" w14:textId="7ECD2AF3" w:rsidR="004724B7" w:rsidRPr="00246643" w:rsidRDefault="004724B7" w:rsidP="004F71AD">
      <w:pPr>
        <w:ind w:firstLine="567"/>
        <w:jc w:val="both"/>
        <w:rPr>
          <w:rFonts w:ascii="Joost" w:hAnsi="Joost" w:cs="Calibri" w:hint="eastAsia"/>
          <w:sz w:val="23"/>
          <w:szCs w:val="23"/>
        </w:rPr>
      </w:pPr>
      <w:r w:rsidRPr="00F02276">
        <w:rPr>
          <w:rFonts w:ascii="Joost" w:hAnsi="Joost" w:cs="Calibri"/>
          <w:sz w:val="23"/>
          <w:szCs w:val="23"/>
        </w:rPr>
        <w:t xml:space="preserve">CPO LT viešojo pirkimo komisija (toliau </w:t>
      </w:r>
      <w:r w:rsidRPr="00EA2301">
        <w:rPr>
          <w:rFonts w:ascii="Joost" w:hAnsi="Joost" w:cs="Calibri"/>
          <w:sz w:val="23"/>
          <w:szCs w:val="23"/>
        </w:rPr>
        <w:t>– Komisija), vadovaujantis Lietuvos Respublikos viešųjų pirkimų įstatymo 36 str. 5</w:t>
      </w:r>
      <w:r w:rsidR="00EA2301" w:rsidRPr="00EA2301">
        <w:rPr>
          <w:rFonts w:ascii="Joost" w:hAnsi="Joost" w:cs="Calibri"/>
          <w:sz w:val="23"/>
          <w:szCs w:val="23"/>
        </w:rPr>
        <w:t xml:space="preserve"> </w:t>
      </w:r>
      <w:r w:rsidRPr="00EA2301">
        <w:rPr>
          <w:rFonts w:ascii="Joost" w:hAnsi="Joost" w:cs="Calibri"/>
          <w:sz w:val="23"/>
          <w:szCs w:val="23"/>
        </w:rPr>
        <w:t>d.  ir Pirkimo dokumentų Bendrųjų sąlygų 5.2</w:t>
      </w:r>
      <w:r w:rsidR="00EA2301" w:rsidRPr="00EA2301">
        <w:rPr>
          <w:rFonts w:ascii="Joost" w:hAnsi="Joost" w:cs="Calibri"/>
          <w:sz w:val="23"/>
          <w:szCs w:val="23"/>
        </w:rPr>
        <w:t xml:space="preserve"> </w:t>
      </w:r>
      <w:r w:rsidRPr="00EA2301">
        <w:rPr>
          <w:rFonts w:ascii="Joost" w:hAnsi="Joost" w:cs="Calibri"/>
          <w:sz w:val="23"/>
          <w:szCs w:val="23"/>
        </w:rPr>
        <w:t>p., teikia atsakym</w:t>
      </w:r>
      <w:r w:rsidR="00275ADA" w:rsidRPr="00EA2301">
        <w:rPr>
          <w:rFonts w:ascii="Joost" w:hAnsi="Joost" w:cs="Calibri"/>
          <w:sz w:val="23"/>
          <w:szCs w:val="23"/>
        </w:rPr>
        <w:t>us</w:t>
      </w:r>
      <w:r w:rsidRPr="00EA2301">
        <w:rPr>
          <w:rFonts w:ascii="Joost" w:hAnsi="Joost" w:cs="Calibri"/>
          <w:sz w:val="23"/>
          <w:szCs w:val="23"/>
        </w:rPr>
        <w:t xml:space="preserve"> į pateikt</w:t>
      </w:r>
      <w:r w:rsidR="00EA2301" w:rsidRPr="00EA2301">
        <w:rPr>
          <w:rFonts w:ascii="Joost" w:hAnsi="Joost" w:cs="Calibri"/>
          <w:sz w:val="23"/>
          <w:szCs w:val="23"/>
        </w:rPr>
        <w:t>ą</w:t>
      </w:r>
      <w:r w:rsidRPr="00EA2301">
        <w:rPr>
          <w:rFonts w:ascii="Joost" w:hAnsi="Joost" w:cs="Calibri"/>
          <w:sz w:val="23"/>
          <w:szCs w:val="23"/>
        </w:rPr>
        <w:t xml:space="preserve"> paklausim</w:t>
      </w:r>
      <w:r w:rsidR="00EA2301" w:rsidRPr="00EA2301">
        <w:rPr>
          <w:rFonts w:ascii="Joost" w:hAnsi="Joost" w:cs="Calibri"/>
          <w:sz w:val="23"/>
          <w:szCs w:val="23"/>
        </w:rPr>
        <w:t>ą</w:t>
      </w:r>
      <w:r w:rsidRPr="00EA2301">
        <w:rPr>
          <w:rFonts w:ascii="Joost" w:hAnsi="Joost" w:cs="Calibri"/>
          <w:sz w:val="23"/>
          <w:szCs w:val="23"/>
        </w:rPr>
        <w:t>:</w:t>
      </w:r>
    </w:p>
    <w:p w14:paraId="04932CAF" w14:textId="77777777" w:rsidR="00BE1CB6" w:rsidRPr="00246643" w:rsidRDefault="00BE1CB6" w:rsidP="008E4265">
      <w:pPr>
        <w:ind w:firstLine="720"/>
        <w:jc w:val="both"/>
        <w:rPr>
          <w:rFonts w:ascii="Joost" w:hAnsi="Joost" w:cs="Calibri" w:hint="eastAsia"/>
          <w:sz w:val="23"/>
          <w:szCs w:val="23"/>
        </w:rPr>
      </w:pPr>
    </w:p>
    <w:tbl>
      <w:tblPr>
        <w:tblStyle w:val="TableGrid"/>
        <w:tblW w:w="9781" w:type="dxa"/>
        <w:tblInd w:w="-5" w:type="dxa"/>
        <w:tblLook w:val="04A0" w:firstRow="1" w:lastRow="0" w:firstColumn="1" w:lastColumn="0" w:noHBand="0" w:noVBand="1"/>
      </w:tblPr>
      <w:tblGrid>
        <w:gridCol w:w="9781"/>
      </w:tblGrid>
      <w:tr w:rsidR="00246643" w:rsidRPr="00246643" w14:paraId="0D7C0412" w14:textId="77777777" w:rsidTr="005F1E34">
        <w:trPr>
          <w:trHeight w:val="368"/>
        </w:trPr>
        <w:tc>
          <w:tcPr>
            <w:tcW w:w="9781" w:type="dxa"/>
            <w:shd w:val="clear" w:color="auto" w:fill="DAE9F7" w:themeFill="text2" w:themeFillTint="1A"/>
            <w:vAlign w:val="center"/>
          </w:tcPr>
          <w:p w14:paraId="6F222F43" w14:textId="63B29761" w:rsidR="004724B7" w:rsidRPr="00246643" w:rsidRDefault="004724B7" w:rsidP="008E4265">
            <w:pPr>
              <w:rPr>
                <w:rFonts w:ascii="Joost" w:hAnsi="Joost" w:cs="Calibri" w:hint="eastAsia"/>
                <w:b/>
                <w:bCs/>
                <w:sz w:val="23"/>
                <w:szCs w:val="23"/>
                <w:lang w:val="lt-LT"/>
              </w:rPr>
            </w:pPr>
            <w:r w:rsidRPr="00246643">
              <w:rPr>
                <w:rFonts w:ascii="Joost" w:hAnsi="Joost" w:cs="Calibri"/>
                <w:b/>
                <w:bCs/>
                <w:sz w:val="23"/>
                <w:szCs w:val="23"/>
                <w:lang w:val="lt-LT"/>
              </w:rPr>
              <w:t xml:space="preserve">Klausimas </w:t>
            </w:r>
            <w:r w:rsidRPr="00246643">
              <w:rPr>
                <w:rFonts w:ascii="Joost" w:hAnsi="Joost" w:cs="Calibri"/>
                <w:sz w:val="23"/>
                <w:szCs w:val="23"/>
                <w:lang w:val="lt-LT"/>
              </w:rPr>
              <w:t>(klausimo tekstas netaisytas)</w:t>
            </w:r>
          </w:p>
        </w:tc>
      </w:tr>
      <w:tr w:rsidR="00246643" w:rsidRPr="00246643" w14:paraId="7B2B4C43" w14:textId="77777777" w:rsidTr="008D0403">
        <w:trPr>
          <w:trHeight w:val="750"/>
        </w:trPr>
        <w:tc>
          <w:tcPr>
            <w:tcW w:w="9781" w:type="dxa"/>
            <w:shd w:val="clear" w:color="auto" w:fill="auto"/>
          </w:tcPr>
          <w:p w14:paraId="2AC69B9D" w14:textId="77777777" w:rsidR="00D0659F" w:rsidRDefault="001512F4" w:rsidP="00D0659F">
            <w:pPr>
              <w:jc w:val="both"/>
              <w:rPr>
                <w:rFonts w:ascii="Joost" w:hAnsi="Joost" w:hint="eastAsia"/>
                <w:iCs/>
                <w:color w:val="000000"/>
                <w:sz w:val="23"/>
                <w:szCs w:val="23"/>
                <w:lang w:val="lt-LT"/>
              </w:rPr>
            </w:pPr>
            <w:r w:rsidRPr="00D0659F">
              <w:rPr>
                <w:rFonts w:ascii="Joost" w:hAnsi="Joost"/>
                <w:iCs/>
                <w:color w:val="000000"/>
                <w:sz w:val="23"/>
                <w:szCs w:val="23"/>
                <w:lang w:val="lt-LT"/>
              </w:rPr>
              <w:t xml:space="preserve">Pirkimo dokumentuose nurodoma, kad tiekėjas, galintis pademonstruoti prototipą, gauna daugiau balų. Atkreiptinas dėmesys, kad tiek DSL parengimui, tiek </w:t>
            </w:r>
            <w:proofErr w:type="spellStart"/>
            <w:r w:rsidRPr="00D0659F">
              <w:rPr>
                <w:rFonts w:ascii="Joost" w:hAnsi="Joost"/>
                <w:iCs/>
                <w:color w:val="000000"/>
                <w:sz w:val="23"/>
                <w:szCs w:val="23"/>
                <w:lang w:val="lt-LT"/>
              </w:rPr>
              <w:t>konstruktavimo</w:t>
            </w:r>
            <w:proofErr w:type="spellEnd"/>
            <w:r w:rsidRPr="00D0659F">
              <w:rPr>
                <w:rFonts w:ascii="Joost" w:hAnsi="Joost"/>
                <w:iCs/>
                <w:color w:val="000000"/>
                <w:sz w:val="23"/>
                <w:szCs w:val="23"/>
                <w:lang w:val="lt-LT"/>
              </w:rPr>
              <w:t xml:space="preserve"> priemonių parengimui reikalinga pradinė perkančiosios organizacijos duomenų (</w:t>
            </w:r>
            <w:proofErr w:type="spellStart"/>
            <w:r w:rsidRPr="00D0659F">
              <w:rPr>
                <w:rFonts w:ascii="Joost" w:hAnsi="Joost"/>
                <w:iCs/>
                <w:color w:val="000000"/>
                <w:sz w:val="23"/>
                <w:szCs w:val="23"/>
                <w:lang w:val="lt-LT"/>
              </w:rPr>
              <w:t>webservisų</w:t>
            </w:r>
            <w:proofErr w:type="spellEnd"/>
            <w:r w:rsidRPr="00D0659F">
              <w:rPr>
                <w:rFonts w:ascii="Joost" w:hAnsi="Joost"/>
                <w:iCs/>
                <w:color w:val="000000"/>
                <w:sz w:val="23"/>
                <w:szCs w:val="23"/>
                <w:lang w:val="lt-LT"/>
              </w:rPr>
              <w:t>, paslaugų, elektroninių formų) analizė.</w:t>
            </w:r>
          </w:p>
          <w:p w14:paraId="11691660" w14:textId="77777777" w:rsidR="00D0659F" w:rsidRDefault="001512F4" w:rsidP="00D0659F">
            <w:pPr>
              <w:jc w:val="both"/>
              <w:rPr>
                <w:rFonts w:ascii="Joost" w:hAnsi="Joost" w:hint="eastAsia"/>
                <w:iCs/>
                <w:color w:val="000000"/>
                <w:sz w:val="23"/>
                <w:szCs w:val="23"/>
                <w:lang w:val="lt-LT"/>
              </w:rPr>
            </w:pPr>
            <w:r w:rsidRPr="00D0659F">
              <w:rPr>
                <w:rFonts w:ascii="Joost" w:hAnsi="Joost"/>
                <w:iCs/>
                <w:color w:val="000000"/>
                <w:sz w:val="23"/>
                <w:szCs w:val="23"/>
                <w:lang w:val="lt-LT"/>
              </w:rPr>
              <w:t>Prašome patikslinti, kaip bus vertinami tiekėjų pasiūlymai paslaugų konstruktoriaus, DSL modelio vertinimo aspektais:</w:t>
            </w:r>
          </w:p>
          <w:p w14:paraId="362D01A0" w14:textId="77777777" w:rsidR="00D0659F" w:rsidRDefault="001512F4" w:rsidP="00D0659F">
            <w:pPr>
              <w:jc w:val="both"/>
              <w:rPr>
                <w:rFonts w:ascii="Joost" w:hAnsi="Joost" w:hint="eastAsia"/>
                <w:iCs/>
                <w:color w:val="000000"/>
                <w:sz w:val="23"/>
                <w:szCs w:val="23"/>
                <w:lang w:val="lt-LT"/>
              </w:rPr>
            </w:pPr>
            <w:r w:rsidRPr="00D0659F">
              <w:rPr>
                <w:rFonts w:ascii="Joost" w:hAnsi="Joost"/>
                <w:iCs/>
                <w:color w:val="000000"/>
                <w:sz w:val="23"/>
                <w:szCs w:val="23"/>
                <w:lang w:val="lt-LT"/>
              </w:rPr>
              <w:t>1) Ar teisingai suprantame, kad prototipo demonstracijai gali būti naudojamas tiekėjo pasirinktas DSL, paslaugos, integracijos, o realiai realizuotinos integracijos/ paslaugos bus identifikuojamos projekto įgyvendinimo metu?</w:t>
            </w:r>
          </w:p>
          <w:p w14:paraId="6ED4D526" w14:textId="77777777" w:rsidR="00D0659F" w:rsidRDefault="001512F4" w:rsidP="00D0659F">
            <w:pPr>
              <w:jc w:val="both"/>
              <w:rPr>
                <w:rFonts w:ascii="Joost" w:hAnsi="Joost" w:hint="eastAsia"/>
                <w:iCs/>
                <w:color w:val="000000"/>
                <w:sz w:val="23"/>
                <w:szCs w:val="23"/>
                <w:lang w:val="lt-LT"/>
              </w:rPr>
            </w:pPr>
            <w:r w:rsidRPr="00D0659F">
              <w:rPr>
                <w:rFonts w:ascii="Joost" w:hAnsi="Joost"/>
                <w:iCs/>
                <w:color w:val="000000"/>
                <w:sz w:val="23"/>
                <w:szCs w:val="23"/>
                <w:lang w:val="lt-LT"/>
              </w:rPr>
              <w:t>2) Ar teisinga prielaida, kad diegėjas turi realizuoti DSL ir diegėjui nereikia papildomai realizuoto DSL derinimo/ diegimo kaštų su naudotojo sąsaja rengiančiais rangovais?</w:t>
            </w:r>
          </w:p>
          <w:p w14:paraId="5A4A9B0E" w14:textId="760209B7" w:rsidR="004724B7" w:rsidRPr="00D0659F" w:rsidRDefault="001512F4" w:rsidP="00D0659F">
            <w:pPr>
              <w:jc w:val="both"/>
              <w:rPr>
                <w:rFonts w:ascii="Joost" w:hAnsi="Joost" w:hint="eastAsia"/>
                <w:iCs/>
                <w:color w:val="000000"/>
                <w:sz w:val="23"/>
                <w:szCs w:val="23"/>
                <w:lang w:val="lt-LT"/>
              </w:rPr>
            </w:pPr>
            <w:r w:rsidRPr="00D0659F">
              <w:rPr>
                <w:rFonts w:ascii="Joost" w:hAnsi="Joost"/>
                <w:iCs/>
                <w:color w:val="000000"/>
                <w:sz w:val="23"/>
                <w:szCs w:val="23"/>
                <w:lang w:val="lt-LT"/>
              </w:rPr>
              <w:t>3) Prašome patikslinti dirbtinio intelekto priemonės vertinimo kriterijus: kadangi šiuo metu duomenų, kuriais būtų galima apmokyti priemonę, nėra, ar galime daryti prielaidą, kad demonstravimo metu diegėjas turi DI naudojimo principus (pagal pateiktus scenarijus), o realūs duomenų modeliai bus sudarinėjami vėliau, projekto įgyvendinimo metu?</w:t>
            </w:r>
          </w:p>
        </w:tc>
      </w:tr>
      <w:tr w:rsidR="00246643" w:rsidRPr="00246643" w14:paraId="3D3F5DDE" w14:textId="77777777" w:rsidTr="008D0403">
        <w:trPr>
          <w:trHeight w:val="366"/>
        </w:trPr>
        <w:tc>
          <w:tcPr>
            <w:tcW w:w="9781" w:type="dxa"/>
            <w:shd w:val="clear" w:color="auto" w:fill="auto"/>
          </w:tcPr>
          <w:p w14:paraId="4719A0EC" w14:textId="50AAD50C" w:rsidR="004724B7" w:rsidRPr="00D0659F" w:rsidRDefault="004724B7" w:rsidP="00EA2301">
            <w:pPr>
              <w:pBdr>
                <w:top w:val="none" w:sz="0" w:space="0" w:color="auto"/>
                <w:left w:val="none" w:sz="0" w:space="0" w:color="auto"/>
                <w:bottom w:val="none" w:sz="0" w:space="0" w:color="auto"/>
                <w:right w:val="none" w:sz="0" w:space="0" w:color="auto"/>
                <w:between w:val="none" w:sz="0" w:space="0" w:color="auto"/>
                <w:bar w:val="none" w:sz="0" w:color="auto"/>
              </w:pBdr>
              <w:rPr>
                <w:rFonts w:ascii="Joost" w:hAnsi="Joost" w:cs="Calibri" w:hint="eastAsia"/>
                <w:sz w:val="23"/>
                <w:szCs w:val="23"/>
                <w:lang w:val="lt-LT"/>
              </w:rPr>
            </w:pPr>
            <w:r w:rsidRPr="00D0659F">
              <w:rPr>
                <w:rFonts w:ascii="Joost" w:hAnsi="Joost" w:cs="Calibri"/>
                <w:b/>
                <w:bCs/>
                <w:sz w:val="23"/>
                <w:szCs w:val="23"/>
                <w:lang w:val="lt-LT"/>
              </w:rPr>
              <w:t>Atsakymas</w:t>
            </w:r>
          </w:p>
        </w:tc>
      </w:tr>
      <w:tr w:rsidR="00246643" w:rsidRPr="00246643" w14:paraId="14FF951C" w14:textId="77777777" w:rsidTr="005F1E34">
        <w:trPr>
          <w:trHeight w:val="400"/>
        </w:trPr>
        <w:tc>
          <w:tcPr>
            <w:tcW w:w="9781" w:type="dxa"/>
            <w:tcBorders>
              <w:bottom w:val="single" w:sz="4" w:space="0" w:color="auto"/>
            </w:tcBorders>
            <w:shd w:val="clear" w:color="auto" w:fill="auto"/>
          </w:tcPr>
          <w:p w14:paraId="3DA18FA7" w14:textId="77777777" w:rsidR="00D0659F" w:rsidRPr="00D0659F" w:rsidRDefault="00D0659F" w:rsidP="00D0659F">
            <w:pPr>
              <w:tabs>
                <w:tab w:val="left" w:pos="1605"/>
              </w:tabs>
              <w:jc w:val="both"/>
              <w:rPr>
                <w:rFonts w:ascii="Joost" w:hAnsi="Joost" w:hint="eastAsia"/>
                <w:sz w:val="23"/>
                <w:szCs w:val="23"/>
                <w:lang w:val="lt-LT"/>
              </w:rPr>
            </w:pPr>
            <w:r>
              <w:rPr>
                <w:rFonts w:ascii="Joost" w:hAnsi="Joost"/>
                <w:sz w:val="23"/>
                <w:szCs w:val="23"/>
                <w:lang w:val="lt-LT"/>
              </w:rPr>
              <w:t xml:space="preserve">1. </w:t>
            </w:r>
            <w:r w:rsidRPr="00D0659F">
              <w:rPr>
                <w:rFonts w:ascii="Joost" w:hAnsi="Joost"/>
                <w:sz w:val="23"/>
                <w:szCs w:val="23"/>
                <w:lang w:val="lt-LT"/>
              </w:rPr>
              <w:t>Prototipo demonstravimui turi būti naudojamas tiekėjo pasirinktas DSL</w:t>
            </w:r>
            <w:r>
              <w:rPr>
                <w:rFonts w:ascii="Joost" w:hAnsi="Joost"/>
                <w:sz w:val="23"/>
                <w:szCs w:val="23"/>
                <w:lang w:val="lt-LT"/>
              </w:rPr>
              <w:t xml:space="preserve"> (</w:t>
            </w:r>
            <w:r w:rsidRPr="00D0659F">
              <w:rPr>
                <w:rFonts w:ascii="Joost" w:hAnsi="Joost"/>
                <w:sz w:val="23"/>
                <w:szCs w:val="23"/>
                <w:lang w:val="lt-LT"/>
              </w:rPr>
              <w:t xml:space="preserve">angl. </w:t>
            </w:r>
            <w:proofErr w:type="spellStart"/>
            <w:r w:rsidRPr="00D0659F">
              <w:rPr>
                <w:rFonts w:ascii="Joost" w:hAnsi="Joost"/>
                <w:sz w:val="23"/>
                <w:szCs w:val="23"/>
                <w:lang w:val="lt-LT"/>
              </w:rPr>
              <w:t>Domain</w:t>
            </w:r>
            <w:proofErr w:type="spellEnd"/>
            <w:r w:rsidRPr="00D0659F">
              <w:rPr>
                <w:rFonts w:ascii="Joost" w:hAnsi="Joost"/>
                <w:sz w:val="23"/>
                <w:szCs w:val="23"/>
                <w:lang w:val="lt-LT"/>
              </w:rPr>
              <w:t xml:space="preserve"> </w:t>
            </w:r>
            <w:proofErr w:type="spellStart"/>
            <w:r w:rsidRPr="00D0659F">
              <w:rPr>
                <w:rFonts w:ascii="Joost" w:hAnsi="Joost"/>
                <w:sz w:val="23"/>
                <w:szCs w:val="23"/>
                <w:lang w:val="lt-LT"/>
              </w:rPr>
              <w:t>Specific</w:t>
            </w:r>
            <w:proofErr w:type="spellEnd"/>
            <w:r w:rsidRPr="00D0659F">
              <w:rPr>
                <w:rFonts w:ascii="Joost" w:hAnsi="Joost"/>
                <w:sz w:val="23"/>
                <w:szCs w:val="23"/>
                <w:lang w:val="lt-LT"/>
              </w:rPr>
              <w:t xml:space="preserve"> </w:t>
            </w:r>
            <w:proofErr w:type="spellStart"/>
            <w:r w:rsidRPr="00D0659F">
              <w:rPr>
                <w:rFonts w:ascii="Joost" w:hAnsi="Joost"/>
                <w:sz w:val="23"/>
                <w:szCs w:val="23"/>
                <w:lang w:val="lt-LT"/>
              </w:rPr>
              <w:t>Language</w:t>
            </w:r>
            <w:proofErr w:type="spellEnd"/>
            <w:r w:rsidRPr="00D0659F">
              <w:rPr>
                <w:rFonts w:ascii="Joost" w:hAnsi="Joost"/>
                <w:sz w:val="23"/>
                <w:szCs w:val="23"/>
                <w:lang w:val="lt-LT"/>
              </w:rPr>
              <w:t>), naudotojo sąsajos vizualizavimo ir tiekėjo siūlomas duomenų mainų mechanizmo prototipas, nereikalaujantis integracij</w:t>
            </w:r>
            <w:r w:rsidRPr="00D0659F">
              <w:rPr>
                <w:rFonts w:ascii="Joost" w:hAnsi="Joost" w:hint="eastAsia"/>
                <w:sz w:val="23"/>
                <w:szCs w:val="23"/>
                <w:lang w:val="lt-LT"/>
              </w:rPr>
              <w:t>ų</w:t>
            </w:r>
            <w:r w:rsidRPr="00D0659F">
              <w:rPr>
                <w:rFonts w:ascii="Joost" w:hAnsi="Joost"/>
                <w:sz w:val="23"/>
                <w:szCs w:val="23"/>
                <w:lang w:val="lt-LT"/>
              </w:rPr>
              <w:t xml:space="preserve"> su Perkančiosios organizacijos ar bet kokios kitos institucijos el. paslaugomis ar integracinėmis programinėmis sąsajomis. Pirkimo apimtyje realizuojamos el. paslaugos ir integracijos yra išvardintos Techninėje specifikacijoje ir turi būti realizuotos projekto įgyvendinimo metu.</w:t>
            </w:r>
          </w:p>
          <w:p w14:paraId="1B74F012" w14:textId="77777777" w:rsidR="00D0659F" w:rsidRDefault="00D0659F" w:rsidP="00D0659F">
            <w:pPr>
              <w:tabs>
                <w:tab w:val="left" w:pos="1605"/>
              </w:tabs>
              <w:jc w:val="both"/>
              <w:rPr>
                <w:rFonts w:ascii="Joost" w:hAnsi="Joost" w:hint="eastAsia"/>
                <w:sz w:val="23"/>
                <w:szCs w:val="23"/>
                <w:lang w:val="lt-LT"/>
              </w:rPr>
            </w:pPr>
            <w:r>
              <w:rPr>
                <w:rFonts w:ascii="Joost" w:hAnsi="Joost"/>
                <w:sz w:val="23"/>
                <w:szCs w:val="23"/>
                <w:lang w:val="lt-LT"/>
              </w:rPr>
              <w:t xml:space="preserve">2. </w:t>
            </w:r>
            <w:r w:rsidRPr="00D0659F">
              <w:rPr>
                <w:rFonts w:ascii="Joost" w:hAnsi="Joost"/>
                <w:sz w:val="23"/>
                <w:szCs w:val="23"/>
                <w:lang w:val="lt-LT"/>
              </w:rPr>
              <w:t xml:space="preserve">Projekto įgyvendinimo metu </w:t>
            </w:r>
            <w:r>
              <w:rPr>
                <w:rFonts w:ascii="Joost" w:hAnsi="Joost"/>
                <w:sz w:val="23"/>
                <w:szCs w:val="23"/>
                <w:lang w:val="lt-LT"/>
              </w:rPr>
              <w:t>s</w:t>
            </w:r>
            <w:r w:rsidRPr="00D0659F">
              <w:rPr>
                <w:rFonts w:ascii="Joost" w:eastAsia="Calibri" w:hAnsi="Joost"/>
                <w:noProof/>
                <w:sz w:val="23"/>
                <w:szCs w:val="23"/>
                <w:lang w:val="lt-LT"/>
              </w:rPr>
              <w:t>kaitmeninės paslaugų platformos</w:t>
            </w:r>
            <w:r w:rsidRPr="00D0659F">
              <w:rPr>
                <w:rFonts w:ascii="Joost" w:hAnsi="Joost"/>
                <w:sz w:val="23"/>
                <w:szCs w:val="23"/>
                <w:lang w:val="lt-LT"/>
              </w:rPr>
              <w:t xml:space="preserve"> diegėjas tur</w:t>
            </w:r>
            <w:r>
              <w:rPr>
                <w:rFonts w:ascii="Joost" w:hAnsi="Joost"/>
                <w:sz w:val="23"/>
                <w:szCs w:val="23"/>
                <w:lang w:val="lt-LT"/>
              </w:rPr>
              <w:t>ės</w:t>
            </w:r>
            <w:r w:rsidRPr="00D0659F">
              <w:rPr>
                <w:rFonts w:ascii="Joost" w:hAnsi="Joost"/>
                <w:sz w:val="23"/>
                <w:szCs w:val="23"/>
                <w:lang w:val="lt-LT"/>
              </w:rPr>
              <w:t xml:space="preserve"> pateikti DSL, naudotojo sąsajos vizualizavimo pagal DSL prototipą-</w:t>
            </w:r>
            <w:proofErr w:type="spellStart"/>
            <w:r w:rsidRPr="00D0659F">
              <w:rPr>
                <w:rFonts w:ascii="Joost" w:hAnsi="Joost"/>
                <w:sz w:val="23"/>
                <w:szCs w:val="23"/>
                <w:lang w:val="lt-LT"/>
              </w:rPr>
              <w:t>simuliatorių</w:t>
            </w:r>
            <w:proofErr w:type="spellEnd"/>
            <w:r w:rsidRPr="00D0659F">
              <w:rPr>
                <w:rFonts w:ascii="Joost" w:hAnsi="Joost"/>
                <w:sz w:val="23"/>
                <w:szCs w:val="23"/>
                <w:lang w:val="lt-LT"/>
              </w:rPr>
              <w:t xml:space="preserve"> (Techninė</w:t>
            </w:r>
            <w:r>
              <w:rPr>
                <w:rFonts w:ascii="Joost" w:hAnsi="Joost"/>
                <w:sz w:val="23"/>
                <w:szCs w:val="23"/>
                <w:lang w:val="lt-LT"/>
              </w:rPr>
              <w:t>s</w:t>
            </w:r>
            <w:r w:rsidRPr="00D0659F">
              <w:rPr>
                <w:rFonts w:ascii="Joost" w:hAnsi="Joost"/>
                <w:sz w:val="23"/>
                <w:szCs w:val="23"/>
                <w:lang w:val="lt-LT"/>
              </w:rPr>
              <w:t xml:space="preserve"> specifikacij</w:t>
            </w:r>
            <w:r>
              <w:rPr>
                <w:rFonts w:ascii="Joost" w:hAnsi="Joost"/>
                <w:sz w:val="23"/>
                <w:szCs w:val="23"/>
                <w:lang w:val="lt-LT"/>
              </w:rPr>
              <w:t>os</w:t>
            </w:r>
            <w:r w:rsidRPr="00D0659F">
              <w:rPr>
                <w:rFonts w:ascii="Joost" w:hAnsi="Joost"/>
                <w:sz w:val="23"/>
                <w:szCs w:val="23"/>
                <w:lang w:val="lt-LT"/>
              </w:rPr>
              <w:t>, sk. 5.4, reikalavimas Nr. 1.b) ir numatyti kaštus DSL vizualizacijos įgyvendinimo Skaitmeninio paslaugų katalogo (SPK) naudotojo sąsajoje suderinimui su SPK diegėju (Techninė</w:t>
            </w:r>
            <w:r>
              <w:rPr>
                <w:rFonts w:ascii="Joost" w:hAnsi="Joost"/>
                <w:sz w:val="23"/>
                <w:szCs w:val="23"/>
                <w:lang w:val="lt-LT"/>
              </w:rPr>
              <w:t>s</w:t>
            </w:r>
            <w:r w:rsidRPr="00D0659F">
              <w:rPr>
                <w:rFonts w:ascii="Joost" w:hAnsi="Joost"/>
                <w:sz w:val="23"/>
                <w:szCs w:val="23"/>
                <w:lang w:val="lt-LT"/>
              </w:rPr>
              <w:t xml:space="preserve"> specifikacij</w:t>
            </w:r>
            <w:r>
              <w:rPr>
                <w:rFonts w:ascii="Joost" w:hAnsi="Joost"/>
                <w:sz w:val="23"/>
                <w:szCs w:val="23"/>
                <w:lang w:val="lt-LT"/>
              </w:rPr>
              <w:t>os</w:t>
            </w:r>
            <w:r w:rsidRPr="00D0659F">
              <w:rPr>
                <w:rFonts w:ascii="Joost" w:hAnsi="Joost"/>
                <w:sz w:val="23"/>
                <w:szCs w:val="23"/>
                <w:lang w:val="lt-LT"/>
              </w:rPr>
              <w:t xml:space="preserve"> sk. 5.1, reikalavimas Nr. 1).</w:t>
            </w:r>
          </w:p>
          <w:p w14:paraId="4300E936" w14:textId="03C2701D" w:rsidR="005F5714" w:rsidRPr="00EA2301" w:rsidRDefault="00D0659F" w:rsidP="00EA2301">
            <w:pPr>
              <w:tabs>
                <w:tab w:val="left" w:pos="1605"/>
              </w:tabs>
              <w:jc w:val="both"/>
              <w:rPr>
                <w:rFonts w:ascii="Joost" w:eastAsia="Times New Roman" w:hAnsi="Joost" w:cs="Calibri"/>
                <w:sz w:val="23"/>
                <w:szCs w:val="23"/>
                <w:lang w:val="lt-LT"/>
              </w:rPr>
            </w:pPr>
            <w:r>
              <w:rPr>
                <w:rFonts w:ascii="Joost" w:hAnsi="Joost"/>
                <w:sz w:val="23"/>
                <w:szCs w:val="23"/>
                <w:lang w:val="lt-LT"/>
              </w:rPr>
              <w:t>3.</w:t>
            </w:r>
            <w:r w:rsidR="00301AC3">
              <w:rPr>
                <w:rFonts w:ascii="Joost" w:hAnsi="Joost"/>
                <w:sz w:val="23"/>
                <w:szCs w:val="23"/>
                <w:lang w:val="lt-LT"/>
              </w:rPr>
              <w:t xml:space="preserve"> </w:t>
            </w:r>
            <w:r w:rsidRPr="00D0659F">
              <w:rPr>
                <w:rFonts w:ascii="Joost" w:hAnsi="Joost"/>
                <w:sz w:val="23"/>
                <w:szCs w:val="23"/>
                <w:lang w:val="lt-LT"/>
              </w:rPr>
              <w:t xml:space="preserve">Tiekėjas </w:t>
            </w:r>
            <w:r w:rsidR="00301AC3">
              <w:rPr>
                <w:rFonts w:ascii="Joost" w:hAnsi="Joost"/>
                <w:sz w:val="23"/>
                <w:szCs w:val="23"/>
                <w:lang w:val="lt-LT"/>
              </w:rPr>
              <w:t xml:space="preserve">turi pademonstruoti </w:t>
            </w:r>
            <w:r w:rsidRPr="00D0659F">
              <w:rPr>
                <w:rFonts w:ascii="Joost" w:hAnsi="Joost"/>
                <w:sz w:val="23"/>
                <w:szCs w:val="23"/>
                <w:lang w:val="lt-LT"/>
              </w:rPr>
              <w:t xml:space="preserve"> savo pasiūlytą DSL su apmokyta demonstracin</w:t>
            </w:r>
            <w:r w:rsidR="00301AC3">
              <w:rPr>
                <w:rFonts w:ascii="Joost" w:hAnsi="Joost"/>
                <w:sz w:val="23"/>
                <w:szCs w:val="23"/>
                <w:lang w:val="lt-LT"/>
              </w:rPr>
              <w:t>e</w:t>
            </w:r>
            <w:r w:rsidRPr="00D0659F">
              <w:rPr>
                <w:rFonts w:ascii="Joost" w:hAnsi="Joost"/>
                <w:sz w:val="23"/>
                <w:szCs w:val="23"/>
                <w:lang w:val="lt-LT"/>
              </w:rPr>
              <w:t xml:space="preserve"> dirbtinio intelekto priemonių versij</w:t>
            </w:r>
            <w:r w:rsidR="00301AC3">
              <w:rPr>
                <w:rFonts w:ascii="Joost" w:hAnsi="Joost"/>
                <w:sz w:val="23"/>
                <w:szCs w:val="23"/>
                <w:lang w:val="lt-LT"/>
              </w:rPr>
              <w:t>a</w:t>
            </w:r>
            <w:r w:rsidRPr="00D0659F">
              <w:rPr>
                <w:rFonts w:ascii="Joost" w:hAnsi="Joost"/>
                <w:sz w:val="23"/>
                <w:szCs w:val="23"/>
                <w:lang w:val="lt-LT"/>
              </w:rPr>
              <w:t xml:space="preserve"> savo siūlomos DSL notacija, struktūra, taisyklėmis, kas nereikalauja Perkančiosios organizacijos duomenų.</w:t>
            </w:r>
          </w:p>
        </w:tc>
      </w:tr>
    </w:tbl>
    <w:p w14:paraId="2C081A81" w14:textId="77777777" w:rsidR="004724B7" w:rsidRPr="00246643" w:rsidRDefault="004724B7" w:rsidP="008E4265">
      <w:pPr>
        <w:tabs>
          <w:tab w:val="left" w:pos="1605"/>
        </w:tabs>
        <w:rPr>
          <w:rFonts w:ascii="Joost" w:hAnsi="Joost" w:cs="Calibri" w:hint="eastAsia"/>
          <w:sz w:val="23"/>
          <w:szCs w:val="23"/>
        </w:rPr>
      </w:pPr>
    </w:p>
    <w:p w14:paraId="2FC7F03D" w14:textId="20D198AA" w:rsidR="004724B7" w:rsidRPr="00246643" w:rsidRDefault="004724B7" w:rsidP="008E4265">
      <w:pPr>
        <w:tabs>
          <w:tab w:val="left" w:pos="1605"/>
        </w:tabs>
        <w:jc w:val="both"/>
        <w:rPr>
          <w:rFonts w:ascii="Joost" w:eastAsia="Times New Roman" w:hAnsi="Joost" w:cs="Calibri"/>
          <w:sz w:val="23"/>
          <w:szCs w:val="23"/>
        </w:rPr>
      </w:pPr>
      <w:r w:rsidRPr="00246643">
        <w:rPr>
          <w:rFonts w:ascii="Joost" w:eastAsia="Times New Roman" w:hAnsi="Joost" w:cs="Calibri"/>
          <w:sz w:val="23"/>
          <w:szCs w:val="23"/>
        </w:rPr>
        <w:t>Pagarbiai</w:t>
      </w:r>
    </w:p>
    <w:p w14:paraId="24581294" w14:textId="77777777" w:rsidR="004724B7" w:rsidRPr="00246643" w:rsidRDefault="004724B7" w:rsidP="008E4265">
      <w:pPr>
        <w:tabs>
          <w:tab w:val="left" w:pos="1605"/>
        </w:tabs>
        <w:jc w:val="both"/>
        <w:rPr>
          <w:rFonts w:ascii="Joost" w:eastAsia="Times New Roman" w:hAnsi="Joost" w:cs="Calibri"/>
          <w:sz w:val="23"/>
          <w:szCs w:val="23"/>
        </w:rPr>
      </w:pPr>
    </w:p>
    <w:p w14:paraId="7478A476" w14:textId="2A428A19" w:rsidR="00E4040A" w:rsidRPr="00EA2301" w:rsidRDefault="004724B7" w:rsidP="00EA2301">
      <w:pPr>
        <w:tabs>
          <w:tab w:val="left" w:pos="1605"/>
        </w:tabs>
        <w:jc w:val="both"/>
        <w:rPr>
          <w:rFonts w:ascii="Joost" w:hAnsi="Joost" w:cs="Calibri" w:hint="eastAsia"/>
          <w:sz w:val="23"/>
          <w:szCs w:val="23"/>
        </w:rPr>
      </w:pPr>
      <w:r w:rsidRPr="00246643">
        <w:rPr>
          <w:rFonts w:ascii="Joost" w:eastAsia="Times New Roman" w:hAnsi="Joost" w:cs="Calibri"/>
          <w:sz w:val="23"/>
          <w:szCs w:val="23"/>
        </w:rPr>
        <w:t>Komisija</w:t>
      </w:r>
    </w:p>
    <w:sectPr w:rsidR="00E4040A" w:rsidRPr="00EA2301" w:rsidSect="00EA2301">
      <w:headerReference w:type="default" r:id="rId7"/>
      <w:footerReference w:type="default" r:id="rId8"/>
      <w:headerReference w:type="first" r:id="rId9"/>
      <w:pgSz w:w="11900" w:h="16840"/>
      <w:pgMar w:top="1440" w:right="843" w:bottom="567"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7F0C9" w14:textId="77777777" w:rsidR="00162A3F" w:rsidRDefault="00162A3F" w:rsidP="000F17D6">
      <w:r>
        <w:separator/>
      </w:r>
    </w:p>
  </w:endnote>
  <w:endnote w:type="continuationSeparator" w:id="0">
    <w:p w14:paraId="24F957A3" w14:textId="77777777" w:rsidR="00162A3F" w:rsidRDefault="00162A3F"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00"/>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Joos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Jos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B126D" w14:textId="77777777" w:rsidR="00162A3F" w:rsidRDefault="00162A3F" w:rsidP="000F17D6">
      <w:r>
        <w:separator/>
      </w:r>
    </w:p>
  </w:footnote>
  <w:footnote w:type="continuationSeparator" w:id="0">
    <w:p w14:paraId="0852AE50" w14:textId="77777777" w:rsidR="00162A3F" w:rsidRDefault="00162A3F"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Header"/>
          <w:jc w:val="center"/>
          <w:rPr>
            <w:rFonts w:ascii="Jost" w:hAnsi="Jost" w:hint="eastAsia"/>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Header"/>
    </w:pPr>
    <w:r w:rsidRPr="00352C13">
      <w:rPr>
        <w:noProof/>
      </w:rPr>
      <w:drawing>
        <wp:inline distT="0" distB="0" distL="0" distR="0" wp14:anchorId="50DAB926" wp14:editId="71FDD2EC">
          <wp:extent cx="1260000" cy="522000"/>
          <wp:effectExtent l="0" t="0" r="0" b="0"/>
          <wp:docPr id="301668156"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1E1D"/>
    <w:multiLevelType w:val="hybridMultilevel"/>
    <w:tmpl w:val="BC64BB22"/>
    <w:lvl w:ilvl="0" w:tplc="ABC64C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5E0F34"/>
    <w:multiLevelType w:val="multilevel"/>
    <w:tmpl w:val="D608A3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1982E4E"/>
    <w:multiLevelType w:val="hybridMultilevel"/>
    <w:tmpl w:val="EE025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4224118">
    <w:abstractNumId w:val="2"/>
  </w:num>
  <w:num w:numId="2" w16cid:durableId="761678974">
    <w:abstractNumId w:val="1"/>
  </w:num>
  <w:num w:numId="3" w16cid:durableId="819922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14AD8"/>
    <w:rsid w:val="000841CC"/>
    <w:rsid w:val="00095D5F"/>
    <w:rsid w:val="000C524A"/>
    <w:rsid w:val="000F17D6"/>
    <w:rsid w:val="00101BE9"/>
    <w:rsid w:val="001330B6"/>
    <w:rsid w:val="001512F4"/>
    <w:rsid w:val="00162A3F"/>
    <w:rsid w:val="0016591D"/>
    <w:rsid w:val="00180221"/>
    <w:rsid w:val="00240BAB"/>
    <w:rsid w:val="00246643"/>
    <w:rsid w:val="00275ADA"/>
    <w:rsid w:val="00283410"/>
    <w:rsid w:val="00301AC3"/>
    <w:rsid w:val="00322AFC"/>
    <w:rsid w:val="00376B34"/>
    <w:rsid w:val="003B217B"/>
    <w:rsid w:val="003B6880"/>
    <w:rsid w:val="004657AE"/>
    <w:rsid w:val="004724B7"/>
    <w:rsid w:val="004841E0"/>
    <w:rsid w:val="004A5103"/>
    <w:rsid w:val="004B73A5"/>
    <w:rsid w:val="004F71AD"/>
    <w:rsid w:val="0050507A"/>
    <w:rsid w:val="00524B8D"/>
    <w:rsid w:val="005F1E34"/>
    <w:rsid w:val="005F5714"/>
    <w:rsid w:val="005F6874"/>
    <w:rsid w:val="00630C3A"/>
    <w:rsid w:val="00631A65"/>
    <w:rsid w:val="006908B5"/>
    <w:rsid w:val="00694AFA"/>
    <w:rsid w:val="007064EE"/>
    <w:rsid w:val="00717D5C"/>
    <w:rsid w:val="00774325"/>
    <w:rsid w:val="00775700"/>
    <w:rsid w:val="007772DB"/>
    <w:rsid w:val="007C7652"/>
    <w:rsid w:val="007F0445"/>
    <w:rsid w:val="0080655C"/>
    <w:rsid w:val="00860FEB"/>
    <w:rsid w:val="008E4265"/>
    <w:rsid w:val="008F0407"/>
    <w:rsid w:val="008F2683"/>
    <w:rsid w:val="009A7E52"/>
    <w:rsid w:val="009E5672"/>
    <w:rsid w:val="00A02E62"/>
    <w:rsid w:val="00A1363C"/>
    <w:rsid w:val="00A25314"/>
    <w:rsid w:val="00A7668B"/>
    <w:rsid w:val="00A84892"/>
    <w:rsid w:val="00B635A5"/>
    <w:rsid w:val="00BC4BBB"/>
    <w:rsid w:val="00BE1CB6"/>
    <w:rsid w:val="00C14324"/>
    <w:rsid w:val="00C36859"/>
    <w:rsid w:val="00CA2B49"/>
    <w:rsid w:val="00CD1404"/>
    <w:rsid w:val="00CE0EA3"/>
    <w:rsid w:val="00D0659F"/>
    <w:rsid w:val="00D244CF"/>
    <w:rsid w:val="00D5013F"/>
    <w:rsid w:val="00DA3CAE"/>
    <w:rsid w:val="00DF3CE3"/>
    <w:rsid w:val="00E04159"/>
    <w:rsid w:val="00E4040A"/>
    <w:rsid w:val="00E9653F"/>
    <w:rsid w:val="00EA2301"/>
    <w:rsid w:val="00ED5612"/>
    <w:rsid w:val="00EE5266"/>
    <w:rsid w:val="00EF6EAA"/>
    <w:rsid w:val="00EF7324"/>
    <w:rsid w:val="00F02276"/>
    <w:rsid w:val="00F03478"/>
    <w:rsid w:val="00F234DD"/>
    <w:rsid w:val="00F23815"/>
    <w:rsid w:val="00F52AEA"/>
    <w:rsid w:val="00F71DC1"/>
    <w:rsid w:val="00F910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7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Heading1">
    <w:name w:val="heading 1"/>
    <w:basedOn w:val="Normal"/>
    <w:next w:val="Normal"/>
    <w:link w:val="Heading1Char"/>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Heading5">
    <w:name w:val="heading 5"/>
    <w:basedOn w:val="Normal"/>
    <w:next w:val="Normal"/>
    <w:link w:val="Heading5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Heading6">
    <w:name w:val="heading 6"/>
    <w:basedOn w:val="Normal"/>
    <w:next w:val="Normal"/>
    <w:link w:val="Heading6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Heading7">
    <w:name w:val="heading 7"/>
    <w:basedOn w:val="Normal"/>
    <w:next w:val="Normal"/>
    <w:link w:val="Heading7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Heading8">
    <w:name w:val="heading 8"/>
    <w:basedOn w:val="Normal"/>
    <w:next w:val="Normal"/>
    <w:link w:val="Heading8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Heading9">
    <w:name w:val="heading 9"/>
    <w:basedOn w:val="Normal"/>
    <w:next w:val="Normal"/>
    <w:link w:val="Heading9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7D6"/>
    <w:rPr>
      <w:rFonts w:eastAsiaTheme="majorEastAsia" w:cstheme="majorBidi"/>
      <w:color w:val="272727" w:themeColor="text1" w:themeTint="D8"/>
    </w:rPr>
  </w:style>
  <w:style w:type="paragraph" w:styleId="Title">
    <w:name w:val="Title"/>
    <w:basedOn w:val="Normal"/>
    <w:next w:val="Normal"/>
    <w:link w:val="TitleChar"/>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0F1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SubtitleChar">
    <w:name w:val="Subtitle Char"/>
    <w:basedOn w:val="DefaultParagraphFont"/>
    <w:link w:val="Subtitle"/>
    <w:uiPriority w:val="11"/>
    <w:rsid w:val="000F1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QuoteChar">
    <w:name w:val="Quote Char"/>
    <w:basedOn w:val="DefaultParagraphFont"/>
    <w:link w:val="Quote"/>
    <w:uiPriority w:val="29"/>
    <w:rsid w:val="000F17D6"/>
    <w:rPr>
      <w:i/>
      <w:iCs/>
      <w:color w:val="404040" w:themeColor="text1" w:themeTint="BF"/>
    </w:rPr>
  </w:style>
  <w:style w:type="paragraph" w:styleId="ListParagraph">
    <w:name w:val="List Paragraph"/>
    <w:basedOn w:val="Normal"/>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IntenseEmphasis">
    <w:name w:val="Intense Emphasis"/>
    <w:basedOn w:val="DefaultParagraphFont"/>
    <w:uiPriority w:val="21"/>
    <w:qFormat/>
    <w:rsid w:val="000F17D6"/>
    <w:rPr>
      <w:i/>
      <w:iCs/>
      <w:color w:val="0F4761" w:themeColor="accent1" w:themeShade="BF"/>
    </w:rPr>
  </w:style>
  <w:style w:type="paragraph" w:styleId="IntenseQuote">
    <w:name w:val="Intense Quote"/>
    <w:basedOn w:val="Normal"/>
    <w:next w:val="Normal"/>
    <w:link w:val="IntenseQuoteChar"/>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ntenseQuoteChar">
    <w:name w:val="Intense Quote Char"/>
    <w:basedOn w:val="DefaultParagraphFont"/>
    <w:link w:val="IntenseQuote"/>
    <w:uiPriority w:val="30"/>
    <w:rsid w:val="000F17D6"/>
    <w:rPr>
      <w:i/>
      <w:iCs/>
      <w:color w:val="0F4761" w:themeColor="accent1" w:themeShade="BF"/>
    </w:rPr>
  </w:style>
  <w:style w:type="character" w:styleId="IntenseReference">
    <w:name w:val="Intense Reference"/>
    <w:basedOn w:val="DefaultParagraphFont"/>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Header">
    <w:name w:val="header"/>
    <w:basedOn w:val="Normal"/>
    <w:link w:val="HeaderChar"/>
    <w:uiPriority w:val="99"/>
    <w:unhideWhenUsed/>
    <w:rsid w:val="000F17D6"/>
    <w:pPr>
      <w:tabs>
        <w:tab w:val="center" w:pos="4680"/>
        <w:tab w:val="right" w:pos="9360"/>
      </w:tabs>
    </w:pPr>
  </w:style>
  <w:style w:type="character" w:customStyle="1" w:styleId="HeaderChar">
    <w:name w:val="Header Char"/>
    <w:basedOn w:val="DefaultParagraphFont"/>
    <w:link w:val="Header"/>
    <w:uiPriority w:val="99"/>
    <w:rsid w:val="000F17D6"/>
    <w:rPr>
      <w:rFonts w:ascii="Times New Roman" w:eastAsia="Arial Unicode MS" w:hAnsi="Times New Roman" w:cs="Times New Roman"/>
      <w:sz w:val="24"/>
      <w:szCs w:val="24"/>
      <w:bdr w:val="nil"/>
      <w14:ligatures w14:val="none"/>
    </w:rPr>
  </w:style>
  <w:style w:type="table" w:styleId="TableGrid">
    <w:name w:val="Table Grid"/>
    <w:basedOn w:val="TableNorma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F17D6"/>
    <w:pPr>
      <w:tabs>
        <w:tab w:val="center" w:pos="4513"/>
        <w:tab w:val="right" w:pos="9026"/>
      </w:tabs>
    </w:pPr>
  </w:style>
  <w:style w:type="character" w:customStyle="1" w:styleId="FooterChar">
    <w:name w:val="Footer Char"/>
    <w:basedOn w:val="DefaultParagraphFont"/>
    <w:link w:val="Footer"/>
    <w:uiPriority w:val="99"/>
    <w:rsid w:val="000F17D6"/>
    <w:rPr>
      <w:rFonts w:ascii="Times New Roman" w:eastAsia="Arial Unicode MS" w:hAnsi="Times New Roman" w:cs="Times New Roman"/>
      <w:sz w:val="24"/>
      <w:szCs w:val="24"/>
      <w:bdr w:val="nil"/>
      <w14:ligatures w14:val="none"/>
    </w:rPr>
  </w:style>
  <w:style w:type="character" w:customStyle="1" w:styleId="normaltextrun">
    <w:name w:val="normaltextrun"/>
    <w:basedOn w:val="DefaultParagraphFont"/>
    <w:rsid w:val="008E4265"/>
  </w:style>
  <w:style w:type="character" w:styleId="Hyperlink">
    <w:name w:val="Hyperlink"/>
    <w:basedOn w:val="DefaultParagraphFont"/>
    <w:uiPriority w:val="99"/>
    <w:unhideWhenUsed/>
    <w:rsid w:val="005F5714"/>
    <w:rPr>
      <w:color w:val="467886" w:themeColor="hyperlink"/>
      <w:u w:val="single"/>
    </w:rPr>
  </w:style>
  <w:style w:type="character" w:styleId="UnresolvedMention">
    <w:name w:val="Unresolved Mention"/>
    <w:basedOn w:val="DefaultParagraphFont"/>
    <w:uiPriority w:val="99"/>
    <w:semiHidden/>
    <w:unhideWhenUsed/>
    <w:rsid w:val="005F5714"/>
    <w:rPr>
      <w:color w:val="605E5C"/>
      <w:shd w:val="clear" w:color="auto" w:fill="E1DFDD"/>
    </w:rPr>
  </w:style>
  <w:style w:type="character" w:styleId="CommentReference">
    <w:name w:val="annotation reference"/>
    <w:basedOn w:val="DefaultParagraphFont"/>
    <w:uiPriority w:val="99"/>
    <w:semiHidden/>
    <w:unhideWhenUsed/>
    <w:rsid w:val="00D0659F"/>
    <w:rPr>
      <w:sz w:val="16"/>
      <w:szCs w:val="16"/>
    </w:rPr>
  </w:style>
  <w:style w:type="paragraph" w:styleId="CommentText">
    <w:name w:val="annotation text"/>
    <w:basedOn w:val="Normal"/>
    <w:link w:val="CommentTextChar"/>
    <w:uiPriority w:val="99"/>
    <w:unhideWhenUsed/>
    <w:rsid w:val="00D0659F"/>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Aptos" w:eastAsia="Aptos" w:hAnsi="Aptos" w:cs="Aptos"/>
      <w:sz w:val="20"/>
      <w:szCs w:val="20"/>
      <w:bdr w:val="none" w:sz="0" w:space="0" w:color="auto"/>
      <w:lang w:val="en-GB" w:eastAsia="lt-LT"/>
    </w:rPr>
  </w:style>
  <w:style w:type="character" w:customStyle="1" w:styleId="CommentTextChar">
    <w:name w:val="Comment Text Char"/>
    <w:basedOn w:val="DefaultParagraphFont"/>
    <w:link w:val="CommentText"/>
    <w:uiPriority w:val="99"/>
    <w:rsid w:val="00D0659F"/>
    <w:rPr>
      <w:rFonts w:ascii="Aptos" w:eastAsia="Aptos" w:hAnsi="Aptos" w:cs="Aptos"/>
      <w:sz w:val="20"/>
      <w:szCs w:val="20"/>
      <w:lang w:val="en-GB"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2508">
      <w:bodyDiv w:val="1"/>
      <w:marLeft w:val="0"/>
      <w:marRight w:val="0"/>
      <w:marTop w:val="0"/>
      <w:marBottom w:val="0"/>
      <w:divBdr>
        <w:top w:val="none" w:sz="0" w:space="0" w:color="auto"/>
        <w:left w:val="none" w:sz="0" w:space="0" w:color="auto"/>
        <w:bottom w:val="none" w:sz="0" w:space="0" w:color="auto"/>
        <w:right w:val="none" w:sz="0" w:space="0" w:color="auto"/>
      </w:divBdr>
    </w:div>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215555591">
      <w:bodyDiv w:val="1"/>
      <w:marLeft w:val="0"/>
      <w:marRight w:val="0"/>
      <w:marTop w:val="0"/>
      <w:marBottom w:val="0"/>
      <w:divBdr>
        <w:top w:val="none" w:sz="0" w:space="0" w:color="auto"/>
        <w:left w:val="none" w:sz="0" w:space="0" w:color="auto"/>
        <w:bottom w:val="none" w:sz="0" w:space="0" w:color="auto"/>
        <w:right w:val="none" w:sz="0" w:space="0" w:color="auto"/>
      </w:divBdr>
    </w:div>
    <w:div w:id="268126055">
      <w:bodyDiv w:val="1"/>
      <w:marLeft w:val="0"/>
      <w:marRight w:val="0"/>
      <w:marTop w:val="0"/>
      <w:marBottom w:val="0"/>
      <w:divBdr>
        <w:top w:val="none" w:sz="0" w:space="0" w:color="auto"/>
        <w:left w:val="none" w:sz="0" w:space="0" w:color="auto"/>
        <w:bottom w:val="none" w:sz="0" w:space="0" w:color="auto"/>
        <w:right w:val="none" w:sz="0" w:space="0" w:color="auto"/>
      </w:divBdr>
    </w:div>
    <w:div w:id="651299848">
      <w:bodyDiv w:val="1"/>
      <w:marLeft w:val="0"/>
      <w:marRight w:val="0"/>
      <w:marTop w:val="0"/>
      <w:marBottom w:val="0"/>
      <w:divBdr>
        <w:top w:val="none" w:sz="0" w:space="0" w:color="auto"/>
        <w:left w:val="none" w:sz="0" w:space="0" w:color="auto"/>
        <w:bottom w:val="none" w:sz="0" w:space="0" w:color="auto"/>
        <w:right w:val="none" w:sz="0" w:space="0" w:color="auto"/>
      </w:divBdr>
    </w:div>
    <w:div w:id="686172094">
      <w:bodyDiv w:val="1"/>
      <w:marLeft w:val="0"/>
      <w:marRight w:val="0"/>
      <w:marTop w:val="0"/>
      <w:marBottom w:val="0"/>
      <w:divBdr>
        <w:top w:val="none" w:sz="0" w:space="0" w:color="auto"/>
        <w:left w:val="none" w:sz="0" w:space="0" w:color="auto"/>
        <w:bottom w:val="none" w:sz="0" w:space="0" w:color="auto"/>
        <w:right w:val="none" w:sz="0" w:space="0" w:color="auto"/>
      </w:divBdr>
    </w:div>
    <w:div w:id="918171048">
      <w:bodyDiv w:val="1"/>
      <w:marLeft w:val="0"/>
      <w:marRight w:val="0"/>
      <w:marTop w:val="0"/>
      <w:marBottom w:val="0"/>
      <w:divBdr>
        <w:top w:val="none" w:sz="0" w:space="0" w:color="auto"/>
        <w:left w:val="none" w:sz="0" w:space="0" w:color="auto"/>
        <w:bottom w:val="none" w:sz="0" w:space="0" w:color="auto"/>
        <w:right w:val="none" w:sz="0" w:space="0" w:color="auto"/>
      </w:divBdr>
    </w:div>
    <w:div w:id="1115563388">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 w:id="181471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Edita Ališauskaitė Vorožeikinienė</cp:lastModifiedBy>
  <cp:revision>2</cp:revision>
  <dcterms:created xsi:type="dcterms:W3CDTF">2025-01-24T09:13:00Z</dcterms:created>
  <dcterms:modified xsi:type="dcterms:W3CDTF">2025-01-24T09:13:00Z</dcterms:modified>
</cp:coreProperties>
</file>