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1EF" w:rsidRPr="00AE51EF" w:rsidRDefault="004B290E" w:rsidP="00AE51EF">
      <w:pPr>
        <w:jc w:val="right"/>
        <w:rPr>
          <w:rFonts w:ascii="Times New Roman" w:hAnsi="Times New Roman" w:cs="Times New Roman"/>
          <w:i w:val="0"/>
          <w:sz w:val="24"/>
          <w:szCs w:val="24"/>
        </w:rPr>
      </w:pPr>
      <w:r>
        <w:rPr>
          <w:rFonts w:ascii="Times New Roman" w:hAnsi="Times New Roman" w:cs="Times New Roman"/>
          <w:i w:val="0"/>
          <w:sz w:val="24"/>
          <w:szCs w:val="24"/>
        </w:rPr>
        <w:t xml:space="preserve">Pirkimo </w:t>
      </w:r>
      <w:r w:rsidR="00F90247">
        <w:rPr>
          <w:rFonts w:ascii="Times New Roman" w:hAnsi="Times New Roman" w:cs="Times New Roman"/>
          <w:i w:val="0"/>
          <w:sz w:val="24"/>
          <w:szCs w:val="24"/>
        </w:rPr>
        <w:t xml:space="preserve">sąlygų </w:t>
      </w:r>
      <w:r>
        <w:rPr>
          <w:rFonts w:ascii="Times New Roman" w:hAnsi="Times New Roman" w:cs="Times New Roman"/>
          <w:i w:val="0"/>
          <w:sz w:val="24"/>
          <w:szCs w:val="24"/>
        </w:rPr>
        <w:t>priedas Nr. 3</w:t>
      </w:r>
    </w:p>
    <w:p w:rsidR="00AE51EF" w:rsidRPr="00AE51EF" w:rsidRDefault="00AE51EF" w:rsidP="00AE51EF">
      <w:pPr>
        <w:jc w:val="right"/>
        <w:rPr>
          <w:rFonts w:ascii="Times New Roman" w:hAnsi="Times New Roman" w:cs="Times New Roman"/>
          <w:i w:val="0"/>
          <w:sz w:val="24"/>
          <w:szCs w:val="24"/>
        </w:rPr>
      </w:pPr>
      <w:r w:rsidRPr="00AE51EF">
        <w:rPr>
          <w:rFonts w:ascii="Times New Roman" w:hAnsi="Times New Roman" w:cs="Times New Roman"/>
          <w:i w:val="0"/>
          <w:sz w:val="24"/>
          <w:szCs w:val="24"/>
        </w:rPr>
        <w:t>„Techninė specifikacija“</w:t>
      </w:r>
    </w:p>
    <w:p w:rsidR="00EC5E12" w:rsidRPr="00BB31CD" w:rsidRDefault="00EC5E12" w:rsidP="00AE51EF">
      <w:pPr>
        <w:jc w:val="right"/>
        <w:rPr>
          <w:rFonts w:ascii="Times New Roman" w:hAnsi="Times New Roman" w:cs="Times New Roman"/>
          <w:i w:val="0"/>
          <w:sz w:val="24"/>
          <w:szCs w:val="24"/>
        </w:rPr>
      </w:pPr>
      <w:r w:rsidRPr="00BB31CD">
        <w:rPr>
          <w:rFonts w:ascii="Times New Roman" w:hAnsi="Times New Roman" w:cs="Times New Roman"/>
          <w:i w:val="0"/>
          <w:sz w:val="24"/>
          <w:szCs w:val="24"/>
        </w:rPr>
        <w:t xml:space="preserve">                                                                                                         </w:t>
      </w:r>
    </w:p>
    <w:p w:rsidR="004D6BFC" w:rsidRPr="00BB31CD" w:rsidRDefault="004D6BFC" w:rsidP="004D6BFC">
      <w:pPr>
        <w:jc w:val="center"/>
        <w:rPr>
          <w:rFonts w:ascii="Times New Roman" w:eastAsiaTheme="minorHAnsi" w:hAnsi="Times New Roman" w:cs="Times New Roman"/>
          <w:b/>
          <w:i w:val="0"/>
          <w:iCs w:val="0"/>
          <w:sz w:val="22"/>
          <w:szCs w:val="22"/>
          <w:lang w:eastAsia="en-US"/>
        </w:rPr>
      </w:pPr>
      <w:r w:rsidRPr="00BB31CD">
        <w:rPr>
          <w:rFonts w:ascii="Times New Roman" w:eastAsiaTheme="minorHAnsi" w:hAnsi="Times New Roman" w:cs="Times New Roman"/>
          <w:b/>
          <w:i w:val="0"/>
          <w:iCs w:val="0"/>
          <w:sz w:val="22"/>
          <w:szCs w:val="22"/>
          <w:lang w:eastAsia="en-US"/>
        </w:rPr>
        <w:t>STATINIŲ IŠ DAUGIASLUOKSNIŲ PLOKŠČIŲ ĮRENGIMAS</w:t>
      </w:r>
    </w:p>
    <w:p w:rsidR="004D6BFC" w:rsidRPr="00BB31CD" w:rsidRDefault="004D6BFC" w:rsidP="004D6BFC">
      <w:pPr>
        <w:jc w:val="center"/>
        <w:rPr>
          <w:rFonts w:ascii="Times New Roman" w:eastAsiaTheme="minorHAnsi" w:hAnsi="Times New Roman" w:cs="Times New Roman"/>
          <w:b/>
          <w:i w:val="0"/>
          <w:iCs w:val="0"/>
          <w:sz w:val="22"/>
          <w:szCs w:val="22"/>
          <w:lang w:eastAsia="en-US"/>
        </w:rPr>
      </w:pPr>
      <w:r w:rsidRPr="00BB31CD">
        <w:rPr>
          <w:rFonts w:ascii="Times New Roman" w:eastAsiaTheme="minorHAnsi" w:hAnsi="Times New Roman" w:cs="Times New Roman"/>
          <w:b/>
          <w:i w:val="0"/>
          <w:iCs w:val="0"/>
          <w:sz w:val="22"/>
          <w:szCs w:val="22"/>
          <w:lang w:eastAsia="en-US"/>
        </w:rPr>
        <w:t>TECHNINĖ SPECIFIKACIJA</w:t>
      </w:r>
    </w:p>
    <w:p w:rsidR="004D6BFC" w:rsidRPr="00BB31CD" w:rsidRDefault="004D6BFC" w:rsidP="004D6BFC">
      <w:pPr>
        <w:rPr>
          <w:rFonts w:ascii="Times New Roman" w:eastAsiaTheme="minorHAnsi" w:hAnsi="Times New Roman" w:cs="Times New Roman"/>
          <w:i w:val="0"/>
          <w:iCs w:val="0"/>
          <w:sz w:val="22"/>
          <w:szCs w:val="22"/>
          <w:lang w:eastAsia="en-US"/>
        </w:rPr>
      </w:pPr>
    </w:p>
    <w:p w:rsidR="004D6BFC" w:rsidRPr="00BB31CD" w:rsidRDefault="004D6BFC" w:rsidP="004D6BFC">
      <w:pPr>
        <w:rPr>
          <w:rFonts w:ascii="Times New Roman" w:eastAsiaTheme="minorHAnsi" w:hAnsi="Times New Roman" w:cs="Times New Roman"/>
          <w:i w:val="0"/>
          <w:iCs w:val="0"/>
          <w:sz w:val="22"/>
          <w:szCs w:val="22"/>
          <w:lang w:eastAsia="en-US"/>
        </w:rPr>
      </w:pPr>
    </w:p>
    <w:p w:rsidR="004D6BFC" w:rsidRPr="00BB31CD" w:rsidRDefault="004D6BFC" w:rsidP="004D6BFC">
      <w:pPr>
        <w:ind w:firstLine="709"/>
        <w:jc w:val="both"/>
        <w:rPr>
          <w:rFonts w:ascii="Times New Roman" w:eastAsiaTheme="minorHAnsi" w:hAnsi="Times New Roman" w:cs="Times New Roman"/>
          <w:i w:val="0"/>
          <w:iCs w:val="0"/>
          <w:sz w:val="22"/>
          <w:szCs w:val="22"/>
          <w:lang w:eastAsia="en-US"/>
        </w:rPr>
      </w:pPr>
      <w:r w:rsidRPr="00BB31CD">
        <w:rPr>
          <w:rFonts w:ascii="Times New Roman" w:eastAsiaTheme="minorHAnsi" w:hAnsi="Times New Roman" w:cs="Times New Roman"/>
          <w:i w:val="0"/>
          <w:iCs w:val="0"/>
          <w:sz w:val="22"/>
          <w:szCs w:val="22"/>
          <w:lang w:eastAsia="en-US"/>
        </w:rPr>
        <w:t xml:space="preserve">Ši techninė specifikacija parengta statinių iš daugiasluoksnių plokščių statybos ir įrengimo </w:t>
      </w:r>
      <w:proofErr w:type="spellStart"/>
      <w:r w:rsidRPr="00BB31CD">
        <w:rPr>
          <w:rFonts w:ascii="Times New Roman" w:eastAsiaTheme="minorHAnsi" w:hAnsi="Times New Roman" w:cs="Times New Roman"/>
          <w:i w:val="0"/>
          <w:iCs w:val="0"/>
          <w:sz w:val="22"/>
          <w:szCs w:val="22"/>
          <w:lang w:eastAsia="en-US"/>
        </w:rPr>
        <w:t>Leliūnų</w:t>
      </w:r>
      <w:proofErr w:type="spellEnd"/>
      <w:r w:rsidRPr="00BB31CD">
        <w:rPr>
          <w:rFonts w:ascii="Times New Roman" w:eastAsiaTheme="minorHAnsi" w:hAnsi="Times New Roman" w:cs="Times New Roman"/>
          <w:i w:val="0"/>
          <w:iCs w:val="0"/>
          <w:sz w:val="22"/>
          <w:szCs w:val="22"/>
          <w:lang w:eastAsia="en-US"/>
        </w:rPr>
        <w:t xml:space="preserve"> ir Sudeikių vandenvietėse vandens gerinimo įrenginiams darbams atlikti.</w:t>
      </w:r>
    </w:p>
    <w:p w:rsidR="004D6BFC" w:rsidRPr="00BB31CD" w:rsidRDefault="004D6BFC" w:rsidP="004D6BFC">
      <w:pPr>
        <w:rPr>
          <w:rFonts w:ascii="Times New Roman" w:eastAsiaTheme="minorHAnsi" w:hAnsi="Times New Roman" w:cs="Times New Roman"/>
          <w:i w:val="0"/>
          <w:iCs w:val="0"/>
          <w:sz w:val="22"/>
          <w:szCs w:val="22"/>
          <w:lang w:eastAsia="en-US"/>
        </w:rPr>
      </w:pPr>
    </w:p>
    <w:p w:rsidR="004D6BFC" w:rsidRPr="00BB31CD" w:rsidRDefault="004D6BFC" w:rsidP="004D6BFC">
      <w:pPr>
        <w:ind w:firstLine="709"/>
        <w:jc w:val="both"/>
        <w:rPr>
          <w:rFonts w:ascii="Times New Roman" w:eastAsiaTheme="minorHAnsi" w:hAnsi="Times New Roman" w:cs="Times New Roman"/>
          <w:i w:val="0"/>
          <w:iCs w:val="0"/>
          <w:sz w:val="22"/>
          <w:szCs w:val="22"/>
          <w:lang w:eastAsia="en-US"/>
        </w:rPr>
      </w:pPr>
      <w:r w:rsidRPr="00BB31CD">
        <w:rPr>
          <w:rFonts w:ascii="Times New Roman" w:eastAsiaTheme="minorHAnsi" w:hAnsi="Times New Roman" w:cs="Times New Roman"/>
          <w:i w:val="0"/>
          <w:iCs w:val="0"/>
          <w:sz w:val="22"/>
          <w:szCs w:val="22"/>
          <w:lang w:eastAsia="en-US"/>
        </w:rPr>
        <w:t>1. Prie esamų vandens gerinimo įrenginių (</w:t>
      </w:r>
      <w:r w:rsidRPr="00BB31CD">
        <w:rPr>
          <w:rFonts w:ascii="Times New Roman" w:eastAsiaTheme="minorHAnsi" w:hAnsi="Times New Roman" w:cs="Times New Roman"/>
          <w:iCs w:val="0"/>
          <w:sz w:val="22"/>
          <w:szCs w:val="22"/>
          <w:lang w:eastAsia="en-US"/>
        </w:rPr>
        <w:t>pridedamos nuotraukos</w:t>
      </w:r>
      <w:r w:rsidRPr="00BB31CD">
        <w:rPr>
          <w:rFonts w:ascii="Times New Roman" w:eastAsiaTheme="minorHAnsi" w:hAnsi="Times New Roman" w:cs="Times New Roman"/>
          <w:i w:val="0"/>
          <w:iCs w:val="0"/>
          <w:sz w:val="22"/>
          <w:szCs w:val="22"/>
          <w:lang w:eastAsia="en-US"/>
        </w:rPr>
        <w:t>) pastatų įrengti statinius iš daugiasluoksnių plokščių:</w:t>
      </w:r>
    </w:p>
    <w:p w:rsidR="004D6BFC" w:rsidRPr="00BB31CD" w:rsidRDefault="004D6BFC" w:rsidP="004D6BFC">
      <w:pPr>
        <w:ind w:firstLine="709"/>
        <w:rPr>
          <w:rFonts w:ascii="Times New Roman" w:eastAsiaTheme="minorHAnsi" w:hAnsi="Times New Roman" w:cs="Times New Roman"/>
          <w:iCs w:val="0"/>
          <w:sz w:val="22"/>
          <w:szCs w:val="22"/>
          <w:lang w:eastAsia="en-US"/>
        </w:rPr>
      </w:pPr>
      <w:r w:rsidRPr="00BB31CD">
        <w:rPr>
          <w:rFonts w:ascii="Times New Roman" w:eastAsiaTheme="minorHAnsi" w:hAnsi="Times New Roman" w:cs="Times New Roman"/>
          <w:iCs w:val="0"/>
          <w:sz w:val="22"/>
          <w:szCs w:val="22"/>
          <w:lang w:eastAsia="en-US"/>
        </w:rPr>
        <w:t xml:space="preserve">- </w:t>
      </w:r>
      <w:proofErr w:type="spellStart"/>
      <w:r w:rsidRPr="00BB31CD">
        <w:rPr>
          <w:rFonts w:ascii="Times New Roman" w:eastAsiaTheme="minorHAnsi" w:hAnsi="Times New Roman" w:cs="Times New Roman"/>
          <w:iCs w:val="0"/>
          <w:sz w:val="22"/>
          <w:szCs w:val="22"/>
          <w:lang w:eastAsia="en-US"/>
        </w:rPr>
        <w:t>Leliūnų</w:t>
      </w:r>
      <w:proofErr w:type="spellEnd"/>
      <w:r w:rsidRPr="00BB31CD">
        <w:rPr>
          <w:rFonts w:ascii="Times New Roman" w:eastAsiaTheme="minorHAnsi" w:hAnsi="Times New Roman" w:cs="Times New Roman"/>
          <w:iCs w:val="0"/>
          <w:sz w:val="22"/>
          <w:szCs w:val="22"/>
          <w:lang w:eastAsia="en-US"/>
        </w:rPr>
        <w:t xml:space="preserve"> vandenvietė, adresu Topolių g. 17A, </w:t>
      </w:r>
      <w:proofErr w:type="spellStart"/>
      <w:r w:rsidRPr="00BB31CD">
        <w:rPr>
          <w:rFonts w:ascii="Times New Roman" w:eastAsiaTheme="minorHAnsi" w:hAnsi="Times New Roman" w:cs="Times New Roman"/>
          <w:iCs w:val="0"/>
          <w:sz w:val="22"/>
          <w:szCs w:val="22"/>
          <w:lang w:eastAsia="en-US"/>
        </w:rPr>
        <w:t>Leliūnai</w:t>
      </w:r>
      <w:proofErr w:type="spellEnd"/>
      <w:r w:rsidRPr="00BB31CD">
        <w:rPr>
          <w:rFonts w:ascii="Times New Roman" w:eastAsiaTheme="minorHAnsi" w:hAnsi="Times New Roman" w:cs="Times New Roman"/>
          <w:iCs w:val="0"/>
          <w:sz w:val="22"/>
          <w:szCs w:val="22"/>
          <w:lang w:eastAsia="en-US"/>
        </w:rPr>
        <w:t xml:space="preserve"> – 4,0 x 2,67 m;</w:t>
      </w:r>
    </w:p>
    <w:p w:rsidR="004D6BFC" w:rsidRPr="00BB31CD" w:rsidRDefault="004D6BFC" w:rsidP="004D6BFC">
      <w:pPr>
        <w:ind w:firstLine="709"/>
        <w:rPr>
          <w:rFonts w:ascii="Times New Roman" w:eastAsiaTheme="minorHAnsi" w:hAnsi="Times New Roman" w:cs="Times New Roman"/>
          <w:iCs w:val="0"/>
          <w:sz w:val="22"/>
          <w:szCs w:val="22"/>
          <w:lang w:eastAsia="en-US"/>
        </w:rPr>
      </w:pPr>
      <w:r w:rsidRPr="00BB31CD">
        <w:rPr>
          <w:rFonts w:ascii="Times New Roman" w:eastAsiaTheme="minorHAnsi" w:hAnsi="Times New Roman" w:cs="Times New Roman"/>
          <w:iCs w:val="0"/>
          <w:sz w:val="22"/>
          <w:szCs w:val="22"/>
          <w:lang w:eastAsia="en-US"/>
        </w:rPr>
        <w:t>- Sudeikių vandenvietė, adresu Beržų g. 7, Sudeikiai – 6,18 x 2,67 m.</w:t>
      </w:r>
    </w:p>
    <w:p w:rsidR="004D6BFC" w:rsidRPr="00BB31CD" w:rsidRDefault="004D6BFC" w:rsidP="004D6BFC">
      <w:pPr>
        <w:ind w:firstLine="709"/>
        <w:jc w:val="both"/>
        <w:rPr>
          <w:rFonts w:ascii="Times New Roman" w:eastAsiaTheme="minorHAnsi" w:hAnsi="Times New Roman" w:cs="Times New Roman"/>
          <w:i w:val="0"/>
          <w:iCs w:val="0"/>
          <w:sz w:val="22"/>
          <w:szCs w:val="22"/>
          <w:lang w:eastAsia="en-US"/>
        </w:rPr>
      </w:pPr>
      <w:r w:rsidRPr="00BB31CD">
        <w:rPr>
          <w:rFonts w:ascii="Times New Roman" w:eastAsiaTheme="minorHAnsi" w:hAnsi="Times New Roman" w:cs="Times New Roman"/>
          <w:i w:val="0"/>
          <w:iCs w:val="0"/>
          <w:sz w:val="22"/>
          <w:szCs w:val="22"/>
          <w:lang w:eastAsia="en-US"/>
        </w:rPr>
        <w:t>2. Rangovas privalo įvertinti esamą situaciją vietoje ir numatyti visus darbus, reikalingus statinių įrengimui bei prijungimui prie esamų pastatų.</w:t>
      </w:r>
    </w:p>
    <w:p w:rsidR="004D6BFC" w:rsidRPr="00BB31CD" w:rsidRDefault="004D6BFC" w:rsidP="004D6BFC">
      <w:pPr>
        <w:ind w:firstLine="709"/>
        <w:jc w:val="both"/>
        <w:rPr>
          <w:rFonts w:ascii="Times New Roman" w:eastAsiaTheme="minorHAnsi" w:hAnsi="Times New Roman" w:cs="Times New Roman"/>
          <w:i w:val="0"/>
          <w:iCs w:val="0"/>
          <w:sz w:val="22"/>
          <w:szCs w:val="22"/>
          <w:lang w:eastAsia="en-US"/>
        </w:rPr>
      </w:pPr>
      <w:r w:rsidRPr="00BB31CD">
        <w:rPr>
          <w:rFonts w:ascii="Times New Roman" w:eastAsiaTheme="minorHAnsi" w:hAnsi="Times New Roman" w:cs="Times New Roman"/>
          <w:i w:val="0"/>
          <w:iCs w:val="0"/>
          <w:sz w:val="22"/>
          <w:szCs w:val="22"/>
          <w:lang w:eastAsia="en-US"/>
        </w:rPr>
        <w:t>3. Įrengti statiniams reika</w:t>
      </w:r>
      <w:bookmarkStart w:id="0" w:name="_GoBack"/>
      <w:bookmarkEnd w:id="0"/>
      <w:r w:rsidRPr="00BB31CD">
        <w:rPr>
          <w:rFonts w:ascii="Times New Roman" w:eastAsiaTheme="minorHAnsi" w:hAnsi="Times New Roman" w:cs="Times New Roman"/>
          <w:i w:val="0"/>
          <w:iCs w:val="0"/>
          <w:sz w:val="22"/>
          <w:szCs w:val="22"/>
          <w:lang w:eastAsia="en-US"/>
        </w:rPr>
        <w:t>lingus pamatus. Pamatų konstrukcinius sprendinius parenka Rangovas, įvertinęs vietos sąlygas ir statinio apkrovas.</w:t>
      </w:r>
    </w:p>
    <w:p w:rsidR="004D6BFC" w:rsidRPr="00BB31CD" w:rsidRDefault="004D6BFC" w:rsidP="004D6BFC">
      <w:pPr>
        <w:ind w:firstLine="709"/>
        <w:jc w:val="both"/>
        <w:rPr>
          <w:rFonts w:ascii="Times New Roman" w:eastAsiaTheme="minorHAnsi" w:hAnsi="Times New Roman" w:cs="Times New Roman"/>
          <w:i w:val="0"/>
          <w:iCs w:val="0"/>
          <w:sz w:val="22"/>
          <w:szCs w:val="22"/>
          <w:lang w:eastAsia="en-US"/>
        </w:rPr>
      </w:pPr>
      <w:r w:rsidRPr="00BB31CD">
        <w:rPr>
          <w:rFonts w:ascii="Times New Roman" w:eastAsiaTheme="minorHAnsi" w:hAnsi="Times New Roman" w:cs="Times New Roman"/>
          <w:i w:val="0"/>
          <w:iCs w:val="0"/>
          <w:sz w:val="22"/>
          <w:szCs w:val="22"/>
          <w:lang w:eastAsia="en-US"/>
        </w:rPr>
        <w:t>4. Sienos ir stogas turi būti įrengti iš daugiasluoksnių plokščių, kurių storis ne mažesnis kaip 80 mm. Plokščių konstrukcija – plienas / PIR užpildas / plienas arba lygiavertė. Sienų ir stogo šiluminė varža turi būti ne mažesnė kaip 3,0 m²K/W.</w:t>
      </w:r>
    </w:p>
    <w:p w:rsidR="004D6BFC" w:rsidRPr="00BB31CD" w:rsidRDefault="004D6BFC" w:rsidP="004D6BFC">
      <w:pPr>
        <w:ind w:firstLine="709"/>
        <w:jc w:val="both"/>
        <w:rPr>
          <w:rFonts w:ascii="Times New Roman" w:eastAsiaTheme="minorHAnsi" w:hAnsi="Times New Roman" w:cs="Times New Roman"/>
          <w:i w:val="0"/>
          <w:iCs w:val="0"/>
          <w:sz w:val="22"/>
          <w:szCs w:val="22"/>
          <w:lang w:eastAsia="en-US"/>
        </w:rPr>
      </w:pPr>
      <w:r w:rsidRPr="00BB31CD">
        <w:rPr>
          <w:rFonts w:ascii="Times New Roman" w:eastAsiaTheme="minorHAnsi" w:hAnsi="Times New Roman" w:cs="Times New Roman"/>
          <w:i w:val="0"/>
          <w:iCs w:val="0"/>
          <w:sz w:val="22"/>
          <w:szCs w:val="22"/>
          <w:lang w:eastAsia="en-US"/>
        </w:rPr>
        <w:t>5. Išorės sienų spalva – RAL 9006 (sidabrinė), vidaus sienų ir lubų spalva – RAL 9016 (balta).</w:t>
      </w:r>
    </w:p>
    <w:p w:rsidR="004D6BFC" w:rsidRPr="00BB31CD" w:rsidRDefault="004D6BFC" w:rsidP="004D6BFC">
      <w:pPr>
        <w:ind w:firstLine="709"/>
        <w:jc w:val="both"/>
        <w:rPr>
          <w:rFonts w:ascii="Times New Roman" w:eastAsiaTheme="minorHAnsi" w:hAnsi="Times New Roman" w:cs="Times New Roman"/>
          <w:i w:val="0"/>
          <w:iCs w:val="0"/>
          <w:sz w:val="22"/>
          <w:szCs w:val="22"/>
          <w:lang w:eastAsia="en-US"/>
        </w:rPr>
      </w:pPr>
      <w:r w:rsidRPr="00BB31CD">
        <w:rPr>
          <w:rFonts w:ascii="Times New Roman" w:eastAsiaTheme="minorHAnsi" w:hAnsi="Times New Roman" w:cs="Times New Roman"/>
          <w:i w:val="0"/>
          <w:iCs w:val="0"/>
          <w:sz w:val="22"/>
          <w:szCs w:val="22"/>
          <w:lang w:eastAsia="en-US"/>
        </w:rPr>
        <w:t xml:space="preserve">6. Įrengti metalines termoizoliacines duris, ne mažesnių kaip 800 x 2100 mm matmenų, atsparias įsilaužimui. Durys turi būti komplektuojamos su spyna (ne mažiau 4 klasė) , rankena ir visais eksploatavimui reikalingais priedais. Durų spalvą suderinti su Užsakovu. </w:t>
      </w:r>
    </w:p>
    <w:p w:rsidR="004D6BFC" w:rsidRPr="00BB31CD" w:rsidRDefault="004D6BFC" w:rsidP="004D6BFC">
      <w:pPr>
        <w:ind w:firstLine="709"/>
        <w:jc w:val="both"/>
        <w:rPr>
          <w:rFonts w:ascii="Times New Roman" w:eastAsiaTheme="minorHAnsi" w:hAnsi="Times New Roman" w:cs="Times New Roman"/>
          <w:i w:val="0"/>
          <w:iCs w:val="0"/>
          <w:sz w:val="22"/>
          <w:szCs w:val="22"/>
          <w:lang w:eastAsia="en-US"/>
        </w:rPr>
      </w:pPr>
      <w:r w:rsidRPr="00BB31CD">
        <w:rPr>
          <w:rFonts w:ascii="Times New Roman" w:eastAsiaTheme="minorHAnsi" w:hAnsi="Times New Roman" w:cs="Times New Roman"/>
          <w:i w:val="0"/>
          <w:iCs w:val="0"/>
          <w:sz w:val="22"/>
          <w:szCs w:val="22"/>
          <w:lang w:eastAsia="en-US"/>
        </w:rPr>
        <w:t>7. Įrengti grindis ir išklijuoti jas keraminėmis arba akmens masės plytelėmis, atspariomis drėgmei ir lengvai valomomis.</w:t>
      </w:r>
    </w:p>
    <w:p w:rsidR="004D6BFC" w:rsidRPr="00BB31CD" w:rsidRDefault="004D6BFC" w:rsidP="004D6BFC">
      <w:pPr>
        <w:ind w:firstLine="709"/>
        <w:jc w:val="both"/>
        <w:rPr>
          <w:rFonts w:ascii="Times New Roman" w:eastAsiaTheme="minorHAnsi" w:hAnsi="Times New Roman" w:cs="Times New Roman"/>
          <w:i w:val="0"/>
          <w:iCs w:val="0"/>
          <w:sz w:val="22"/>
          <w:szCs w:val="22"/>
          <w:lang w:eastAsia="en-US"/>
        </w:rPr>
      </w:pPr>
      <w:r w:rsidRPr="00BB31CD">
        <w:rPr>
          <w:rFonts w:ascii="Times New Roman" w:eastAsiaTheme="minorHAnsi" w:hAnsi="Times New Roman" w:cs="Times New Roman"/>
          <w:i w:val="0"/>
          <w:iCs w:val="0"/>
          <w:sz w:val="22"/>
          <w:szCs w:val="22"/>
          <w:lang w:eastAsia="en-US"/>
        </w:rPr>
        <w:t>8. Įrengti lietaus vandens surinkimo ir nuvedimo sistemą.</w:t>
      </w:r>
    </w:p>
    <w:p w:rsidR="004D6BFC" w:rsidRPr="00BB31CD" w:rsidRDefault="004D6BFC" w:rsidP="004D6BFC">
      <w:pPr>
        <w:ind w:firstLine="709"/>
        <w:jc w:val="both"/>
        <w:rPr>
          <w:rFonts w:ascii="Times New Roman" w:eastAsiaTheme="minorHAnsi" w:hAnsi="Times New Roman" w:cs="Times New Roman"/>
          <w:i w:val="0"/>
          <w:iCs w:val="0"/>
          <w:sz w:val="22"/>
          <w:szCs w:val="22"/>
          <w:lang w:eastAsia="en-US"/>
        </w:rPr>
      </w:pPr>
      <w:r w:rsidRPr="00BB31CD">
        <w:rPr>
          <w:rFonts w:ascii="Times New Roman" w:eastAsiaTheme="minorHAnsi" w:hAnsi="Times New Roman" w:cs="Times New Roman"/>
          <w:i w:val="0"/>
          <w:iCs w:val="0"/>
          <w:sz w:val="22"/>
          <w:szCs w:val="22"/>
          <w:lang w:eastAsia="en-US"/>
        </w:rPr>
        <w:t>9. Įrengti natūralų vėdinimą.</w:t>
      </w:r>
    </w:p>
    <w:p w:rsidR="004D6BFC" w:rsidRPr="00BB31CD" w:rsidRDefault="004D6BFC" w:rsidP="004D6BFC">
      <w:pPr>
        <w:ind w:firstLine="709"/>
        <w:jc w:val="both"/>
        <w:rPr>
          <w:rFonts w:ascii="Times New Roman" w:eastAsiaTheme="minorHAnsi" w:hAnsi="Times New Roman" w:cs="Times New Roman"/>
          <w:i w:val="0"/>
          <w:iCs w:val="0"/>
          <w:sz w:val="22"/>
          <w:szCs w:val="22"/>
          <w:lang w:eastAsia="en-US"/>
        </w:rPr>
      </w:pPr>
      <w:r w:rsidRPr="00BB31CD">
        <w:rPr>
          <w:rFonts w:ascii="Times New Roman" w:eastAsiaTheme="minorHAnsi" w:hAnsi="Times New Roman" w:cs="Times New Roman"/>
          <w:i w:val="0"/>
          <w:iCs w:val="0"/>
          <w:sz w:val="22"/>
          <w:szCs w:val="22"/>
          <w:lang w:eastAsia="en-US"/>
        </w:rPr>
        <w:t>10. Įrengti bazinę elektros instaliaciją:</w:t>
      </w:r>
    </w:p>
    <w:p w:rsidR="004D6BFC" w:rsidRPr="00BB31CD" w:rsidRDefault="004D6BFC" w:rsidP="004D6BFC">
      <w:pPr>
        <w:numPr>
          <w:ilvl w:val="0"/>
          <w:numId w:val="2"/>
        </w:numPr>
        <w:contextualSpacing/>
        <w:jc w:val="both"/>
        <w:rPr>
          <w:rFonts w:ascii="Times New Roman" w:eastAsiaTheme="minorHAnsi" w:hAnsi="Times New Roman" w:cs="Times New Roman"/>
          <w:i w:val="0"/>
          <w:iCs w:val="0"/>
          <w:sz w:val="22"/>
          <w:szCs w:val="22"/>
          <w:lang w:eastAsia="en-US"/>
        </w:rPr>
      </w:pPr>
      <w:r w:rsidRPr="00BB31CD">
        <w:rPr>
          <w:rFonts w:ascii="Times New Roman" w:eastAsiaTheme="minorHAnsi" w:hAnsi="Times New Roman" w:cs="Times New Roman"/>
          <w:i w:val="0"/>
          <w:iCs w:val="0"/>
          <w:sz w:val="22"/>
          <w:szCs w:val="22"/>
          <w:lang w:eastAsia="en-US"/>
        </w:rPr>
        <w:t>įvadinę elektros skydinę;</w:t>
      </w:r>
    </w:p>
    <w:p w:rsidR="004D6BFC" w:rsidRPr="00BB31CD" w:rsidRDefault="004D6BFC" w:rsidP="004D6BFC">
      <w:pPr>
        <w:numPr>
          <w:ilvl w:val="0"/>
          <w:numId w:val="2"/>
        </w:numPr>
        <w:contextualSpacing/>
        <w:jc w:val="both"/>
        <w:rPr>
          <w:rFonts w:ascii="Times New Roman" w:eastAsiaTheme="minorHAnsi" w:hAnsi="Times New Roman" w:cs="Times New Roman"/>
          <w:i w:val="0"/>
          <w:iCs w:val="0"/>
          <w:sz w:val="22"/>
          <w:szCs w:val="22"/>
          <w:lang w:eastAsia="en-US"/>
        </w:rPr>
      </w:pPr>
      <w:r w:rsidRPr="00BB31CD">
        <w:rPr>
          <w:rFonts w:ascii="Times New Roman" w:eastAsiaTheme="minorHAnsi" w:hAnsi="Times New Roman" w:cs="Times New Roman"/>
          <w:i w:val="0"/>
          <w:iCs w:val="0"/>
          <w:sz w:val="22"/>
          <w:szCs w:val="22"/>
          <w:lang w:eastAsia="en-US"/>
        </w:rPr>
        <w:t>vidaus LED apšvietimą;</w:t>
      </w:r>
    </w:p>
    <w:p w:rsidR="004D6BFC" w:rsidRPr="00BB31CD" w:rsidRDefault="004D6BFC" w:rsidP="004D6BFC">
      <w:pPr>
        <w:numPr>
          <w:ilvl w:val="0"/>
          <w:numId w:val="2"/>
        </w:numPr>
        <w:contextualSpacing/>
        <w:jc w:val="both"/>
        <w:rPr>
          <w:rFonts w:ascii="Times New Roman" w:eastAsiaTheme="minorHAnsi" w:hAnsi="Times New Roman" w:cs="Times New Roman"/>
          <w:i w:val="0"/>
          <w:iCs w:val="0"/>
          <w:sz w:val="22"/>
          <w:szCs w:val="22"/>
          <w:lang w:eastAsia="en-US"/>
        </w:rPr>
      </w:pPr>
      <w:r w:rsidRPr="00BB31CD">
        <w:rPr>
          <w:rFonts w:ascii="Times New Roman" w:eastAsiaTheme="minorHAnsi" w:hAnsi="Times New Roman" w:cs="Times New Roman"/>
          <w:i w:val="0"/>
          <w:iCs w:val="0"/>
          <w:sz w:val="22"/>
          <w:szCs w:val="22"/>
          <w:lang w:eastAsia="en-US"/>
        </w:rPr>
        <w:t>apšvietimo jungiklius;</w:t>
      </w:r>
    </w:p>
    <w:p w:rsidR="004D6BFC" w:rsidRPr="00BB31CD" w:rsidRDefault="004D6BFC" w:rsidP="004D6BFC">
      <w:pPr>
        <w:numPr>
          <w:ilvl w:val="0"/>
          <w:numId w:val="2"/>
        </w:numPr>
        <w:contextualSpacing/>
        <w:jc w:val="both"/>
        <w:rPr>
          <w:rFonts w:ascii="Times New Roman" w:eastAsiaTheme="minorHAnsi" w:hAnsi="Times New Roman" w:cs="Times New Roman"/>
          <w:i w:val="0"/>
          <w:iCs w:val="0"/>
          <w:sz w:val="22"/>
          <w:szCs w:val="22"/>
          <w:lang w:eastAsia="en-US"/>
        </w:rPr>
      </w:pPr>
      <w:r w:rsidRPr="00BB31CD">
        <w:rPr>
          <w:rFonts w:ascii="Times New Roman" w:eastAsiaTheme="minorHAnsi" w:hAnsi="Times New Roman" w:cs="Times New Roman"/>
          <w:i w:val="0"/>
          <w:iCs w:val="0"/>
          <w:sz w:val="22"/>
          <w:szCs w:val="22"/>
          <w:lang w:eastAsia="en-US"/>
        </w:rPr>
        <w:t>ne mažiau kaip 4 vnt. 230 V elektros lizdų;</w:t>
      </w:r>
    </w:p>
    <w:p w:rsidR="004D6BFC" w:rsidRPr="00BB31CD" w:rsidRDefault="004D6BFC" w:rsidP="004D6BFC">
      <w:pPr>
        <w:numPr>
          <w:ilvl w:val="0"/>
          <w:numId w:val="2"/>
        </w:numPr>
        <w:contextualSpacing/>
        <w:jc w:val="both"/>
        <w:rPr>
          <w:rFonts w:ascii="Times New Roman" w:eastAsiaTheme="minorHAnsi" w:hAnsi="Times New Roman" w:cs="Times New Roman"/>
          <w:i w:val="0"/>
          <w:iCs w:val="0"/>
          <w:sz w:val="22"/>
          <w:szCs w:val="22"/>
          <w:lang w:eastAsia="en-US"/>
        </w:rPr>
      </w:pPr>
      <w:r w:rsidRPr="00BB31CD">
        <w:rPr>
          <w:rFonts w:ascii="Times New Roman" w:eastAsiaTheme="minorHAnsi" w:hAnsi="Times New Roman" w:cs="Times New Roman"/>
          <w:i w:val="0"/>
          <w:iCs w:val="0"/>
          <w:sz w:val="22"/>
          <w:szCs w:val="22"/>
          <w:lang w:eastAsia="en-US"/>
        </w:rPr>
        <w:t>įžeminimo sistemą;</w:t>
      </w:r>
    </w:p>
    <w:p w:rsidR="004D6BFC" w:rsidRPr="00BB31CD" w:rsidRDefault="004D6BFC" w:rsidP="004D6BFC">
      <w:pPr>
        <w:numPr>
          <w:ilvl w:val="0"/>
          <w:numId w:val="2"/>
        </w:numPr>
        <w:tabs>
          <w:tab w:val="left" w:pos="1701"/>
        </w:tabs>
        <w:ind w:left="0" w:firstLine="1353"/>
        <w:contextualSpacing/>
        <w:jc w:val="both"/>
        <w:rPr>
          <w:rFonts w:ascii="Times New Roman" w:eastAsiaTheme="minorHAnsi" w:hAnsi="Times New Roman" w:cs="Times New Roman"/>
          <w:i w:val="0"/>
          <w:iCs w:val="0"/>
          <w:sz w:val="22"/>
          <w:szCs w:val="22"/>
          <w:lang w:eastAsia="en-US"/>
        </w:rPr>
      </w:pPr>
      <w:r w:rsidRPr="00BB31CD">
        <w:rPr>
          <w:rFonts w:ascii="Times New Roman" w:eastAsiaTheme="minorHAnsi" w:hAnsi="Times New Roman" w:cs="Times New Roman"/>
          <w:i w:val="0"/>
          <w:iCs w:val="0"/>
          <w:sz w:val="22"/>
          <w:szCs w:val="22"/>
          <w:lang w:eastAsia="en-US"/>
        </w:rPr>
        <w:t>elektros instaliacija turi būti pilnai užbaigta ir paruošta prijungimui prie esamų elektros tinklų.</w:t>
      </w:r>
    </w:p>
    <w:p w:rsidR="004D6BFC" w:rsidRPr="00BB31CD" w:rsidRDefault="004D6BFC" w:rsidP="004D6BFC">
      <w:pPr>
        <w:ind w:firstLine="709"/>
        <w:jc w:val="both"/>
        <w:rPr>
          <w:rFonts w:ascii="Times New Roman" w:eastAsiaTheme="minorHAnsi" w:hAnsi="Times New Roman" w:cs="Times New Roman"/>
          <w:i w:val="0"/>
          <w:iCs w:val="0"/>
          <w:sz w:val="22"/>
          <w:szCs w:val="22"/>
          <w:lang w:eastAsia="en-US"/>
        </w:rPr>
      </w:pPr>
      <w:r w:rsidRPr="00BB31CD">
        <w:rPr>
          <w:rFonts w:ascii="Times New Roman" w:eastAsiaTheme="minorHAnsi" w:hAnsi="Times New Roman" w:cs="Times New Roman"/>
          <w:i w:val="0"/>
          <w:iCs w:val="0"/>
          <w:sz w:val="22"/>
          <w:szCs w:val="22"/>
          <w:lang w:eastAsia="en-US"/>
        </w:rPr>
        <w:t>11. Sumontuoti elektrinį šildytuvą su termostatu. Šildymo sistema turi užtikrinti ne žemesnę kaip +5 °C temperatūrą statinio viduje.</w:t>
      </w:r>
    </w:p>
    <w:p w:rsidR="004D6BFC" w:rsidRPr="00BB31CD" w:rsidRDefault="004D6BFC" w:rsidP="004D6BFC">
      <w:pPr>
        <w:ind w:firstLine="709"/>
        <w:jc w:val="both"/>
        <w:rPr>
          <w:rFonts w:ascii="Times New Roman" w:eastAsiaTheme="minorHAnsi" w:hAnsi="Times New Roman" w:cs="Times New Roman"/>
          <w:i w:val="0"/>
          <w:iCs w:val="0"/>
          <w:sz w:val="22"/>
          <w:szCs w:val="22"/>
          <w:lang w:eastAsia="en-US"/>
        </w:rPr>
      </w:pPr>
      <w:r w:rsidRPr="00BB31CD">
        <w:rPr>
          <w:rFonts w:ascii="Times New Roman" w:eastAsiaTheme="minorHAnsi" w:hAnsi="Times New Roman" w:cs="Times New Roman"/>
          <w:i w:val="0"/>
          <w:iCs w:val="0"/>
          <w:sz w:val="22"/>
          <w:szCs w:val="22"/>
          <w:lang w:eastAsia="en-US"/>
        </w:rPr>
        <w:t>12. Atlikti visus statinio sandarinimo, apdailos ir kitus darbus, reikalingus pilnai užbaigtam ir eksploatuoti paruoštam statiniui.</w:t>
      </w:r>
    </w:p>
    <w:p w:rsidR="004D6BFC" w:rsidRPr="00BB31CD" w:rsidRDefault="004D6BFC" w:rsidP="004D6BFC">
      <w:pPr>
        <w:ind w:firstLine="709"/>
        <w:jc w:val="both"/>
        <w:rPr>
          <w:rFonts w:ascii="Times New Roman" w:eastAsiaTheme="minorHAnsi" w:hAnsi="Times New Roman" w:cs="Times New Roman"/>
          <w:i w:val="0"/>
          <w:iCs w:val="0"/>
          <w:sz w:val="22"/>
          <w:szCs w:val="22"/>
          <w:lang w:eastAsia="en-US"/>
        </w:rPr>
      </w:pPr>
      <w:r w:rsidRPr="00BB31CD">
        <w:rPr>
          <w:rFonts w:ascii="Times New Roman" w:eastAsiaTheme="minorHAnsi" w:hAnsi="Times New Roman" w:cs="Times New Roman"/>
          <w:i w:val="0"/>
          <w:iCs w:val="0"/>
          <w:sz w:val="22"/>
          <w:szCs w:val="22"/>
          <w:lang w:eastAsia="en-US"/>
        </w:rPr>
        <w:t>13. Statinių prijungimo prie esamų pastatų vietose turi būti užtikrintas konstrukcijų sandarumas, apsauga nuo kritulių patekimo ir estetiškas sujungimo mazgų įrengimas.</w:t>
      </w:r>
    </w:p>
    <w:p w:rsidR="004D6BFC" w:rsidRPr="00BB31CD" w:rsidRDefault="004D6BFC" w:rsidP="004D6BFC">
      <w:pPr>
        <w:ind w:firstLine="709"/>
        <w:jc w:val="both"/>
        <w:rPr>
          <w:rFonts w:ascii="Times New Roman" w:eastAsiaTheme="minorHAnsi" w:hAnsi="Times New Roman" w:cs="Times New Roman"/>
          <w:i w:val="0"/>
          <w:iCs w:val="0"/>
          <w:sz w:val="22"/>
          <w:szCs w:val="22"/>
          <w:lang w:eastAsia="en-US"/>
        </w:rPr>
      </w:pPr>
      <w:r w:rsidRPr="00BB31CD">
        <w:rPr>
          <w:rFonts w:ascii="Times New Roman" w:eastAsiaTheme="minorHAnsi" w:hAnsi="Times New Roman" w:cs="Times New Roman"/>
          <w:i w:val="0"/>
          <w:iCs w:val="0"/>
          <w:sz w:val="22"/>
          <w:szCs w:val="22"/>
          <w:lang w:eastAsia="en-US"/>
        </w:rPr>
        <w:t>14. Į pasiūlymo kainą turi būti įtrauktos visos medžiagos, transportavimo, montavimo, kėlimo mechanizmų, atliekų sutvarkymo ir kitos išlaidos, reikalingos pilnam darbų atlikimui.</w:t>
      </w:r>
    </w:p>
    <w:p w:rsidR="004D6BFC" w:rsidRPr="00BB31CD" w:rsidRDefault="004D6BFC" w:rsidP="004D6BFC">
      <w:pPr>
        <w:ind w:firstLine="709"/>
        <w:jc w:val="both"/>
        <w:rPr>
          <w:rFonts w:ascii="Times New Roman" w:eastAsiaTheme="minorHAnsi" w:hAnsi="Times New Roman" w:cs="Times New Roman"/>
          <w:i w:val="0"/>
          <w:iCs w:val="0"/>
          <w:sz w:val="22"/>
          <w:szCs w:val="22"/>
          <w:lang w:eastAsia="en-US"/>
        </w:rPr>
      </w:pPr>
      <w:r w:rsidRPr="00BB31CD">
        <w:rPr>
          <w:rFonts w:ascii="Times New Roman" w:eastAsiaTheme="minorHAnsi" w:hAnsi="Times New Roman" w:cs="Times New Roman"/>
          <w:i w:val="0"/>
          <w:iCs w:val="0"/>
          <w:sz w:val="22"/>
          <w:szCs w:val="22"/>
          <w:lang w:eastAsia="en-US"/>
        </w:rPr>
        <w:t>15. Rangovui rekomenduojama prieš pasiūlymo pateikimą apžiūrėti objektus, kuriuose numatoma įrengti statinius iš daugiasluoksnių plokščių, ir įvertinti faktinę situaciją bei darbų apimtis. Dėl objektų apžiūros prašome kreiptis telefonu į Pagalbinės tarnybos viršininką Vladą Žilėną +370 698 03450.</w:t>
      </w:r>
    </w:p>
    <w:p w:rsidR="004D6BFC" w:rsidRPr="00BB31CD" w:rsidRDefault="004D6BFC" w:rsidP="004D6BFC">
      <w:pPr>
        <w:ind w:firstLine="709"/>
        <w:jc w:val="both"/>
        <w:rPr>
          <w:rFonts w:ascii="Times New Roman" w:eastAsiaTheme="minorHAnsi" w:hAnsi="Times New Roman" w:cs="Times New Roman"/>
          <w:i w:val="0"/>
          <w:iCs w:val="0"/>
          <w:sz w:val="22"/>
          <w:szCs w:val="22"/>
          <w:lang w:eastAsia="en-US"/>
        </w:rPr>
      </w:pPr>
      <w:r w:rsidRPr="00BB31CD">
        <w:rPr>
          <w:rFonts w:ascii="Times New Roman" w:eastAsiaTheme="minorHAnsi" w:hAnsi="Times New Roman" w:cs="Times New Roman"/>
          <w:i w:val="0"/>
          <w:iCs w:val="0"/>
          <w:sz w:val="22"/>
          <w:szCs w:val="22"/>
          <w:lang w:eastAsia="en-US"/>
        </w:rPr>
        <w:t>16. Visos darbams naudojamos medžiagos, gaminiai, įranga ir techniniai sprendiniai prieš jų įrengimą turi būti suderinti su Užsakovu.</w:t>
      </w:r>
    </w:p>
    <w:p w:rsidR="004D6BFC" w:rsidRPr="00BB31CD" w:rsidRDefault="004D6BFC" w:rsidP="004D6BFC">
      <w:pPr>
        <w:ind w:firstLine="709"/>
        <w:jc w:val="both"/>
        <w:rPr>
          <w:rFonts w:ascii="Times New Roman" w:eastAsiaTheme="minorHAnsi" w:hAnsi="Times New Roman" w:cs="Times New Roman"/>
          <w:i w:val="0"/>
          <w:iCs w:val="0"/>
          <w:sz w:val="22"/>
          <w:szCs w:val="22"/>
          <w:lang w:eastAsia="en-US"/>
        </w:rPr>
      </w:pPr>
      <w:r w:rsidRPr="00BB31CD">
        <w:rPr>
          <w:rFonts w:ascii="Times New Roman" w:eastAsiaTheme="minorHAnsi" w:hAnsi="Times New Roman" w:cs="Times New Roman"/>
          <w:i w:val="0"/>
          <w:iCs w:val="0"/>
          <w:sz w:val="22"/>
          <w:szCs w:val="22"/>
          <w:lang w:eastAsia="en-US"/>
        </w:rPr>
        <w:t>17. Rangovas, pareikalavus Užsakovui, privalo pateikti naudojamų medžiagų techninius duomenų lapus, eksploatacinių savybių deklaracijas, sertifikatus ir kitus atitiktį techninės specifikacijos reikalavimams pagrindžiančius dokumentus.</w:t>
      </w:r>
    </w:p>
    <w:p w:rsidR="004D6BFC" w:rsidRPr="00BB31CD" w:rsidRDefault="004D6BFC" w:rsidP="004D6BFC">
      <w:pPr>
        <w:ind w:firstLine="709"/>
        <w:jc w:val="both"/>
        <w:rPr>
          <w:rFonts w:ascii="Times New Roman" w:eastAsiaTheme="minorHAnsi" w:hAnsi="Times New Roman" w:cs="Times New Roman"/>
          <w:i w:val="0"/>
          <w:iCs w:val="0"/>
          <w:sz w:val="22"/>
          <w:szCs w:val="22"/>
          <w:lang w:eastAsia="en-US"/>
        </w:rPr>
      </w:pPr>
      <w:r w:rsidRPr="00BB31CD">
        <w:rPr>
          <w:rFonts w:ascii="Times New Roman" w:eastAsiaTheme="minorHAnsi" w:hAnsi="Times New Roman" w:cs="Times New Roman"/>
          <w:i w:val="0"/>
          <w:iCs w:val="0"/>
          <w:sz w:val="22"/>
          <w:szCs w:val="22"/>
          <w:lang w:eastAsia="en-US"/>
        </w:rPr>
        <w:lastRenderedPageBreak/>
        <w:t xml:space="preserve">18. Aplinkosauginiai reikalavimai: </w:t>
      </w:r>
    </w:p>
    <w:p w:rsidR="004D6BFC" w:rsidRPr="00BB31CD" w:rsidRDefault="004D6BFC" w:rsidP="004D6BFC">
      <w:pPr>
        <w:ind w:firstLine="709"/>
        <w:jc w:val="both"/>
        <w:rPr>
          <w:rFonts w:ascii="Times New Roman" w:eastAsiaTheme="minorHAnsi" w:hAnsi="Times New Roman" w:cs="Times New Roman"/>
          <w:i w:val="0"/>
          <w:iCs w:val="0"/>
          <w:sz w:val="22"/>
          <w:szCs w:val="22"/>
          <w:lang w:eastAsia="en-US"/>
        </w:rPr>
      </w:pPr>
      <w:r w:rsidRPr="00BB31CD">
        <w:rPr>
          <w:rFonts w:ascii="Times New Roman" w:eastAsiaTheme="minorHAnsi" w:hAnsi="Times New Roman" w:cs="Times New Roman"/>
          <w:i w:val="0"/>
          <w:iCs w:val="0"/>
          <w:sz w:val="22"/>
          <w:szCs w:val="22"/>
          <w:lang w:eastAsia="en-US"/>
        </w:rPr>
        <w:t>18.1. Statybos darbams naudojamos termoizoliacinės medžiagos turi atitikti Aplinkos apsaugos kriterijų taikymo, vykdant žaliuosius pirkimus, tvarkos aprašo, patvirtinto Lietuvos Respublikos aplinkos ministro 2011 m. birželio 28 d. įsakymu Nr. D1-508, 2 priedo XIII skyriaus 18.1 punkto reikalavimus:</w:t>
      </w:r>
    </w:p>
    <w:p w:rsidR="004D6BFC" w:rsidRPr="00BB31CD" w:rsidRDefault="004D6BFC" w:rsidP="004D6BFC">
      <w:pPr>
        <w:ind w:firstLine="709"/>
        <w:jc w:val="both"/>
        <w:rPr>
          <w:rFonts w:ascii="Times New Roman" w:eastAsiaTheme="minorHAnsi" w:hAnsi="Times New Roman" w:cs="Times New Roman"/>
          <w:iCs w:val="0"/>
          <w:sz w:val="22"/>
          <w:szCs w:val="22"/>
          <w:lang w:eastAsia="en-US"/>
        </w:rPr>
      </w:pPr>
      <w:r w:rsidRPr="00BB31CD">
        <w:rPr>
          <w:rFonts w:ascii="Times New Roman" w:eastAsiaTheme="minorHAnsi" w:hAnsi="Times New Roman" w:cs="Times New Roman"/>
          <w:iCs w:val="0"/>
          <w:sz w:val="22"/>
          <w:szCs w:val="22"/>
          <w:lang w:eastAsia="en-US"/>
        </w:rPr>
        <w:t>„18.1. produktas neturi išskirti šių cheminių medžiagų:</w:t>
      </w:r>
    </w:p>
    <w:p w:rsidR="004D6BFC" w:rsidRPr="00BB31CD" w:rsidRDefault="004D6BFC" w:rsidP="004D6BFC">
      <w:pPr>
        <w:ind w:firstLine="709"/>
        <w:jc w:val="both"/>
        <w:rPr>
          <w:rFonts w:ascii="Times New Roman" w:eastAsiaTheme="minorHAnsi" w:hAnsi="Times New Roman" w:cs="Times New Roman"/>
          <w:iCs w:val="0"/>
          <w:sz w:val="22"/>
          <w:szCs w:val="22"/>
          <w:lang w:eastAsia="en-US"/>
        </w:rPr>
      </w:pPr>
      <w:r w:rsidRPr="00BB31CD">
        <w:rPr>
          <w:rFonts w:ascii="Times New Roman" w:eastAsiaTheme="minorHAnsi" w:hAnsi="Times New Roman" w:cs="Times New Roman"/>
          <w:iCs w:val="0"/>
          <w:sz w:val="22"/>
          <w:szCs w:val="22"/>
          <w:lang w:eastAsia="en-US"/>
        </w:rPr>
        <w:t xml:space="preserve">18.1.1. </w:t>
      </w:r>
      <w:proofErr w:type="spellStart"/>
      <w:r w:rsidRPr="00BB31CD">
        <w:rPr>
          <w:rFonts w:ascii="Times New Roman" w:eastAsiaTheme="minorHAnsi" w:hAnsi="Times New Roman" w:cs="Times New Roman"/>
          <w:iCs w:val="0"/>
          <w:sz w:val="22"/>
          <w:szCs w:val="22"/>
          <w:lang w:eastAsia="en-US"/>
        </w:rPr>
        <w:t>fluorintų</w:t>
      </w:r>
      <w:proofErr w:type="spellEnd"/>
      <w:r w:rsidRPr="00BB31CD">
        <w:rPr>
          <w:rFonts w:ascii="Times New Roman" w:eastAsiaTheme="minorHAnsi" w:hAnsi="Times New Roman" w:cs="Times New Roman"/>
          <w:iCs w:val="0"/>
          <w:sz w:val="22"/>
          <w:szCs w:val="22"/>
          <w:lang w:eastAsia="en-US"/>
        </w:rPr>
        <w:t xml:space="preserve"> šiltnamio efektą sukeliančių dujų pagal Europos Parlamento ir Tarybos reglamentą (EB) Nr. 842/2006 dėl </w:t>
      </w:r>
      <w:proofErr w:type="spellStart"/>
      <w:r w:rsidRPr="00BB31CD">
        <w:rPr>
          <w:rFonts w:ascii="Times New Roman" w:eastAsiaTheme="minorHAnsi" w:hAnsi="Times New Roman" w:cs="Times New Roman"/>
          <w:iCs w:val="0"/>
          <w:sz w:val="22"/>
          <w:szCs w:val="22"/>
          <w:lang w:eastAsia="en-US"/>
        </w:rPr>
        <w:t>fluorintų</w:t>
      </w:r>
      <w:proofErr w:type="spellEnd"/>
      <w:r w:rsidRPr="00BB31CD">
        <w:rPr>
          <w:rFonts w:ascii="Times New Roman" w:eastAsiaTheme="minorHAnsi" w:hAnsi="Times New Roman" w:cs="Times New Roman"/>
          <w:iCs w:val="0"/>
          <w:sz w:val="22"/>
          <w:szCs w:val="22"/>
          <w:lang w:eastAsia="en-US"/>
        </w:rPr>
        <w:t xml:space="preserve"> šiltnamio efektą sukeliančių dujų; </w:t>
      </w:r>
    </w:p>
    <w:p w:rsidR="004D6BFC" w:rsidRPr="00BB31CD" w:rsidRDefault="004D6BFC" w:rsidP="004D6BFC">
      <w:pPr>
        <w:jc w:val="both"/>
        <w:rPr>
          <w:rFonts w:ascii="Times New Roman" w:eastAsiaTheme="minorHAnsi" w:hAnsi="Times New Roman" w:cs="Times New Roman"/>
          <w:iCs w:val="0"/>
          <w:sz w:val="22"/>
          <w:szCs w:val="22"/>
          <w:lang w:eastAsia="en-US"/>
        </w:rPr>
      </w:pPr>
      <w:r w:rsidRPr="00BB31CD">
        <w:rPr>
          <w:rFonts w:ascii="Times New Roman" w:eastAsiaTheme="minorHAnsi" w:hAnsi="Times New Roman" w:cs="Times New Roman"/>
          <w:iCs w:val="0"/>
          <w:sz w:val="22"/>
          <w:szCs w:val="22"/>
          <w:lang w:eastAsia="en-US"/>
        </w:rPr>
        <w:t xml:space="preserve">18.1.2. pavojingų cheminių medžiagų, klasifikuojamų priskiriant bet kurią iš nurodytų pavojingumo frazę pagal Reglamentą (EB) Nr. 1272/2008: kancerogeninės (H350, H350i, H351), </w:t>
      </w:r>
      <w:proofErr w:type="spellStart"/>
      <w:r w:rsidRPr="00BB31CD">
        <w:rPr>
          <w:rFonts w:ascii="Times New Roman" w:eastAsiaTheme="minorHAnsi" w:hAnsi="Times New Roman" w:cs="Times New Roman"/>
          <w:iCs w:val="0"/>
          <w:sz w:val="22"/>
          <w:szCs w:val="22"/>
          <w:lang w:eastAsia="en-US"/>
        </w:rPr>
        <w:t>toksiškos</w:t>
      </w:r>
      <w:proofErr w:type="spellEnd"/>
      <w:r w:rsidRPr="00BB31CD">
        <w:rPr>
          <w:rFonts w:ascii="Times New Roman" w:eastAsiaTheme="minorHAnsi" w:hAnsi="Times New Roman" w:cs="Times New Roman"/>
          <w:iCs w:val="0"/>
          <w:sz w:val="22"/>
          <w:szCs w:val="22"/>
          <w:lang w:eastAsia="en-US"/>
        </w:rPr>
        <w:t xml:space="preserve"> reprodukcijai (H360D, H360F, H360FD, H360Fd, H360Df, H361f, H361d, H361fd), </w:t>
      </w:r>
      <w:proofErr w:type="spellStart"/>
      <w:r w:rsidRPr="00BB31CD">
        <w:rPr>
          <w:rFonts w:ascii="Times New Roman" w:eastAsiaTheme="minorHAnsi" w:hAnsi="Times New Roman" w:cs="Times New Roman"/>
          <w:iCs w:val="0"/>
          <w:sz w:val="22"/>
          <w:szCs w:val="22"/>
          <w:lang w:eastAsia="en-US"/>
        </w:rPr>
        <w:t>toksiškos</w:t>
      </w:r>
      <w:proofErr w:type="spellEnd"/>
      <w:r w:rsidRPr="00BB31CD">
        <w:rPr>
          <w:rFonts w:ascii="Times New Roman" w:eastAsiaTheme="minorHAnsi" w:hAnsi="Times New Roman" w:cs="Times New Roman"/>
          <w:iCs w:val="0"/>
          <w:sz w:val="22"/>
          <w:szCs w:val="22"/>
          <w:lang w:eastAsia="en-US"/>
        </w:rPr>
        <w:t xml:space="preserve"> ar labai </w:t>
      </w:r>
      <w:proofErr w:type="spellStart"/>
      <w:r w:rsidRPr="00BB31CD">
        <w:rPr>
          <w:rFonts w:ascii="Times New Roman" w:eastAsiaTheme="minorHAnsi" w:hAnsi="Times New Roman" w:cs="Times New Roman"/>
          <w:iCs w:val="0"/>
          <w:sz w:val="22"/>
          <w:szCs w:val="22"/>
          <w:lang w:eastAsia="en-US"/>
        </w:rPr>
        <w:t>toksiškos</w:t>
      </w:r>
      <w:proofErr w:type="spellEnd"/>
      <w:r w:rsidRPr="00BB31CD">
        <w:rPr>
          <w:rFonts w:ascii="Times New Roman" w:eastAsiaTheme="minorHAnsi" w:hAnsi="Times New Roman" w:cs="Times New Roman"/>
          <w:iCs w:val="0"/>
          <w:sz w:val="22"/>
          <w:szCs w:val="22"/>
          <w:lang w:eastAsia="en-US"/>
        </w:rPr>
        <w:t xml:space="preserve"> (H300, H301, H310, H311, H330, H331), įkvėpus gali sukelti alerginę reakciją, astmos simptomus arba apsunkinti kvėpavimą (H334), sukeliančios paveldimus genetinius defektus (H340, H341), veikdamos ilgą laiką pakenkia kai kuriems organams (H372, H373), galinčios pakenkti organams (H371), pavojingos vandens aplinkai (H411)“</w:t>
      </w:r>
    </w:p>
    <w:p w:rsidR="004D6BFC" w:rsidRPr="00BB31CD" w:rsidRDefault="004D6BFC" w:rsidP="004D6BFC">
      <w:pPr>
        <w:ind w:firstLine="709"/>
        <w:jc w:val="both"/>
        <w:rPr>
          <w:rFonts w:ascii="Times New Roman" w:eastAsiaTheme="minorHAnsi" w:hAnsi="Times New Roman" w:cs="Times New Roman"/>
          <w:i w:val="0"/>
          <w:iCs w:val="0"/>
          <w:sz w:val="22"/>
          <w:szCs w:val="22"/>
          <w:lang w:eastAsia="en-US"/>
        </w:rPr>
      </w:pPr>
      <w:r w:rsidRPr="00BB31CD">
        <w:rPr>
          <w:rFonts w:ascii="Times New Roman" w:eastAsiaTheme="minorHAnsi" w:hAnsi="Times New Roman" w:cs="Times New Roman"/>
          <w:i w:val="0"/>
          <w:iCs w:val="0"/>
          <w:sz w:val="22"/>
          <w:szCs w:val="22"/>
          <w:lang w:eastAsia="en-US"/>
        </w:rPr>
        <w:t>18.2. Rangovas privalo statybos ir montavimo darbų metu susidariusias atliekas rūšiuoti ir perduoti atliekų tvarkytojams, turintiems teisę tvarkyti atitinkamos rūšies atliekas.</w:t>
      </w:r>
    </w:p>
    <w:p w:rsidR="004D6BFC" w:rsidRPr="00BB31CD" w:rsidRDefault="004D6BFC" w:rsidP="004D6BFC">
      <w:pPr>
        <w:ind w:firstLine="709"/>
        <w:jc w:val="both"/>
        <w:rPr>
          <w:rFonts w:ascii="Times New Roman" w:eastAsiaTheme="minorHAnsi" w:hAnsi="Times New Roman" w:cs="Times New Roman"/>
          <w:i w:val="0"/>
          <w:iCs w:val="0"/>
          <w:sz w:val="22"/>
          <w:szCs w:val="22"/>
          <w:lang w:eastAsia="en-US"/>
        </w:rPr>
      </w:pPr>
      <w:r w:rsidRPr="00BB31CD">
        <w:rPr>
          <w:rFonts w:ascii="Times New Roman" w:eastAsiaTheme="minorHAnsi" w:hAnsi="Times New Roman" w:cs="Times New Roman"/>
          <w:i w:val="0"/>
          <w:iCs w:val="0"/>
          <w:sz w:val="22"/>
          <w:szCs w:val="22"/>
          <w:lang w:eastAsia="en-US"/>
        </w:rPr>
        <w:t>19. Rangovas atliktiems darbams ir panaudotoms medžiagoms suteikia ne trumpesnę kaip 24 mėnesių garantiją nuo statinio perdavimo – priėmimo akto pasirašymo dienos. Garantiniu laikotarpiu nustatyti defektai turi būti pašalinti Rangovo lėšomis.</w:t>
      </w:r>
    </w:p>
    <w:p w:rsidR="004D6BFC" w:rsidRPr="00BB31CD" w:rsidRDefault="004D6BFC" w:rsidP="004D6BFC">
      <w:pPr>
        <w:ind w:firstLine="709"/>
        <w:jc w:val="both"/>
        <w:rPr>
          <w:rFonts w:ascii="Times New Roman" w:eastAsiaTheme="minorHAnsi" w:hAnsi="Times New Roman" w:cs="Times New Roman"/>
          <w:i w:val="0"/>
          <w:iCs w:val="0"/>
          <w:sz w:val="22"/>
          <w:szCs w:val="22"/>
          <w:lang w:eastAsia="en-US"/>
        </w:rPr>
      </w:pPr>
      <w:r w:rsidRPr="00BB31CD">
        <w:rPr>
          <w:rFonts w:ascii="Times New Roman" w:eastAsiaTheme="minorHAnsi" w:hAnsi="Times New Roman" w:cs="Times New Roman"/>
          <w:i w:val="0"/>
          <w:iCs w:val="0"/>
          <w:sz w:val="22"/>
          <w:szCs w:val="22"/>
          <w:lang w:eastAsia="en-US"/>
        </w:rPr>
        <w:t>20. Baigus darbus Rangovas privalo sutvarkyti statybvietę, išvežti statybines atliekas, perteklinį gruntą ir atkurti darbų metu pažeistas teritorijas.</w:t>
      </w:r>
    </w:p>
    <w:p w:rsidR="004D6BFC" w:rsidRPr="00BB31CD" w:rsidRDefault="004D6BFC" w:rsidP="004D6BFC">
      <w:pPr>
        <w:jc w:val="both"/>
        <w:rPr>
          <w:rFonts w:ascii="Times New Roman" w:eastAsiaTheme="minorHAnsi" w:hAnsi="Times New Roman" w:cs="Times New Roman"/>
          <w:i w:val="0"/>
          <w:iCs w:val="0"/>
          <w:sz w:val="22"/>
          <w:szCs w:val="22"/>
          <w:lang w:eastAsia="en-US"/>
        </w:rPr>
      </w:pPr>
    </w:p>
    <w:p w:rsidR="00CB004D" w:rsidRPr="00BB31CD" w:rsidRDefault="00CB004D" w:rsidP="00EC5E12">
      <w:pPr>
        <w:ind w:firstLine="567"/>
        <w:jc w:val="both"/>
        <w:rPr>
          <w:rFonts w:ascii="Times New Roman" w:hAnsi="Times New Roman" w:cs="Times New Roman"/>
          <w:i w:val="0"/>
          <w:sz w:val="22"/>
          <w:szCs w:val="22"/>
        </w:rPr>
      </w:pPr>
    </w:p>
    <w:p w:rsidR="00AE51EF" w:rsidRPr="00BB31CD" w:rsidRDefault="00AE51EF" w:rsidP="00AE51EF">
      <w:pPr>
        <w:rPr>
          <w:rFonts w:ascii="Times New Roman" w:eastAsiaTheme="minorHAnsi" w:hAnsi="Times New Roman" w:cs="Times New Roman"/>
          <w:i w:val="0"/>
          <w:iCs w:val="0"/>
          <w:sz w:val="22"/>
          <w:szCs w:val="22"/>
          <w:lang w:eastAsia="en-US"/>
        </w:rPr>
      </w:pPr>
      <w:r w:rsidRPr="00BB31CD">
        <w:rPr>
          <w:rFonts w:ascii="Times New Roman" w:eastAsiaTheme="minorHAnsi" w:hAnsi="Times New Roman" w:cs="Times New Roman"/>
          <w:i w:val="0"/>
          <w:iCs w:val="0"/>
          <w:sz w:val="22"/>
          <w:szCs w:val="22"/>
          <w:lang w:eastAsia="en-US"/>
        </w:rPr>
        <w:t>Esamų vandens gerinimo įrenginių nuotraukos:</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9"/>
        <w:gridCol w:w="5109"/>
      </w:tblGrid>
      <w:tr w:rsidR="00AE51EF" w:rsidRPr="00BB31CD" w:rsidTr="00AE51EF">
        <w:tc>
          <w:tcPr>
            <w:tcW w:w="5094" w:type="dxa"/>
          </w:tcPr>
          <w:p w:rsidR="00AE51EF" w:rsidRPr="00BB31CD" w:rsidRDefault="00AE51EF" w:rsidP="00AE51EF">
            <w:pPr>
              <w:rPr>
                <w:rFonts w:ascii="Times New Roman" w:eastAsiaTheme="minorHAnsi" w:hAnsi="Times New Roman" w:cs="Times New Roman"/>
                <w:i w:val="0"/>
                <w:iCs w:val="0"/>
                <w:sz w:val="22"/>
                <w:szCs w:val="22"/>
                <w:lang w:eastAsia="en-US"/>
              </w:rPr>
            </w:pPr>
            <w:r w:rsidRPr="00BB31CD">
              <w:rPr>
                <w:rFonts w:ascii="Times New Roman" w:eastAsiaTheme="minorHAnsi" w:hAnsi="Times New Roman" w:cs="Times New Roman"/>
                <w:i w:val="0"/>
                <w:iCs w:val="0"/>
                <w:noProof/>
                <w:sz w:val="22"/>
                <w:szCs w:val="22"/>
              </w:rPr>
              <w:drawing>
                <wp:inline distT="0" distB="0" distL="0" distR="0" wp14:anchorId="43D7F8C9" wp14:editId="4F700E29">
                  <wp:extent cx="3176337" cy="4235221"/>
                  <wp:effectExtent l="0" t="0" r="508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60304_122345.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176417" cy="4235328"/>
                          </a:xfrm>
                          <a:prstGeom prst="rect">
                            <a:avLst/>
                          </a:prstGeom>
                        </pic:spPr>
                      </pic:pic>
                    </a:graphicData>
                  </a:graphic>
                </wp:inline>
              </w:drawing>
            </w:r>
          </w:p>
        </w:tc>
        <w:tc>
          <w:tcPr>
            <w:tcW w:w="5094" w:type="dxa"/>
          </w:tcPr>
          <w:p w:rsidR="00AE51EF" w:rsidRPr="00BB31CD" w:rsidRDefault="00AE51EF" w:rsidP="00AE51EF">
            <w:pPr>
              <w:rPr>
                <w:rFonts w:ascii="Times New Roman" w:eastAsiaTheme="minorHAnsi" w:hAnsi="Times New Roman" w:cs="Times New Roman"/>
                <w:i w:val="0"/>
                <w:iCs w:val="0"/>
                <w:sz w:val="22"/>
                <w:szCs w:val="22"/>
                <w:lang w:eastAsia="en-US"/>
              </w:rPr>
            </w:pPr>
            <w:r w:rsidRPr="00BB31CD">
              <w:rPr>
                <w:rFonts w:ascii="Times New Roman" w:eastAsiaTheme="minorHAnsi" w:hAnsi="Times New Roman" w:cs="Times New Roman"/>
                <w:i w:val="0"/>
                <w:iCs w:val="0"/>
                <w:noProof/>
                <w:sz w:val="22"/>
                <w:szCs w:val="22"/>
              </w:rPr>
              <w:drawing>
                <wp:inline distT="0" distB="0" distL="0" distR="0" wp14:anchorId="18DC1E41" wp14:editId="4F81518B">
                  <wp:extent cx="3195587" cy="4257832"/>
                  <wp:effectExtent l="0" t="0" r="508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15101" cy="4283833"/>
                          </a:xfrm>
                          <a:prstGeom prst="rect">
                            <a:avLst/>
                          </a:prstGeom>
                          <a:noFill/>
                        </pic:spPr>
                      </pic:pic>
                    </a:graphicData>
                  </a:graphic>
                </wp:inline>
              </w:drawing>
            </w:r>
          </w:p>
        </w:tc>
      </w:tr>
      <w:tr w:rsidR="00AE51EF" w:rsidRPr="00BB31CD" w:rsidTr="00AE51EF">
        <w:tc>
          <w:tcPr>
            <w:tcW w:w="5094" w:type="dxa"/>
          </w:tcPr>
          <w:p w:rsidR="00AE51EF" w:rsidRPr="00BB31CD" w:rsidRDefault="00AE51EF" w:rsidP="00AE51EF">
            <w:pPr>
              <w:rPr>
                <w:rFonts w:ascii="Times New Roman" w:eastAsiaTheme="minorHAnsi" w:hAnsi="Times New Roman" w:cs="Times New Roman"/>
                <w:i w:val="0"/>
                <w:iCs w:val="0"/>
                <w:sz w:val="22"/>
                <w:szCs w:val="22"/>
                <w:lang w:eastAsia="en-US"/>
              </w:rPr>
            </w:pPr>
            <w:r w:rsidRPr="00BB31CD">
              <w:rPr>
                <w:rFonts w:ascii="Times New Roman" w:eastAsiaTheme="minorHAnsi" w:hAnsi="Times New Roman" w:cs="Times New Roman"/>
                <w:i w:val="0"/>
                <w:iCs w:val="0"/>
                <w:noProof/>
                <w:sz w:val="22"/>
                <w:szCs w:val="22"/>
              </w:rPr>
              <w:lastRenderedPageBreak/>
              <w:drawing>
                <wp:inline distT="0" distB="0" distL="0" distR="0" wp14:anchorId="2F222899" wp14:editId="4C7C4D06">
                  <wp:extent cx="3080084" cy="4110651"/>
                  <wp:effectExtent l="0" t="0" r="6350" b="4445"/>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86568" cy="4119304"/>
                          </a:xfrm>
                          <a:prstGeom prst="rect">
                            <a:avLst/>
                          </a:prstGeom>
                          <a:noFill/>
                        </pic:spPr>
                      </pic:pic>
                    </a:graphicData>
                  </a:graphic>
                </wp:inline>
              </w:drawing>
            </w:r>
          </w:p>
        </w:tc>
        <w:tc>
          <w:tcPr>
            <w:tcW w:w="5094" w:type="dxa"/>
          </w:tcPr>
          <w:p w:rsidR="00AE51EF" w:rsidRPr="00BB31CD" w:rsidRDefault="00AE51EF" w:rsidP="00AE51EF">
            <w:pPr>
              <w:rPr>
                <w:rFonts w:ascii="Times New Roman" w:eastAsiaTheme="minorHAnsi" w:hAnsi="Times New Roman" w:cs="Times New Roman"/>
                <w:i w:val="0"/>
                <w:iCs w:val="0"/>
                <w:sz w:val="22"/>
                <w:szCs w:val="22"/>
                <w:lang w:eastAsia="en-US"/>
              </w:rPr>
            </w:pPr>
            <w:r w:rsidRPr="00BB31CD">
              <w:rPr>
                <w:rFonts w:ascii="Times New Roman" w:eastAsiaTheme="minorHAnsi" w:hAnsi="Times New Roman" w:cs="Times New Roman"/>
                <w:i w:val="0"/>
                <w:iCs w:val="0"/>
                <w:noProof/>
                <w:sz w:val="22"/>
                <w:szCs w:val="22"/>
              </w:rPr>
              <w:drawing>
                <wp:inline distT="0" distB="0" distL="0" distR="0" wp14:anchorId="57A3B80B" wp14:editId="3ED8682B">
                  <wp:extent cx="2945330" cy="4070486"/>
                  <wp:effectExtent l="0" t="0" r="7620" b="6350"/>
                  <wp:docPr id="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52579" cy="4080505"/>
                          </a:xfrm>
                          <a:prstGeom prst="rect">
                            <a:avLst/>
                          </a:prstGeom>
                          <a:noFill/>
                        </pic:spPr>
                      </pic:pic>
                    </a:graphicData>
                  </a:graphic>
                </wp:inline>
              </w:drawing>
            </w:r>
          </w:p>
        </w:tc>
      </w:tr>
      <w:tr w:rsidR="00AE51EF" w:rsidRPr="00BB31CD" w:rsidTr="00AE51EF">
        <w:tc>
          <w:tcPr>
            <w:tcW w:w="5094" w:type="dxa"/>
          </w:tcPr>
          <w:p w:rsidR="00AE51EF" w:rsidRPr="00BB31CD" w:rsidRDefault="00AE51EF" w:rsidP="00AE51EF">
            <w:pPr>
              <w:rPr>
                <w:rFonts w:ascii="Times New Roman" w:eastAsiaTheme="minorHAnsi" w:hAnsi="Times New Roman" w:cs="Times New Roman"/>
                <w:i w:val="0"/>
                <w:iCs w:val="0"/>
                <w:sz w:val="22"/>
                <w:szCs w:val="22"/>
                <w:lang w:eastAsia="en-US"/>
              </w:rPr>
            </w:pPr>
            <w:r w:rsidRPr="00BB31CD">
              <w:rPr>
                <w:rFonts w:ascii="Times New Roman" w:eastAsiaTheme="minorHAnsi" w:hAnsi="Times New Roman" w:cs="Times New Roman"/>
                <w:i w:val="0"/>
                <w:iCs w:val="0"/>
                <w:noProof/>
                <w:sz w:val="22"/>
                <w:szCs w:val="22"/>
              </w:rPr>
              <w:drawing>
                <wp:inline distT="0" distB="0" distL="0" distR="0" wp14:anchorId="0F212239" wp14:editId="052AAE11">
                  <wp:extent cx="3080085" cy="4106888"/>
                  <wp:effectExtent l="0" t="0" r="6350" b="8255"/>
                  <wp:docPr id="5"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liūnu VGI.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78635" cy="4104955"/>
                          </a:xfrm>
                          <a:prstGeom prst="rect">
                            <a:avLst/>
                          </a:prstGeom>
                        </pic:spPr>
                      </pic:pic>
                    </a:graphicData>
                  </a:graphic>
                </wp:inline>
              </w:drawing>
            </w:r>
          </w:p>
        </w:tc>
        <w:tc>
          <w:tcPr>
            <w:tcW w:w="5094" w:type="dxa"/>
          </w:tcPr>
          <w:p w:rsidR="00AE51EF" w:rsidRPr="00BB31CD" w:rsidRDefault="00AE51EF" w:rsidP="00AE51EF">
            <w:pPr>
              <w:rPr>
                <w:rFonts w:ascii="Times New Roman" w:eastAsiaTheme="minorHAnsi" w:hAnsi="Times New Roman" w:cs="Times New Roman"/>
                <w:i w:val="0"/>
                <w:iCs w:val="0"/>
                <w:sz w:val="22"/>
                <w:szCs w:val="22"/>
                <w:lang w:eastAsia="en-US"/>
              </w:rPr>
            </w:pPr>
          </w:p>
          <w:p w:rsidR="00AE51EF" w:rsidRPr="00BB31CD" w:rsidRDefault="00AE51EF" w:rsidP="00AE51EF">
            <w:pPr>
              <w:rPr>
                <w:rFonts w:ascii="Times New Roman" w:eastAsiaTheme="minorHAnsi" w:hAnsi="Times New Roman" w:cs="Times New Roman"/>
                <w:i w:val="0"/>
                <w:iCs w:val="0"/>
                <w:sz w:val="22"/>
                <w:szCs w:val="22"/>
                <w:lang w:eastAsia="en-US"/>
              </w:rPr>
            </w:pPr>
          </w:p>
        </w:tc>
      </w:tr>
    </w:tbl>
    <w:p w:rsidR="00AE51EF" w:rsidRPr="00BB31CD" w:rsidRDefault="00AE51EF" w:rsidP="00AE51EF">
      <w:pPr>
        <w:rPr>
          <w:rFonts w:ascii="Times New Roman" w:eastAsiaTheme="minorHAnsi" w:hAnsi="Times New Roman" w:cs="Times New Roman"/>
          <w:i w:val="0"/>
          <w:iCs w:val="0"/>
          <w:sz w:val="22"/>
          <w:szCs w:val="22"/>
          <w:lang w:eastAsia="en-US"/>
        </w:rPr>
      </w:pPr>
    </w:p>
    <w:p w:rsidR="003569F8" w:rsidRPr="00EC5E12" w:rsidRDefault="00AE51EF" w:rsidP="00AE51EF">
      <w:pPr>
        <w:jc w:val="center"/>
        <w:rPr>
          <w:rFonts w:ascii="Times New Roman" w:hAnsi="Times New Roman" w:cs="Times New Roman"/>
          <w:i w:val="0"/>
          <w:sz w:val="22"/>
          <w:szCs w:val="22"/>
        </w:rPr>
      </w:pPr>
      <w:r w:rsidRPr="00BB31CD">
        <w:rPr>
          <w:rFonts w:ascii="Times New Roman" w:eastAsiaTheme="minorHAnsi" w:hAnsi="Times New Roman" w:cs="Times New Roman"/>
          <w:i w:val="0"/>
          <w:iCs w:val="0"/>
          <w:sz w:val="22"/>
          <w:szCs w:val="22"/>
          <w:lang w:eastAsia="en-US"/>
        </w:rPr>
        <w:t>__</w:t>
      </w:r>
      <w:r>
        <w:rPr>
          <w:rFonts w:ascii="Times New Roman" w:eastAsiaTheme="minorHAnsi" w:hAnsi="Times New Roman" w:cstheme="minorBidi"/>
          <w:i w:val="0"/>
          <w:iCs w:val="0"/>
          <w:sz w:val="22"/>
          <w:szCs w:val="22"/>
          <w:lang w:eastAsia="en-US"/>
        </w:rPr>
        <w:t>________________</w:t>
      </w:r>
    </w:p>
    <w:sectPr w:rsidR="003569F8" w:rsidRPr="00EC5E12" w:rsidSect="00EC5E12">
      <w:pgSz w:w="12240" w:h="15840"/>
      <w:pgMar w:top="1134" w:right="567" w:bottom="1134" w:left="1701"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5625F9"/>
    <w:multiLevelType w:val="hybridMultilevel"/>
    <w:tmpl w:val="28B614DA"/>
    <w:lvl w:ilvl="0" w:tplc="0427000F">
      <w:start w:val="1"/>
      <w:numFmt w:val="decimal"/>
      <w:lvlText w:val="%1."/>
      <w:lvlJc w:val="left"/>
      <w:pPr>
        <w:tabs>
          <w:tab w:val="num" w:pos="360"/>
        </w:tabs>
        <w:ind w:left="360" w:hanging="360"/>
      </w:p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
    <w:nsid w:val="5A0121B6"/>
    <w:multiLevelType w:val="hybridMultilevel"/>
    <w:tmpl w:val="F52C35B6"/>
    <w:lvl w:ilvl="0" w:tplc="04270001">
      <w:start w:val="1"/>
      <w:numFmt w:val="bullet"/>
      <w:lvlText w:val=""/>
      <w:lvlJc w:val="left"/>
      <w:pPr>
        <w:ind w:left="1713" w:hanging="360"/>
      </w:pPr>
      <w:rPr>
        <w:rFonts w:ascii="Symbol" w:hAnsi="Symbol" w:hint="default"/>
      </w:rPr>
    </w:lvl>
    <w:lvl w:ilvl="1" w:tplc="04270003" w:tentative="1">
      <w:start w:val="1"/>
      <w:numFmt w:val="bullet"/>
      <w:lvlText w:val="o"/>
      <w:lvlJc w:val="left"/>
      <w:pPr>
        <w:ind w:left="2433" w:hanging="360"/>
      </w:pPr>
      <w:rPr>
        <w:rFonts w:ascii="Courier New" w:hAnsi="Courier New" w:cs="Courier New" w:hint="default"/>
      </w:rPr>
    </w:lvl>
    <w:lvl w:ilvl="2" w:tplc="04270005" w:tentative="1">
      <w:start w:val="1"/>
      <w:numFmt w:val="bullet"/>
      <w:lvlText w:val=""/>
      <w:lvlJc w:val="left"/>
      <w:pPr>
        <w:ind w:left="3153" w:hanging="360"/>
      </w:pPr>
      <w:rPr>
        <w:rFonts w:ascii="Wingdings" w:hAnsi="Wingdings" w:hint="default"/>
      </w:rPr>
    </w:lvl>
    <w:lvl w:ilvl="3" w:tplc="04270001" w:tentative="1">
      <w:start w:val="1"/>
      <w:numFmt w:val="bullet"/>
      <w:lvlText w:val=""/>
      <w:lvlJc w:val="left"/>
      <w:pPr>
        <w:ind w:left="3873" w:hanging="360"/>
      </w:pPr>
      <w:rPr>
        <w:rFonts w:ascii="Symbol" w:hAnsi="Symbol" w:hint="default"/>
      </w:rPr>
    </w:lvl>
    <w:lvl w:ilvl="4" w:tplc="04270003" w:tentative="1">
      <w:start w:val="1"/>
      <w:numFmt w:val="bullet"/>
      <w:lvlText w:val="o"/>
      <w:lvlJc w:val="left"/>
      <w:pPr>
        <w:ind w:left="4593" w:hanging="360"/>
      </w:pPr>
      <w:rPr>
        <w:rFonts w:ascii="Courier New" w:hAnsi="Courier New" w:cs="Courier New" w:hint="default"/>
      </w:rPr>
    </w:lvl>
    <w:lvl w:ilvl="5" w:tplc="04270005" w:tentative="1">
      <w:start w:val="1"/>
      <w:numFmt w:val="bullet"/>
      <w:lvlText w:val=""/>
      <w:lvlJc w:val="left"/>
      <w:pPr>
        <w:ind w:left="5313" w:hanging="360"/>
      </w:pPr>
      <w:rPr>
        <w:rFonts w:ascii="Wingdings" w:hAnsi="Wingdings" w:hint="default"/>
      </w:rPr>
    </w:lvl>
    <w:lvl w:ilvl="6" w:tplc="04270001" w:tentative="1">
      <w:start w:val="1"/>
      <w:numFmt w:val="bullet"/>
      <w:lvlText w:val=""/>
      <w:lvlJc w:val="left"/>
      <w:pPr>
        <w:ind w:left="6033" w:hanging="360"/>
      </w:pPr>
      <w:rPr>
        <w:rFonts w:ascii="Symbol" w:hAnsi="Symbol" w:hint="default"/>
      </w:rPr>
    </w:lvl>
    <w:lvl w:ilvl="7" w:tplc="04270003" w:tentative="1">
      <w:start w:val="1"/>
      <w:numFmt w:val="bullet"/>
      <w:lvlText w:val="o"/>
      <w:lvlJc w:val="left"/>
      <w:pPr>
        <w:ind w:left="6753" w:hanging="360"/>
      </w:pPr>
      <w:rPr>
        <w:rFonts w:ascii="Courier New" w:hAnsi="Courier New" w:cs="Courier New" w:hint="default"/>
      </w:rPr>
    </w:lvl>
    <w:lvl w:ilvl="8" w:tplc="04270005" w:tentative="1">
      <w:start w:val="1"/>
      <w:numFmt w:val="bullet"/>
      <w:lvlText w:val=""/>
      <w:lvlJc w:val="left"/>
      <w:pPr>
        <w:ind w:left="7473"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1838"/>
    <w:rsid w:val="003569F8"/>
    <w:rsid w:val="003B1838"/>
    <w:rsid w:val="00486A8F"/>
    <w:rsid w:val="004B290E"/>
    <w:rsid w:val="004D6BFC"/>
    <w:rsid w:val="00AE51EF"/>
    <w:rsid w:val="00BB31CD"/>
    <w:rsid w:val="00CB004D"/>
    <w:rsid w:val="00EC5E12"/>
    <w:rsid w:val="00F9024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lt-L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EC5E12"/>
    <w:rPr>
      <w:rFonts w:ascii="Arial" w:eastAsia="Times New Roman" w:hAnsi="Arial" w:cs="Arial"/>
      <w:i/>
      <w:iCs/>
      <w:sz w:val="28"/>
      <w:szCs w:val="28"/>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AE51EF"/>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AE51EF"/>
    <w:rPr>
      <w:rFonts w:ascii="Tahoma" w:eastAsia="Times New Roman" w:hAnsi="Tahoma" w:cs="Tahoma"/>
      <w:i/>
      <w:iCs/>
      <w:sz w:val="16"/>
      <w:szCs w:val="16"/>
      <w:lang w:eastAsia="lt-LT"/>
    </w:rPr>
  </w:style>
  <w:style w:type="table" w:styleId="Lentelstinklelis">
    <w:name w:val="Table Grid"/>
    <w:basedOn w:val="prastojilentel"/>
    <w:uiPriority w:val="59"/>
    <w:rsid w:val="00AE51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lt-L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EC5E12"/>
    <w:rPr>
      <w:rFonts w:ascii="Arial" w:eastAsia="Times New Roman" w:hAnsi="Arial" w:cs="Arial"/>
      <w:i/>
      <w:iCs/>
      <w:sz w:val="28"/>
      <w:szCs w:val="28"/>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AE51EF"/>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AE51EF"/>
    <w:rPr>
      <w:rFonts w:ascii="Tahoma" w:eastAsia="Times New Roman" w:hAnsi="Tahoma" w:cs="Tahoma"/>
      <w:i/>
      <w:iCs/>
      <w:sz w:val="16"/>
      <w:szCs w:val="16"/>
      <w:lang w:eastAsia="lt-LT"/>
    </w:rPr>
  </w:style>
  <w:style w:type="table" w:styleId="Lentelstinklelis">
    <w:name w:val="Table Grid"/>
    <w:basedOn w:val="prastojilentel"/>
    <w:uiPriority w:val="59"/>
    <w:rsid w:val="00AE51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3282</Words>
  <Characters>1871</Characters>
  <Application>Microsoft Office Word</Application>
  <DocSecurity>0</DocSecurity>
  <Lines>15</Lines>
  <Paragraphs>10</Paragraphs>
  <ScaleCrop>false</ScaleCrop>
  <HeadingPairs>
    <vt:vector size="2" baseType="variant">
      <vt:variant>
        <vt:lpstr>Pavadinimas</vt:lpstr>
      </vt:variant>
      <vt:variant>
        <vt:i4>1</vt:i4>
      </vt:variant>
    </vt:vector>
  </HeadingPairs>
  <TitlesOfParts>
    <vt:vector size="1" baseType="lpstr">
      <vt:lpstr/>
    </vt:vector>
  </TitlesOfParts>
  <Company>'''</Company>
  <LinksUpToDate>false</LinksUpToDate>
  <CharactersWithSpaces>5143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SilvijaS</dc:creator>
  <cp:lastModifiedBy>'</cp:lastModifiedBy>
  <cp:revision>9</cp:revision>
  <cp:lastPrinted>2026-07-07T11:16:00Z</cp:lastPrinted>
  <dcterms:created xsi:type="dcterms:W3CDTF">2026-05-13T12:33:00Z</dcterms:created>
  <dcterms:modified xsi:type="dcterms:W3CDTF">2026-07-29T11:12:00Z</dcterms:modified>
</cp:coreProperties>
</file>