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AA94" w14:textId="77777777" w:rsidR="001C4043" w:rsidRPr="001C4043" w:rsidRDefault="001C4043" w:rsidP="001C4043">
      <w:pPr>
        <w:jc w:val="right"/>
        <w:rPr>
          <w:rFonts w:ascii="Times New Roman" w:hAnsi="Times New Roman" w:cs="Times New Roman"/>
          <w:sz w:val="24"/>
          <w:szCs w:val="24"/>
          <w:lang w:val="en-GB"/>
        </w:rPr>
      </w:pPr>
      <w:r w:rsidRPr="001C4043">
        <w:rPr>
          <w:rFonts w:ascii="Times New Roman" w:hAnsi="Times New Roman" w:cs="Times New Roman"/>
          <w:sz w:val="24"/>
          <w:szCs w:val="24"/>
          <w:lang w:val="en-GB"/>
        </w:rPr>
        <w:t>Annex 3 to the PD</w:t>
      </w:r>
    </w:p>
    <w:p w14:paraId="0836EA43" w14:textId="77777777" w:rsidR="0087132E" w:rsidRPr="001C4043"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val="en-GB" w:eastAsia="lt-LT"/>
        </w:rPr>
      </w:pPr>
    </w:p>
    <w:p w14:paraId="6350DC81" w14:textId="3D46A040" w:rsidR="00CA1B75" w:rsidRPr="001C4043" w:rsidRDefault="00CA1B75" w:rsidP="00CA1B75">
      <w:pPr>
        <w:widowControl w:val="0"/>
        <w:spacing w:after="0" w:line="240" w:lineRule="auto"/>
        <w:jc w:val="center"/>
        <w:textAlignment w:val="baseline"/>
        <w:rPr>
          <w:rFonts w:ascii="Times New Roman" w:hAnsi="Times New Roman" w:cs="Times New Roman"/>
          <w:b/>
          <w:bCs/>
          <w:sz w:val="24"/>
          <w:szCs w:val="24"/>
          <w:lang w:val="en-GB"/>
        </w:rPr>
      </w:pPr>
      <w:r w:rsidRPr="001C4043">
        <w:rPr>
          <w:rFonts w:ascii="Times New Roman" w:hAnsi="Times New Roman" w:cs="Times New Roman"/>
          <w:b/>
          <w:bCs/>
          <w:sz w:val="24"/>
          <w:szCs w:val="24"/>
          <w:lang w:val="en-GB"/>
        </w:rPr>
        <w:t xml:space="preserve">PURCHACE-SALE CONTRACT of </w:t>
      </w:r>
      <w:r w:rsidRPr="001C4043">
        <w:rPr>
          <w:rFonts w:ascii="Times New Roman" w:hAnsi="Times New Roman" w:cs="Times New Roman"/>
          <w:b/>
          <w:bCs/>
          <w:sz w:val="24"/>
          <w:szCs w:val="24"/>
        </w:rPr>
        <w:t xml:space="preserve">AIRCRAFT </w:t>
      </w:r>
      <w:r w:rsidR="00D43661" w:rsidRPr="001C4043">
        <w:rPr>
          <w:rFonts w:ascii="Times New Roman" w:hAnsi="Times New Roman" w:cs="Times New Roman"/>
          <w:b/>
          <w:bCs/>
          <w:color w:val="auto"/>
          <w:sz w:val="24"/>
          <w:szCs w:val="24"/>
        </w:rPr>
        <w:t>MBB BK117 C2 (EC145)</w:t>
      </w:r>
      <w:r w:rsidR="00D43661" w:rsidRPr="001C4043">
        <w:rPr>
          <w:rFonts w:ascii="Times New Roman" w:hAnsi="Times New Roman" w:cs="Times New Roman"/>
          <w:color w:val="ED0000"/>
          <w:sz w:val="24"/>
          <w:szCs w:val="24"/>
        </w:rPr>
        <w:t xml:space="preserve"> </w:t>
      </w:r>
      <w:r w:rsidRPr="001C4043">
        <w:rPr>
          <w:rFonts w:ascii="Times New Roman" w:hAnsi="Times New Roman" w:cs="Times New Roman"/>
          <w:b/>
          <w:bCs/>
          <w:sz w:val="24"/>
          <w:szCs w:val="24"/>
        </w:rPr>
        <w:t>CONTINUOUS AIRCRAFT MANAGEMENT ORGANIZATION SERVICES</w:t>
      </w:r>
    </w:p>
    <w:p w14:paraId="124C0792" w14:textId="77777777" w:rsidR="0087132E" w:rsidRPr="001C4043"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p>
    <w:p w14:paraId="09CB3420" w14:textId="2265A58A" w:rsidR="0087132E" w:rsidRPr="001C4043" w:rsidRDefault="007E53F1"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sidRPr="001C4043">
        <w:rPr>
          <w:rFonts w:ascii="Times New Roman" w:eastAsia="NSimSun" w:hAnsi="Times New Roman" w:cs="Times New Roman"/>
          <w:sz w:val="24"/>
          <w:szCs w:val="24"/>
          <w:lang w:val="en-GB" w:bidi="hi-IN"/>
        </w:rPr>
        <w:t xml:space="preserve">               </w:t>
      </w:r>
      <w:r w:rsidR="00D43661" w:rsidRPr="001C4043">
        <w:rPr>
          <w:rFonts w:ascii="Times New Roman" w:eastAsia="NSimSun" w:hAnsi="Times New Roman" w:cs="Times New Roman"/>
          <w:sz w:val="24"/>
          <w:szCs w:val="24"/>
          <w:lang w:val="en-GB" w:bidi="hi-IN"/>
        </w:rPr>
        <w:t>______________</w:t>
      </w:r>
      <w:r w:rsidRPr="001C4043">
        <w:rPr>
          <w:rFonts w:ascii="Times New Roman" w:eastAsia="NSimSun" w:hAnsi="Times New Roman" w:cs="Times New Roman"/>
          <w:sz w:val="24"/>
          <w:szCs w:val="24"/>
          <w:lang w:val="en-GB" w:bidi="hi-IN"/>
        </w:rPr>
        <w:t xml:space="preserve"> 202</w:t>
      </w:r>
      <w:r w:rsidR="00CA1B75" w:rsidRPr="001C4043">
        <w:rPr>
          <w:rFonts w:ascii="Times New Roman" w:eastAsia="NSimSun" w:hAnsi="Times New Roman" w:cs="Times New Roman"/>
          <w:sz w:val="24"/>
          <w:szCs w:val="24"/>
          <w:lang w:val="en-GB" w:bidi="hi-IN"/>
        </w:rPr>
        <w:t>5</w:t>
      </w:r>
      <w:r w:rsidRPr="001C4043">
        <w:rPr>
          <w:rFonts w:ascii="Times New Roman" w:eastAsia="NSimSun" w:hAnsi="Times New Roman" w:cs="Times New Roman"/>
          <w:sz w:val="24"/>
          <w:szCs w:val="24"/>
          <w:lang w:val="en-GB" w:bidi="hi-IN"/>
        </w:rPr>
        <w:t xml:space="preserve"> </w:t>
      </w:r>
      <w:r w:rsidR="0087132E" w:rsidRPr="001C4043">
        <w:rPr>
          <w:rFonts w:ascii="Times New Roman" w:eastAsia="NSimSun" w:hAnsi="Times New Roman" w:cs="Times New Roman"/>
          <w:sz w:val="24"/>
          <w:szCs w:val="24"/>
          <w:lang w:val="en-GB" w:bidi="hi-IN"/>
        </w:rPr>
        <w:t>N</w:t>
      </w:r>
      <w:r w:rsidRPr="001C4043">
        <w:rPr>
          <w:rFonts w:ascii="Times New Roman" w:eastAsia="NSimSun" w:hAnsi="Times New Roman" w:cs="Times New Roman"/>
          <w:sz w:val="24"/>
          <w:szCs w:val="24"/>
          <w:lang w:val="en-GB" w:bidi="hi-IN"/>
        </w:rPr>
        <w:t>o</w:t>
      </w:r>
      <w:r w:rsidR="0087132E" w:rsidRPr="001C4043">
        <w:rPr>
          <w:rFonts w:ascii="Times New Roman" w:eastAsia="NSimSun" w:hAnsi="Times New Roman" w:cs="Times New Roman"/>
          <w:sz w:val="24"/>
          <w:szCs w:val="24"/>
          <w:lang w:val="en-GB" w:bidi="hi-IN"/>
        </w:rPr>
        <w:t>. 21-16</w:t>
      </w:r>
      <w:r w:rsidR="00F96205" w:rsidRPr="001C4043">
        <w:rPr>
          <w:rFonts w:ascii="Times New Roman" w:eastAsia="NSimSun" w:hAnsi="Times New Roman" w:cs="Times New Roman"/>
          <w:sz w:val="24"/>
          <w:szCs w:val="24"/>
          <w:lang w:val="en-GB" w:bidi="hi-IN"/>
        </w:rPr>
        <w:t xml:space="preserve"> -</w:t>
      </w:r>
    </w:p>
    <w:p w14:paraId="539B590F" w14:textId="77777777" w:rsidR="0087132E" w:rsidRPr="001C4043"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sidRPr="001C4043">
        <w:rPr>
          <w:rFonts w:ascii="Times New Roman" w:eastAsia="NSimSun" w:hAnsi="Times New Roman" w:cs="Times New Roman"/>
          <w:sz w:val="24"/>
          <w:szCs w:val="24"/>
          <w:lang w:val="en-GB" w:bidi="hi-IN"/>
        </w:rPr>
        <w:t>Vilnius</w:t>
      </w:r>
    </w:p>
    <w:p w14:paraId="09B47F73" w14:textId="77777777" w:rsidR="0087132E" w:rsidRPr="001C4043" w:rsidRDefault="0087132E" w:rsidP="0087132E">
      <w:pPr>
        <w:widowControl w:val="0"/>
        <w:spacing w:after="0" w:line="240" w:lineRule="auto"/>
        <w:jc w:val="center"/>
        <w:textAlignment w:val="baseline"/>
        <w:rPr>
          <w:rFonts w:ascii="Times New Roman" w:eastAsia="NSimSun" w:hAnsi="Times New Roman" w:cs="Times New Roman"/>
          <w:b/>
          <w:bCs/>
          <w:sz w:val="24"/>
          <w:szCs w:val="24"/>
          <w:lang w:val="en-GB" w:bidi="hi-IN"/>
        </w:rPr>
      </w:pPr>
    </w:p>
    <w:p w14:paraId="6C8A20F0" w14:textId="16DA88CA" w:rsidR="0087132E" w:rsidRPr="001C4043" w:rsidRDefault="007E53F1"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val="en-GB" w:eastAsia="lt-LT"/>
        </w:rPr>
      </w:pPr>
      <w:r w:rsidRPr="001C4043">
        <w:rPr>
          <w:rFonts w:ascii="Times New Roman" w:eastAsia="Times New Roman" w:hAnsi="Times New Roman" w:cs="Times New Roman"/>
          <w:sz w:val="24"/>
          <w:szCs w:val="24"/>
          <w:lang w:val="en-GB" w:eastAsia="lt-LT"/>
        </w:rPr>
        <w:t xml:space="preserve">The State Border Guard Service under the Ministry of the Interior of the Republic of Lithuania (hereinafter referred to as the Service, the Buyer), represented by the Deputy Head of the State Border Guard Service, Saulius </w:t>
      </w:r>
      <w:proofErr w:type="spellStart"/>
      <w:r w:rsidRPr="001C4043">
        <w:rPr>
          <w:rFonts w:ascii="Times New Roman" w:eastAsia="Times New Roman" w:hAnsi="Times New Roman" w:cs="Times New Roman"/>
          <w:sz w:val="24"/>
          <w:szCs w:val="24"/>
          <w:lang w:val="en-GB" w:eastAsia="lt-LT"/>
        </w:rPr>
        <w:t>Nekraševičius</w:t>
      </w:r>
      <w:proofErr w:type="spellEnd"/>
      <w:r w:rsidRPr="001C4043">
        <w:rPr>
          <w:rFonts w:ascii="Times New Roman" w:eastAsia="Times New Roman" w:hAnsi="Times New Roman" w:cs="Times New Roman"/>
          <w:sz w:val="24"/>
          <w:szCs w:val="24"/>
          <w:lang w:val="en-GB" w:eastAsia="lt-LT"/>
        </w:rPr>
        <w:t>, acting in accordance with the Regulations of the State Border Guard Service under the Ministry of Interior of the Republic of Lithuania, as approved by the Order of the Minister of Interior of the Republic of Lithuania of 27 March 2024, No.</w:t>
      </w:r>
      <w:r w:rsidR="007C59A6" w:rsidRPr="001C4043">
        <w:rPr>
          <w:rFonts w:ascii="Times New Roman" w:eastAsia="Times New Roman" w:hAnsi="Times New Roman" w:cs="Times New Roman"/>
          <w:sz w:val="24"/>
          <w:szCs w:val="24"/>
          <w:lang w:val="en-GB" w:eastAsia="lt-LT"/>
        </w:rPr>
        <w:t xml:space="preserve"> </w:t>
      </w:r>
      <w:r w:rsidRPr="001C4043">
        <w:rPr>
          <w:rFonts w:ascii="Times New Roman" w:eastAsia="Times New Roman" w:hAnsi="Times New Roman" w:cs="Times New Roman"/>
          <w:sz w:val="24"/>
          <w:szCs w:val="24"/>
          <w:lang w:val="en-GB" w:eastAsia="lt-LT"/>
        </w:rPr>
        <w:t xml:space="preserve">1V-223 , </w:t>
      </w:r>
      <w:r w:rsidR="007C59A6" w:rsidRPr="001C4043">
        <w:rPr>
          <w:rFonts w:ascii="Times New Roman" w:eastAsia="Times New Roman" w:hAnsi="Times New Roman" w:cs="Times New Roman"/>
          <w:sz w:val="24"/>
          <w:szCs w:val="24"/>
          <w:lang w:val="en-GB" w:eastAsia="lt-LT"/>
        </w:rPr>
        <w:t>“</w:t>
      </w:r>
      <w:r w:rsidRPr="001C4043">
        <w:rPr>
          <w:rFonts w:ascii="Times New Roman" w:eastAsia="Times New Roman" w:hAnsi="Times New Roman" w:cs="Times New Roman"/>
          <w:sz w:val="24"/>
          <w:szCs w:val="24"/>
          <w:lang w:val="en-GB" w:eastAsia="lt-LT"/>
        </w:rPr>
        <w:t>On the Approval of the Provisions of the State Border Guard Service under the Ministry of Interior of the Republic of Lithuania</w:t>
      </w:r>
      <w:r w:rsidR="007C59A6" w:rsidRPr="001C4043">
        <w:rPr>
          <w:rFonts w:ascii="Times New Roman" w:eastAsia="Times New Roman" w:hAnsi="Times New Roman" w:cs="Times New Roman"/>
          <w:sz w:val="24"/>
          <w:szCs w:val="24"/>
          <w:lang w:val="en-GB" w:eastAsia="lt-LT"/>
        </w:rPr>
        <w:t>”</w:t>
      </w:r>
      <w:r w:rsidRPr="001C4043">
        <w:rPr>
          <w:rFonts w:ascii="Times New Roman" w:eastAsia="Times New Roman" w:hAnsi="Times New Roman" w:cs="Times New Roman"/>
          <w:sz w:val="24"/>
          <w:szCs w:val="24"/>
          <w:lang w:val="en-GB" w:eastAsia="lt-LT"/>
        </w:rPr>
        <w:t>,</w:t>
      </w:r>
      <w:r w:rsidR="0087132E" w:rsidRPr="001C4043">
        <w:rPr>
          <w:rFonts w:ascii="Times New Roman" w:eastAsia="Times New Roman" w:hAnsi="Times New Roman" w:cs="Times New Roman"/>
          <w:sz w:val="24"/>
          <w:szCs w:val="24"/>
          <w:lang w:val="en-GB" w:eastAsia="lt-LT"/>
        </w:rPr>
        <w:t xml:space="preserve"> </w:t>
      </w:r>
      <w:r w:rsidR="007C59A6" w:rsidRPr="001C4043">
        <w:rPr>
          <w:rFonts w:ascii="Times New Roman" w:eastAsia="Times New Roman" w:hAnsi="Times New Roman" w:cs="Times New Roman"/>
          <w:sz w:val="24"/>
          <w:szCs w:val="24"/>
          <w:lang w:val="en-GB" w:eastAsia="lt-LT"/>
        </w:rPr>
        <w:t>and sub-clause 3.1.4 of the Head of the Service’s Order No. 4-15 dated 14 January 2022 “On the Organisation of the Activity of the Structural Units of the State Border Guard Service under the Ministry of the Interior of the Republic of Lithuania”; and</w:t>
      </w:r>
    </w:p>
    <w:p w14:paraId="634A9F20" w14:textId="03FFA775" w:rsidR="004E4478" w:rsidRPr="001C4043" w:rsidRDefault="00420E01" w:rsidP="004E4478">
      <w:pPr>
        <w:ind w:firstLine="709"/>
        <w:jc w:val="both"/>
        <w:rPr>
          <w:rFonts w:ascii="Times New Roman" w:hAnsi="Times New Roman" w:cs="Times New Roman"/>
          <w:sz w:val="24"/>
          <w:szCs w:val="24"/>
          <w:lang w:val="en-GB" w:eastAsia="lt-LT"/>
        </w:rPr>
      </w:pPr>
      <w:r w:rsidRPr="001C4043">
        <w:rPr>
          <w:rFonts w:ascii="Times New Roman" w:hAnsi="Times New Roman" w:cs="Times New Roman"/>
          <w:i/>
          <w:color w:val="auto"/>
          <w:kern w:val="0"/>
          <w:sz w:val="24"/>
          <w:szCs w:val="24"/>
          <w:lang w:val="en-GB" w:eastAsia="lt-LT"/>
        </w:rPr>
        <w:t xml:space="preserve">_____________________ </w:t>
      </w:r>
      <w:r w:rsidR="004E4478" w:rsidRPr="001C4043">
        <w:rPr>
          <w:rFonts w:ascii="Times New Roman" w:hAnsi="Times New Roman" w:cs="Times New Roman"/>
          <w:sz w:val="24"/>
          <w:szCs w:val="24"/>
          <w:lang w:val="en-GB" w:eastAsia="lt-LT"/>
        </w:rPr>
        <w:t>(</w:t>
      </w:r>
      <w:r w:rsidR="007C59A6" w:rsidRPr="001C4043">
        <w:rPr>
          <w:rFonts w:ascii="Times New Roman" w:hAnsi="Times New Roman" w:cs="Times New Roman"/>
          <w:sz w:val="24"/>
          <w:szCs w:val="24"/>
          <w:lang w:val="en-GB" w:eastAsia="lt-LT"/>
        </w:rPr>
        <w:t>hereinafter referred to as Service Provider</w:t>
      </w:r>
      <w:r w:rsidR="004E4478" w:rsidRPr="001C4043">
        <w:rPr>
          <w:rFonts w:ascii="Times New Roman" w:hAnsi="Times New Roman" w:cs="Times New Roman"/>
          <w:sz w:val="24"/>
          <w:szCs w:val="24"/>
          <w:lang w:val="en-GB" w:eastAsia="lt-LT"/>
        </w:rPr>
        <w:t>)</w:t>
      </w:r>
      <w:r w:rsidR="004E4478" w:rsidRPr="001C4043">
        <w:rPr>
          <w:rFonts w:ascii="Times New Roman" w:hAnsi="Times New Roman" w:cs="Times New Roman"/>
          <w:snapToGrid w:val="0"/>
          <w:sz w:val="24"/>
          <w:szCs w:val="24"/>
          <w:lang w:val="en-GB" w:eastAsia="lt-LT"/>
        </w:rPr>
        <w:t>,</w:t>
      </w:r>
      <w:r w:rsidR="004E4478" w:rsidRPr="001C4043">
        <w:rPr>
          <w:rFonts w:ascii="Times New Roman" w:hAnsi="Times New Roman" w:cs="Times New Roman"/>
          <w:sz w:val="24"/>
          <w:szCs w:val="24"/>
          <w:lang w:val="en-GB"/>
        </w:rPr>
        <w:t xml:space="preserve"> </w:t>
      </w:r>
      <w:r w:rsidR="007C59A6" w:rsidRPr="001C4043">
        <w:rPr>
          <w:rFonts w:ascii="Times New Roman" w:hAnsi="Times New Roman" w:cs="Times New Roman"/>
          <w:sz w:val="24"/>
          <w:szCs w:val="24"/>
          <w:lang w:val="en-GB" w:eastAsia="lt-LT"/>
        </w:rPr>
        <w:t>represented by (</w:t>
      </w:r>
      <w:r w:rsidR="007C59A6" w:rsidRPr="001C4043">
        <w:rPr>
          <w:rFonts w:ascii="Times New Roman" w:hAnsi="Times New Roman" w:cs="Times New Roman"/>
          <w:i/>
          <w:iCs/>
          <w:sz w:val="24"/>
          <w:szCs w:val="24"/>
          <w:lang w:val="en-GB" w:eastAsia="lt-LT"/>
        </w:rPr>
        <w:t>position, name</w:t>
      </w:r>
      <w:r w:rsidR="007C59A6" w:rsidRPr="001C4043">
        <w:rPr>
          <w:rFonts w:ascii="Times New Roman" w:hAnsi="Times New Roman" w:cs="Times New Roman"/>
          <w:sz w:val="24"/>
          <w:szCs w:val="24"/>
          <w:lang w:val="en-GB" w:eastAsia="lt-LT"/>
        </w:rPr>
        <w:t>), acting under (</w:t>
      </w:r>
      <w:r w:rsidR="007C59A6" w:rsidRPr="001C4043">
        <w:rPr>
          <w:rFonts w:ascii="Times New Roman" w:hAnsi="Times New Roman" w:cs="Times New Roman"/>
          <w:i/>
          <w:iCs/>
          <w:sz w:val="24"/>
          <w:szCs w:val="24"/>
          <w:lang w:val="en-GB" w:eastAsia="lt-LT"/>
        </w:rPr>
        <w:t>document on the basis of which the person is acting</w:t>
      </w:r>
      <w:r w:rsidR="007C59A6" w:rsidRPr="001C4043">
        <w:rPr>
          <w:rFonts w:ascii="Times New Roman" w:hAnsi="Times New Roman" w:cs="Times New Roman"/>
          <w:sz w:val="24"/>
          <w:szCs w:val="24"/>
          <w:lang w:val="en-GB" w:eastAsia="lt-LT"/>
        </w:rPr>
        <w:t>), hereinafter in this Public Sale and Purchase Contract for Services collectively referred to as the Parties, and each individually as a Party, have entered into the following Public Sale and Purchase Contract for Services, hereinafter referred to as the Contract, and have agreed on the following terms.</w:t>
      </w:r>
    </w:p>
    <w:p w14:paraId="4F1EF1A1" w14:textId="40C76D39" w:rsidR="0087132E" w:rsidRPr="001C4043"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en-GB" w:eastAsia="lt-LT"/>
        </w:rPr>
      </w:pPr>
    </w:p>
    <w:p w14:paraId="6CB650E4" w14:textId="72343D43" w:rsidR="00773561" w:rsidRPr="001C4043" w:rsidRDefault="007C59A6" w:rsidP="00F76363">
      <w:pPr>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I</w:t>
      </w:r>
    </w:p>
    <w:p w14:paraId="1E15671C" w14:textId="2E51A3E0" w:rsidR="00773561" w:rsidRPr="001C4043" w:rsidRDefault="007C59A6" w:rsidP="00FF239B">
      <w:pPr>
        <w:ind w:firstLine="374"/>
        <w:contextualSpacing/>
        <w:jc w:val="center"/>
        <w:rPr>
          <w:rFonts w:ascii="Times New Roman" w:eastAsia="Times New Roman" w:hAnsi="Times New Roman" w:cs="Times New Roman"/>
          <w:b/>
          <w:sz w:val="24"/>
          <w:szCs w:val="24"/>
          <w:lang w:val="en-GB"/>
        </w:rPr>
      </w:pPr>
      <w:r w:rsidRPr="001C4043">
        <w:rPr>
          <w:rFonts w:ascii="Times New Roman" w:eastAsia="Times New Roman" w:hAnsi="Times New Roman" w:cs="Times New Roman"/>
          <w:b/>
          <w:sz w:val="24"/>
          <w:szCs w:val="24"/>
          <w:lang w:val="en-GB"/>
        </w:rPr>
        <w:t>OBJECT OF THE CONTRACT</w:t>
      </w:r>
    </w:p>
    <w:p w14:paraId="14D4D68B" w14:textId="77777777" w:rsidR="00FF239B" w:rsidRPr="001C4043" w:rsidRDefault="00FF239B" w:rsidP="00FF239B">
      <w:pPr>
        <w:ind w:firstLine="374"/>
        <w:contextualSpacing/>
        <w:jc w:val="center"/>
        <w:rPr>
          <w:rFonts w:ascii="Times New Roman" w:eastAsia="Times New Roman" w:hAnsi="Times New Roman" w:cs="Times New Roman"/>
          <w:b/>
          <w:sz w:val="24"/>
          <w:szCs w:val="24"/>
          <w:lang w:val="en-GB"/>
        </w:rPr>
      </w:pPr>
    </w:p>
    <w:p w14:paraId="362158AA" w14:textId="2FE2919B" w:rsidR="00773561" w:rsidRPr="001C4043" w:rsidRDefault="007C59A6" w:rsidP="006B770D">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The object of the Contract is </w:t>
      </w:r>
      <w:r w:rsidR="006B770D" w:rsidRPr="001C4043">
        <w:rPr>
          <w:rFonts w:ascii="Times New Roman" w:hAnsi="Times New Roman" w:cs="Times New Roman"/>
          <w:sz w:val="24"/>
          <w:szCs w:val="24"/>
          <w:lang w:val="en-GB" w:eastAsia="lt-LT"/>
        </w:rPr>
        <w:t>a</w:t>
      </w:r>
      <w:proofErr w:type="spellStart"/>
      <w:r w:rsidR="006B770D" w:rsidRPr="001C4043">
        <w:rPr>
          <w:rFonts w:ascii="Times New Roman" w:hAnsi="Times New Roman" w:cs="Times New Roman"/>
          <w:sz w:val="24"/>
          <w:szCs w:val="24"/>
          <w:lang w:eastAsia="lt-LT"/>
        </w:rPr>
        <w:t>ircraft</w:t>
      </w:r>
      <w:proofErr w:type="spellEnd"/>
      <w:r w:rsidR="006B770D" w:rsidRPr="001C4043">
        <w:rPr>
          <w:rFonts w:ascii="Times New Roman" w:hAnsi="Times New Roman" w:cs="Times New Roman"/>
          <w:sz w:val="24"/>
          <w:szCs w:val="24"/>
          <w:lang w:eastAsia="lt-LT"/>
        </w:rPr>
        <w:t xml:space="preserve"> </w:t>
      </w:r>
      <w:r w:rsidR="00D43661" w:rsidRPr="001C4043">
        <w:rPr>
          <w:rFonts w:ascii="Times New Roman" w:hAnsi="Times New Roman" w:cs="Times New Roman"/>
          <w:color w:val="auto"/>
          <w:sz w:val="24"/>
          <w:szCs w:val="24"/>
        </w:rPr>
        <w:t xml:space="preserve">MBB BK117 C2 (EC145) </w:t>
      </w:r>
      <w:proofErr w:type="spellStart"/>
      <w:r w:rsidR="006B770D" w:rsidRPr="001C4043">
        <w:rPr>
          <w:rFonts w:ascii="Times New Roman" w:hAnsi="Times New Roman" w:cs="Times New Roman"/>
          <w:sz w:val="24"/>
          <w:szCs w:val="24"/>
          <w:lang w:eastAsia="lt-LT"/>
        </w:rPr>
        <w:t>continuous</w:t>
      </w:r>
      <w:proofErr w:type="spellEnd"/>
      <w:r w:rsidR="006B770D" w:rsidRPr="001C4043">
        <w:rPr>
          <w:rFonts w:ascii="Times New Roman" w:hAnsi="Times New Roman" w:cs="Times New Roman"/>
          <w:sz w:val="24"/>
          <w:szCs w:val="24"/>
          <w:lang w:eastAsia="lt-LT"/>
        </w:rPr>
        <w:t xml:space="preserve"> </w:t>
      </w:r>
      <w:proofErr w:type="spellStart"/>
      <w:r w:rsidR="006B770D" w:rsidRPr="001C4043">
        <w:rPr>
          <w:rFonts w:ascii="Times New Roman" w:hAnsi="Times New Roman" w:cs="Times New Roman"/>
          <w:sz w:val="24"/>
          <w:szCs w:val="24"/>
          <w:lang w:eastAsia="lt-LT"/>
        </w:rPr>
        <w:t>aircraft</w:t>
      </w:r>
      <w:proofErr w:type="spellEnd"/>
      <w:r w:rsidR="006B770D" w:rsidRPr="001C4043">
        <w:rPr>
          <w:rFonts w:ascii="Times New Roman" w:hAnsi="Times New Roman" w:cs="Times New Roman"/>
          <w:sz w:val="24"/>
          <w:szCs w:val="24"/>
          <w:lang w:eastAsia="lt-LT"/>
        </w:rPr>
        <w:t xml:space="preserve"> </w:t>
      </w:r>
      <w:proofErr w:type="spellStart"/>
      <w:r w:rsidR="006B770D" w:rsidRPr="001C4043">
        <w:rPr>
          <w:rFonts w:ascii="Times New Roman" w:hAnsi="Times New Roman" w:cs="Times New Roman"/>
          <w:sz w:val="24"/>
          <w:szCs w:val="24"/>
          <w:lang w:eastAsia="lt-LT"/>
        </w:rPr>
        <w:t>management</w:t>
      </w:r>
      <w:proofErr w:type="spellEnd"/>
      <w:r w:rsidR="006B770D" w:rsidRPr="001C4043">
        <w:rPr>
          <w:rFonts w:ascii="Times New Roman" w:hAnsi="Times New Roman" w:cs="Times New Roman"/>
          <w:sz w:val="24"/>
          <w:szCs w:val="24"/>
          <w:lang w:eastAsia="lt-LT"/>
        </w:rPr>
        <w:t xml:space="preserve"> </w:t>
      </w:r>
      <w:proofErr w:type="spellStart"/>
      <w:r w:rsidR="006B770D" w:rsidRPr="001C4043">
        <w:rPr>
          <w:rFonts w:ascii="Times New Roman" w:hAnsi="Times New Roman" w:cs="Times New Roman"/>
          <w:sz w:val="24"/>
          <w:szCs w:val="24"/>
          <w:lang w:eastAsia="lt-LT"/>
        </w:rPr>
        <w:t>organization</w:t>
      </w:r>
      <w:proofErr w:type="spellEnd"/>
      <w:r w:rsidR="006B770D" w:rsidRPr="001C4043">
        <w:rPr>
          <w:rFonts w:ascii="Times New Roman" w:hAnsi="Times New Roman" w:cs="Times New Roman"/>
          <w:sz w:val="24"/>
          <w:szCs w:val="24"/>
          <w:lang w:eastAsia="lt-LT"/>
        </w:rPr>
        <w:t xml:space="preserve"> </w:t>
      </w:r>
      <w:proofErr w:type="spellStart"/>
      <w:r w:rsidR="006B770D" w:rsidRPr="001C4043">
        <w:rPr>
          <w:rFonts w:ascii="Times New Roman" w:hAnsi="Times New Roman" w:cs="Times New Roman"/>
          <w:sz w:val="24"/>
          <w:szCs w:val="24"/>
          <w:lang w:eastAsia="lt-LT"/>
        </w:rPr>
        <w:t>services</w:t>
      </w:r>
      <w:proofErr w:type="spellEnd"/>
      <w:r w:rsidR="006B770D" w:rsidRPr="001C4043">
        <w:rPr>
          <w:rFonts w:ascii="Times New Roman" w:hAnsi="Times New Roman" w:cs="Times New Roman"/>
          <w:sz w:val="24"/>
          <w:szCs w:val="24"/>
          <w:lang w:val="en-GB" w:eastAsia="lt-LT"/>
        </w:rPr>
        <w:t xml:space="preserve"> </w:t>
      </w:r>
      <w:r w:rsidRPr="001C4043">
        <w:rPr>
          <w:rFonts w:ascii="Times New Roman" w:hAnsi="Times New Roman" w:cs="Times New Roman"/>
          <w:sz w:val="24"/>
          <w:szCs w:val="24"/>
          <w:lang w:val="en-GB" w:eastAsia="lt-LT"/>
        </w:rPr>
        <w:t xml:space="preserve">(hereinafter referred to as the </w:t>
      </w:r>
      <w:r w:rsidR="00E51791" w:rsidRPr="001C4043">
        <w:rPr>
          <w:rFonts w:ascii="Times New Roman" w:hAnsi="Times New Roman" w:cs="Times New Roman"/>
          <w:sz w:val="24"/>
          <w:szCs w:val="24"/>
          <w:lang w:val="en-GB" w:eastAsia="lt-LT"/>
        </w:rPr>
        <w:t>s</w:t>
      </w:r>
      <w:r w:rsidRPr="001C4043">
        <w:rPr>
          <w:rFonts w:ascii="Times New Roman" w:hAnsi="Times New Roman" w:cs="Times New Roman"/>
          <w:sz w:val="24"/>
          <w:szCs w:val="24"/>
          <w:lang w:val="en-GB" w:eastAsia="lt-LT"/>
        </w:rPr>
        <w:t>ervices</w:t>
      </w:r>
      <w:r w:rsidR="00E51791" w:rsidRPr="001C4043">
        <w:rPr>
          <w:rFonts w:ascii="Times New Roman" w:hAnsi="Times New Roman" w:cs="Times New Roman"/>
          <w:sz w:val="24"/>
          <w:szCs w:val="24"/>
          <w:lang w:val="en-GB" w:eastAsia="lt-LT"/>
        </w:rPr>
        <w:t>)</w:t>
      </w:r>
      <w:r w:rsidRPr="001C4043">
        <w:rPr>
          <w:rFonts w:ascii="Times New Roman" w:hAnsi="Times New Roman" w:cs="Times New Roman"/>
          <w:sz w:val="24"/>
          <w:szCs w:val="24"/>
          <w:lang w:val="en-GB" w:eastAsia="lt-LT"/>
        </w:rPr>
        <w:t>. The scope, quality and other requirements of the services to be provided shall be defined in the Technical Specification (Annex 1 to the Contract).</w:t>
      </w:r>
    </w:p>
    <w:p w14:paraId="38535424" w14:textId="0C8FB144" w:rsidR="00773561" w:rsidRPr="001C4043" w:rsidRDefault="007C59A6"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code for the Common Procurement Vocabulary (CPV) is 75100000-7 (Administrative Services).</w:t>
      </w:r>
    </w:p>
    <w:p w14:paraId="74F0D3AD" w14:textId="77777777" w:rsidR="00F76363" w:rsidRPr="001C4043" w:rsidRDefault="00F76363" w:rsidP="00773561">
      <w:pPr>
        <w:jc w:val="center"/>
        <w:rPr>
          <w:rFonts w:ascii="Times New Roman" w:eastAsia="Times New Roman" w:hAnsi="Times New Roman" w:cs="Times New Roman"/>
          <w:b/>
          <w:sz w:val="24"/>
          <w:szCs w:val="24"/>
          <w:lang w:val="en-GB"/>
        </w:rPr>
      </w:pPr>
    </w:p>
    <w:p w14:paraId="6FCFAF82" w14:textId="0A841D88" w:rsidR="00773561" w:rsidRPr="001C4043" w:rsidRDefault="007C59A6" w:rsidP="007B26E7">
      <w:pPr>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II</w:t>
      </w:r>
    </w:p>
    <w:p w14:paraId="0D8D048B" w14:textId="5675368F" w:rsidR="00773561" w:rsidRPr="001C4043" w:rsidRDefault="007C59A6" w:rsidP="007B26E7">
      <w:pPr>
        <w:ind w:firstLine="374"/>
        <w:contextualSpacing/>
        <w:jc w:val="center"/>
        <w:rPr>
          <w:rFonts w:ascii="Times New Roman" w:eastAsia="Times New Roman" w:hAnsi="Times New Roman" w:cs="Times New Roman"/>
          <w:b/>
          <w:sz w:val="24"/>
          <w:szCs w:val="24"/>
          <w:lang w:val="en-GB"/>
        </w:rPr>
      </w:pPr>
      <w:r w:rsidRPr="001C4043">
        <w:rPr>
          <w:rFonts w:ascii="Times New Roman" w:eastAsia="Times New Roman" w:hAnsi="Times New Roman" w:cs="Times New Roman"/>
          <w:b/>
          <w:sz w:val="24"/>
          <w:szCs w:val="24"/>
          <w:lang w:val="en-GB"/>
        </w:rPr>
        <w:t>CONTRACT PRICING RULES AND PAYMENT CONDITIONS</w:t>
      </w:r>
    </w:p>
    <w:p w14:paraId="75F3F4C7" w14:textId="77777777" w:rsidR="00773561" w:rsidRPr="001C4043" w:rsidRDefault="00773561" w:rsidP="00773561">
      <w:pPr>
        <w:rPr>
          <w:rFonts w:ascii="Times New Roman" w:eastAsia="Times New Roman" w:hAnsi="Times New Roman" w:cs="Times New Roman"/>
          <w:bCs/>
          <w:sz w:val="24"/>
          <w:szCs w:val="24"/>
          <w:lang w:val="en-GB"/>
        </w:rPr>
      </w:pPr>
    </w:p>
    <w:p w14:paraId="2B025D8C" w14:textId="20A98FB6" w:rsidR="00773561" w:rsidRPr="001C4043" w:rsidRDefault="00DC680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Contract shall be conducted on the basis of a fixed rate and applying a contract expense reimbursement pricing</w:t>
      </w:r>
      <w:r w:rsidR="007C59A6" w:rsidRPr="001C4043">
        <w:rPr>
          <w:rFonts w:ascii="Times New Roman" w:hAnsi="Times New Roman" w:cs="Times New Roman"/>
          <w:sz w:val="24"/>
          <w:szCs w:val="24"/>
          <w:lang w:val="en-GB" w:eastAsia="lt-LT"/>
        </w:rPr>
        <w:t>.</w:t>
      </w:r>
      <w:r w:rsidR="00773561" w:rsidRPr="001C4043">
        <w:rPr>
          <w:rFonts w:ascii="Times New Roman" w:hAnsi="Times New Roman" w:cs="Times New Roman"/>
          <w:sz w:val="24"/>
          <w:szCs w:val="24"/>
          <w:lang w:val="en-GB" w:eastAsia="lt-LT"/>
        </w:rPr>
        <w:t xml:space="preserve"> </w:t>
      </w:r>
    </w:p>
    <w:p w14:paraId="14CB8307" w14:textId="23F82A36" w:rsidR="00773561" w:rsidRPr="001C4043"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The maximum price of the Contract shall be EUR </w:t>
      </w:r>
      <w:r w:rsidR="00D43661" w:rsidRPr="001C4043">
        <w:rPr>
          <w:rFonts w:ascii="Times New Roman" w:hAnsi="Times New Roman" w:cs="Times New Roman"/>
          <w:sz w:val="24"/>
          <w:szCs w:val="24"/>
          <w:lang w:eastAsia="lt-LT"/>
        </w:rPr>
        <w:t xml:space="preserve">12000,00 </w:t>
      </w:r>
      <w:r w:rsidR="00B86046" w:rsidRPr="001C4043">
        <w:rPr>
          <w:rFonts w:ascii="Times New Roman" w:hAnsi="Times New Roman" w:cs="Times New Roman"/>
          <w:sz w:val="24"/>
          <w:szCs w:val="24"/>
          <w:lang w:val="en-GB" w:eastAsia="lt-LT"/>
        </w:rPr>
        <w:t>ex</w:t>
      </w:r>
      <w:r w:rsidRPr="001C4043">
        <w:rPr>
          <w:rFonts w:ascii="Times New Roman" w:hAnsi="Times New Roman" w:cs="Times New Roman"/>
          <w:sz w:val="24"/>
          <w:szCs w:val="24"/>
          <w:lang w:val="en-GB" w:eastAsia="lt-LT"/>
        </w:rPr>
        <w:t>clusive of Value Added Tax (VAT).</w:t>
      </w:r>
      <w:r w:rsidR="00773561" w:rsidRPr="001C4043">
        <w:rPr>
          <w:rFonts w:ascii="Times New Roman" w:hAnsi="Times New Roman" w:cs="Times New Roman"/>
          <w:sz w:val="24"/>
          <w:szCs w:val="24"/>
          <w:lang w:val="en-GB" w:eastAsia="lt-LT"/>
        </w:rPr>
        <w:t xml:space="preserve"> </w:t>
      </w:r>
    </w:p>
    <w:p w14:paraId="5E6E5BBD" w14:textId="1D177D3D" w:rsidR="00773561" w:rsidRPr="001C4043"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service price consists of two parts:</w:t>
      </w:r>
    </w:p>
    <w:p w14:paraId="4AC24457" w14:textId="4C22B108" w:rsidR="00773561" w:rsidRPr="001C4043" w:rsidRDefault="009D5C63" w:rsidP="006F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the fixed </w:t>
      </w:r>
      <w:proofErr w:type="spellStart"/>
      <w:r w:rsidRPr="001C4043">
        <w:rPr>
          <w:rFonts w:ascii="Times New Roman" w:hAnsi="Times New Roman" w:cs="Times New Roman"/>
          <w:sz w:val="24"/>
          <w:szCs w:val="24"/>
          <w:lang w:eastAsia="lt-LT"/>
        </w:rPr>
        <w:t>services</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monthly</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payment</w:t>
      </w:r>
      <w:proofErr w:type="spellEnd"/>
      <w:r w:rsidRPr="001C4043">
        <w:rPr>
          <w:rFonts w:ascii="Times New Roman" w:hAnsi="Times New Roman" w:cs="Times New Roman"/>
          <w:sz w:val="24"/>
          <w:szCs w:val="24"/>
          <w:lang w:eastAsia="lt-LT"/>
        </w:rPr>
        <w:t xml:space="preserve"> </w:t>
      </w:r>
      <w:r w:rsidR="00687A9B" w:rsidRPr="001C4043">
        <w:rPr>
          <w:rFonts w:ascii="Times New Roman" w:hAnsi="Times New Roman" w:cs="Times New Roman"/>
          <w:sz w:val="24"/>
          <w:szCs w:val="24"/>
          <w:lang w:val="en-GB" w:eastAsia="lt-LT"/>
        </w:rPr>
        <w:t>as set out in Annex 2 to the Contract</w:t>
      </w:r>
      <w:r w:rsidR="001A5155" w:rsidRPr="001C4043">
        <w:rPr>
          <w:rFonts w:ascii="Times New Roman" w:hAnsi="Times New Roman" w:cs="Times New Roman"/>
          <w:sz w:val="24"/>
          <w:szCs w:val="24"/>
          <w:lang w:val="en-GB" w:eastAsia="lt-LT"/>
        </w:rPr>
        <w:t xml:space="preserve">. </w:t>
      </w:r>
      <w:proofErr w:type="spellStart"/>
      <w:r w:rsidR="001A5155" w:rsidRPr="001C4043">
        <w:rPr>
          <w:rFonts w:ascii="Times New Roman" w:hAnsi="Times New Roman" w:cs="Times New Roman"/>
          <w:sz w:val="24"/>
          <w:szCs w:val="24"/>
          <w:lang w:eastAsia="lt-LT"/>
        </w:rPr>
        <w:t>The</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monthly</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payment</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starts</w:t>
      </w:r>
      <w:proofErr w:type="spellEnd"/>
      <w:r w:rsidR="001A5155" w:rsidRPr="001C4043">
        <w:rPr>
          <w:rFonts w:ascii="Times New Roman" w:hAnsi="Times New Roman" w:cs="Times New Roman"/>
          <w:sz w:val="24"/>
          <w:szCs w:val="24"/>
          <w:lang w:eastAsia="lt-LT"/>
        </w:rPr>
        <w:t xml:space="preserve"> to be </w:t>
      </w:r>
      <w:proofErr w:type="spellStart"/>
      <w:r w:rsidR="001A5155" w:rsidRPr="001C4043">
        <w:rPr>
          <w:rFonts w:ascii="Times New Roman" w:hAnsi="Times New Roman" w:cs="Times New Roman"/>
          <w:sz w:val="24"/>
          <w:szCs w:val="24"/>
          <w:lang w:eastAsia="lt-LT"/>
        </w:rPr>
        <w:t>calculated</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from</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the</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day</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of</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submission</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of</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the</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official</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letter</w:t>
      </w:r>
      <w:proofErr w:type="spellEnd"/>
      <w:r w:rsidR="001A5155" w:rsidRPr="001C4043">
        <w:rPr>
          <w:rFonts w:ascii="Times New Roman" w:hAnsi="Times New Roman" w:cs="Times New Roman"/>
          <w:sz w:val="24"/>
          <w:szCs w:val="24"/>
          <w:lang w:eastAsia="lt-LT"/>
        </w:rPr>
        <w:t xml:space="preserve"> to </w:t>
      </w:r>
      <w:proofErr w:type="spellStart"/>
      <w:r w:rsidR="001A5155" w:rsidRPr="001C4043">
        <w:rPr>
          <w:rFonts w:ascii="Times New Roman" w:hAnsi="Times New Roman" w:cs="Times New Roman"/>
          <w:sz w:val="24"/>
          <w:szCs w:val="24"/>
          <w:lang w:eastAsia="lt-LT"/>
        </w:rPr>
        <w:t>the</w:t>
      </w:r>
      <w:proofErr w:type="spellEnd"/>
      <w:r w:rsidR="001A5155" w:rsidRPr="001C4043">
        <w:rPr>
          <w:rFonts w:ascii="Times New Roman" w:hAnsi="Times New Roman" w:cs="Times New Roman"/>
          <w:sz w:val="24"/>
          <w:szCs w:val="24"/>
          <w:lang w:eastAsia="lt-LT"/>
        </w:rPr>
        <w:t xml:space="preserve"> </w:t>
      </w:r>
      <w:r w:rsidR="006F49C7" w:rsidRPr="001C4043">
        <w:rPr>
          <w:rFonts w:ascii="Times New Roman" w:hAnsi="Times New Roman" w:cs="Times New Roman"/>
          <w:sz w:val="24"/>
          <w:szCs w:val="24"/>
          <w:lang w:val="en-GB" w:eastAsia="lt-LT"/>
        </w:rPr>
        <w:t>Service Provider</w:t>
      </w:r>
      <w:r w:rsidR="00046149"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regarding</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the</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start</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of</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aircraft</w:t>
      </w:r>
      <w:proofErr w:type="spellEnd"/>
      <w:r w:rsidR="001A5155" w:rsidRPr="001C4043">
        <w:rPr>
          <w:rFonts w:ascii="Times New Roman" w:hAnsi="Times New Roman" w:cs="Times New Roman"/>
          <w:sz w:val="24"/>
          <w:szCs w:val="24"/>
          <w:lang w:eastAsia="lt-LT"/>
        </w:rPr>
        <w:t xml:space="preserve"> </w:t>
      </w:r>
      <w:proofErr w:type="spellStart"/>
      <w:r w:rsidR="001A5155" w:rsidRPr="001C4043">
        <w:rPr>
          <w:rFonts w:ascii="Times New Roman" w:hAnsi="Times New Roman" w:cs="Times New Roman"/>
          <w:sz w:val="24"/>
          <w:szCs w:val="24"/>
          <w:lang w:eastAsia="lt-LT"/>
        </w:rPr>
        <w:t>ope</w:t>
      </w:r>
      <w:r w:rsidR="007E60A3" w:rsidRPr="001C4043">
        <w:rPr>
          <w:rFonts w:ascii="Times New Roman" w:hAnsi="Times New Roman" w:cs="Times New Roman"/>
          <w:sz w:val="24"/>
          <w:szCs w:val="24"/>
          <w:lang w:eastAsia="lt-LT"/>
        </w:rPr>
        <w:t>ration</w:t>
      </w:r>
      <w:proofErr w:type="spellEnd"/>
      <w:r w:rsidR="00687A9B" w:rsidRPr="001C4043">
        <w:rPr>
          <w:rFonts w:ascii="Times New Roman" w:hAnsi="Times New Roman" w:cs="Times New Roman"/>
          <w:sz w:val="24"/>
          <w:szCs w:val="24"/>
          <w:lang w:val="en-GB" w:eastAsia="lt-LT"/>
        </w:rPr>
        <w:t>;</w:t>
      </w:r>
    </w:p>
    <w:p w14:paraId="19C49FEA" w14:textId="6B494A08" w:rsidR="00773561" w:rsidRPr="001C4043" w:rsidRDefault="00773561" w:rsidP="00BC2166">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687A9B" w:rsidRPr="001C4043">
        <w:rPr>
          <w:rFonts w:ascii="Times New Roman" w:hAnsi="Times New Roman" w:cs="Times New Roman"/>
          <w:sz w:val="24"/>
          <w:szCs w:val="24"/>
          <w:lang w:val="en-GB" w:eastAsia="lt-LT"/>
        </w:rPr>
        <w:t xml:space="preserve">Costs actually incurred by the Service Provider that are directly related to the performance of the Contract and incurred by the Service Provider </w:t>
      </w:r>
      <w:r w:rsidR="00BC2166" w:rsidRPr="001C4043">
        <w:rPr>
          <w:rFonts w:ascii="Times New Roman" w:hAnsi="Times New Roman" w:cs="Times New Roman"/>
          <w:sz w:val="24"/>
          <w:szCs w:val="24"/>
          <w:lang w:val="en-GB" w:eastAsia="lt-LT"/>
        </w:rPr>
        <w:t>(</w:t>
      </w:r>
      <w:proofErr w:type="spellStart"/>
      <w:r w:rsidR="00BC2166" w:rsidRPr="001C4043">
        <w:rPr>
          <w:rFonts w:ascii="Times New Roman" w:hAnsi="Times New Roman" w:cs="Times New Roman"/>
          <w:sz w:val="24"/>
          <w:szCs w:val="24"/>
          <w:lang w:eastAsia="lt-LT"/>
        </w:rPr>
        <w:t>fees</w:t>
      </w:r>
      <w:proofErr w:type="spellEnd"/>
      <w:r w:rsidR="00BC2166" w:rsidRPr="001C4043">
        <w:rPr>
          <w:rFonts w:ascii="Times New Roman" w:hAnsi="Times New Roman" w:cs="Times New Roman"/>
          <w:sz w:val="24"/>
          <w:szCs w:val="24"/>
          <w:lang w:eastAsia="lt-LT"/>
        </w:rPr>
        <w:t xml:space="preserve"> </w:t>
      </w:r>
      <w:proofErr w:type="spellStart"/>
      <w:r w:rsidR="00BC2166" w:rsidRPr="001C4043">
        <w:rPr>
          <w:rFonts w:ascii="Times New Roman" w:hAnsi="Times New Roman" w:cs="Times New Roman"/>
          <w:sz w:val="24"/>
          <w:szCs w:val="24"/>
          <w:lang w:eastAsia="lt-LT"/>
        </w:rPr>
        <w:t>for</w:t>
      </w:r>
      <w:proofErr w:type="spellEnd"/>
      <w:r w:rsidR="00BC2166" w:rsidRPr="001C4043">
        <w:rPr>
          <w:rFonts w:ascii="Times New Roman" w:hAnsi="Times New Roman" w:cs="Times New Roman"/>
          <w:sz w:val="24"/>
          <w:szCs w:val="24"/>
          <w:lang w:eastAsia="lt-LT"/>
        </w:rPr>
        <w:t xml:space="preserve"> TKA (</w:t>
      </w:r>
      <w:proofErr w:type="spellStart"/>
      <w:r w:rsidR="00BC2166" w:rsidRPr="001C4043">
        <w:rPr>
          <w:rFonts w:ascii="Times New Roman" w:hAnsi="Times New Roman" w:cs="Times New Roman"/>
          <w:sz w:val="24"/>
          <w:szCs w:val="24"/>
          <w:lang w:eastAsia="lt-LT"/>
        </w:rPr>
        <w:t>Transport</w:t>
      </w:r>
      <w:proofErr w:type="spellEnd"/>
      <w:r w:rsidR="00BC2166" w:rsidRPr="001C4043">
        <w:rPr>
          <w:rFonts w:ascii="Times New Roman" w:hAnsi="Times New Roman" w:cs="Times New Roman"/>
          <w:sz w:val="24"/>
          <w:szCs w:val="24"/>
          <w:lang w:eastAsia="lt-LT"/>
        </w:rPr>
        <w:t xml:space="preserve"> </w:t>
      </w:r>
      <w:proofErr w:type="spellStart"/>
      <w:r w:rsidR="00BC2166" w:rsidRPr="001C4043">
        <w:rPr>
          <w:rFonts w:ascii="Times New Roman" w:hAnsi="Times New Roman" w:cs="Times New Roman"/>
          <w:sz w:val="24"/>
          <w:szCs w:val="24"/>
          <w:lang w:eastAsia="lt-LT"/>
        </w:rPr>
        <w:t>Competence</w:t>
      </w:r>
      <w:proofErr w:type="spellEnd"/>
      <w:r w:rsidR="00BC2166" w:rsidRPr="001C4043">
        <w:rPr>
          <w:rFonts w:ascii="Times New Roman" w:hAnsi="Times New Roman" w:cs="Times New Roman"/>
          <w:sz w:val="24"/>
          <w:szCs w:val="24"/>
          <w:lang w:eastAsia="lt-LT"/>
        </w:rPr>
        <w:t xml:space="preserve"> </w:t>
      </w:r>
      <w:proofErr w:type="spellStart"/>
      <w:r w:rsidR="00BC2166" w:rsidRPr="001C4043">
        <w:rPr>
          <w:rFonts w:ascii="Times New Roman" w:hAnsi="Times New Roman" w:cs="Times New Roman"/>
          <w:sz w:val="24"/>
          <w:szCs w:val="24"/>
          <w:lang w:eastAsia="lt-LT"/>
        </w:rPr>
        <w:t>Agency</w:t>
      </w:r>
      <w:proofErr w:type="spellEnd"/>
      <w:r w:rsidR="00BC2166" w:rsidRPr="001C4043">
        <w:rPr>
          <w:rFonts w:ascii="Times New Roman" w:hAnsi="Times New Roman" w:cs="Times New Roman"/>
          <w:sz w:val="24"/>
          <w:szCs w:val="24"/>
          <w:lang w:eastAsia="lt-LT"/>
        </w:rPr>
        <w:t xml:space="preserve">) </w:t>
      </w:r>
      <w:proofErr w:type="spellStart"/>
      <w:r w:rsidR="00BC2166" w:rsidRPr="001C4043">
        <w:rPr>
          <w:rFonts w:ascii="Times New Roman" w:hAnsi="Times New Roman" w:cs="Times New Roman"/>
          <w:sz w:val="24"/>
          <w:szCs w:val="24"/>
          <w:lang w:eastAsia="lt-LT"/>
        </w:rPr>
        <w:lastRenderedPageBreak/>
        <w:t>services</w:t>
      </w:r>
      <w:proofErr w:type="spellEnd"/>
      <w:r w:rsidR="00687A9B" w:rsidRPr="001C4043">
        <w:rPr>
          <w:rFonts w:ascii="Times New Roman" w:hAnsi="Times New Roman" w:cs="Times New Roman"/>
          <w:sz w:val="24"/>
          <w:szCs w:val="24"/>
          <w:lang w:val="en-GB" w:eastAsia="lt-LT"/>
        </w:rPr>
        <w:t>). The Service Provider shall, upon request by the Buyer, provide third-party documentation supporting the costs within a timeframe specified by the Buyer. The actual costs incurred shall not include any profit made by the Service Provider.</w:t>
      </w:r>
    </w:p>
    <w:p w14:paraId="6959DBF2" w14:textId="6D0FE170" w:rsidR="00B07D9E" w:rsidRPr="00507002" w:rsidRDefault="00B07D9E" w:rsidP="00B07D9E">
      <w:pPr>
        <w:spacing w:before="82" w:line="305" w:lineRule="exact"/>
        <w:ind w:firstLine="864"/>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 xml:space="preserve">6. </w:t>
      </w:r>
      <w:proofErr w:type="spellStart"/>
      <w:r w:rsidRPr="00507002">
        <w:rPr>
          <w:rFonts w:ascii="Times New Roman" w:eastAsia="Times New Roman" w:hAnsi="Times New Roman" w:cs="Times New Roman"/>
          <w:color w:val="auto"/>
          <w:sz w:val="24"/>
          <w:szCs w:val="24"/>
        </w:rPr>
        <w:t>If</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Consumer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goods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and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services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price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change</w:t>
      </w:r>
      <w:proofErr w:type="spellEnd"/>
      <w:r w:rsidRPr="00507002">
        <w:rPr>
          <w:rFonts w:ascii="Times New Roman" w:eastAsia="Times New Roman" w:hAnsi="Times New Roman" w:cs="Times New Roman"/>
          <w:color w:val="auto"/>
          <w:sz w:val="24"/>
          <w:szCs w:val="24"/>
        </w:rPr>
        <w:t xml:space="preserve"> (k), </w:t>
      </w:r>
      <w:proofErr w:type="spellStart"/>
      <w:r w:rsidRPr="00507002">
        <w:rPr>
          <w:rFonts w:ascii="Times New Roman" w:eastAsia="Times New Roman" w:hAnsi="Times New Roman" w:cs="Times New Roman"/>
          <w:color w:val="auto"/>
          <w:sz w:val="24"/>
          <w:szCs w:val="24"/>
        </w:rPr>
        <w:t>calculated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provided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paragraph</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exceeds</w:t>
      </w:r>
      <w:proofErr w:type="spellEnd"/>
      <w:r w:rsidRPr="00507002">
        <w:rPr>
          <w:rFonts w:ascii="Times New Roman" w:eastAsia="Times New Roman" w:hAnsi="Times New Roman" w:cs="Times New Roman"/>
          <w:color w:val="auto"/>
          <w:sz w:val="24"/>
          <w:szCs w:val="24"/>
        </w:rPr>
        <w:t xml:space="preserve"> 15 </w:t>
      </w:r>
      <w:proofErr w:type="spellStart"/>
      <w:r w:rsidRPr="00507002">
        <w:rPr>
          <w:rFonts w:ascii="Times New Roman" w:eastAsia="Times New Roman" w:hAnsi="Times New Roman" w:cs="Times New Roman"/>
          <w:color w:val="auto"/>
          <w:sz w:val="24"/>
          <w:szCs w:val="24"/>
        </w:rPr>
        <w:t>percents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either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of</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Contract</w:t>
      </w:r>
      <w:proofErr w:type="spellEnd"/>
      <w:r w:rsidRPr="00507002">
        <w:rPr>
          <w:rFonts w:ascii="Times New Roman" w:eastAsia="Times New Roman" w:hAnsi="Times New Roman" w:cs="Times New Roman"/>
          <w:color w:val="auto"/>
          <w:sz w:val="24"/>
          <w:szCs w:val="24"/>
        </w:rPr>
        <w:t xml:space="preserve"> parties </w:t>
      </w:r>
      <w:proofErr w:type="spellStart"/>
      <w:r w:rsidRPr="00507002">
        <w:rPr>
          <w:rFonts w:ascii="Times New Roman" w:eastAsia="Times New Roman" w:hAnsi="Times New Roman" w:cs="Times New Roman"/>
          <w:color w:val="auto"/>
          <w:sz w:val="24"/>
          <w:szCs w:val="24"/>
        </w:rPr>
        <w:t>during</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validity</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of</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Contract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have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right</w:t>
      </w:r>
      <w:proofErr w:type="spellEnd"/>
      <w:r w:rsidRPr="00507002">
        <w:rPr>
          <w:rFonts w:ascii="Times New Roman" w:eastAsia="Times New Roman" w:hAnsi="Times New Roman" w:cs="Times New Roman"/>
          <w:color w:val="auto"/>
          <w:sz w:val="24"/>
          <w:szCs w:val="24"/>
        </w:rPr>
        <w:t xml:space="preserve"> to </w:t>
      </w:r>
      <w:proofErr w:type="spellStart"/>
      <w:r w:rsidRPr="00507002">
        <w:rPr>
          <w:rFonts w:ascii="Times New Roman" w:eastAsia="Times New Roman" w:hAnsi="Times New Roman" w:cs="Times New Roman"/>
          <w:color w:val="auto"/>
          <w:sz w:val="24"/>
          <w:szCs w:val="24"/>
        </w:rPr>
        <w:t>initiate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recalculation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change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of</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rates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set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Contract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no</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earlier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than</w:t>
      </w:r>
      <w:proofErr w:type="spellEnd"/>
      <w:r w:rsidRPr="00507002">
        <w:rPr>
          <w:rFonts w:ascii="Times New Roman" w:eastAsia="Times New Roman" w:hAnsi="Times New Roman" w:cs="Times New Roman"/>
          <w:color w:val="auto"/>
          <w:sz w:val="24"/>
          <w:szCs w:val="24"/>
        </w:rPr>
        <w:t xml:space="preserve"> 6 (</w:t>
      </w:r>
      <w:proofErr w:type="spellStart"/>
      <w:r w:rsidRPr="00507002">
        <w:rPr>
          <w:rFonts w:ascii="Times New Roman" w:eastAsia="Times New Roman" w:hAnsi="Times New Roman" w:cs="Times New Roman"/>
          <w:color w:val="auto"/>
          <w:sz w:val="24"/>
          <w:szCs w:val="24"/>
        </w:rPr>
        <w:t>six</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months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after</w:t>
      </w:r>
      <w:proofErr w:type="spellEnd"/>
      <w:r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from</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the</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date</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of</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entry</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into</w:t>
      </w:r>
      <w:proofErr w:type="spellEnd"/>
      <w:r w:rsidR="00E20C0A" w:rsidRPr="00507002">
        <w:rPr>
          <w:rFonts w:ascii="Times New Roman" w:eastAsia="Times New Roman" w:hAnsi="Times New Roman" w:cs="Times New Roman"/>
          <w:color w:val="auto"/>
          <w:sz w:val="24"/>
          <w:szCs w:val="24"/>
        </w:rPr>
        <w:t xml:space="preserve"> force </w:t>
      </w:r>
      <w:proofErr w:type="spellStart"/>
      <w:r w:rsidR="00E20C0A" w:rsidRPr="00507002">
        <w:rPr>
          <w:rFonts w:ascii="Times New Roman" w:eastAsia="Times New Roman" w:hAnsi="Times New Roman" w:cs="Times New Roman"/>
          <w:color w:val="auto"/>
          <w:sz w:val="24"/>
          <w:szCs w:val="24"/>
        </w:rPr>
        <w:t>of</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the</w:t>
      </w:r>
      <w:proofErr w:type="spellEnd"/>
      <w:r w:rsidR="00E20C0A" w:rsidRPr="00507002">
        <w:rPr>
          <w:rFonts w:ascii="Times New Roman" w:eastAsia="Times New Roman" w:hAnsi="Times New Roman" w:cs="Times New Roman"/>
          <w:color w:val="auto"/>
          <w:sz w:val="24"/>
          <w:szCs w:val="24"/>
        </w:rPr>
        <w:t xml:space="preserve"> </w:t>
      </w:r>
      <w:proofErr w:type="spellStart"/>
      <w:r w:rsidR="00E20C0A" w:rsidRPr="00507002">
        <w:rPr>
          <w:rFonts w:ascii="Times New Roman" w:eastAsia="Times New Roman" w:hAnsi="Times New Roman" w:cs="Times New Roman"/>
          <w:color w:val="auto"/>
          <w:sz w:val="24"/>
          <w:szCs w:val="24"/>
        </w:rPr>
        <w:t>Contract</w:t>
      </w:r>
      <w:proofErr w:type="spellEnd"/>
      <w:r w:rsidR="00E20C0A" w:rsidRPr="00507002">
        <w:rPr>
          <w:rFonts w:ascii="Times New Roman" w:eastAsia="Times New Roman" w:hAnsi="Times New Roman" w:cs="Times New Roman"/>
          <w:color w:val="auto"/>
          <w:sz w:val="24"/>
          <w:szCs w:val="24"/>
        </w:rPr>
        <w:t xml:space="preserve"> </w:t>
      </w:r>
      <w:r w:rsidRPr="00507002">
        <w:rPr>
          <w:rFonts w:ascii="Times New Roman" w:eastAsia="Times New Roman" w:hAnsi="Times New Roman" w:cs="Times New Roman"/>
          <w:color w:val="auto"/>
          <w:sz w:val="24"/>
          <w:szCs w:val="24"/>
        </w:rPr>
        <w:t>(</w:t>
      </w:r>
      <w:proofErr w:type="spellStart"/>
      <w:r w:rsidRPr="00507002">
        <w:rPr>
          <w:rFonts w:ascii="Times New Roman" w:eastAsia="Times New Roman" w:hAnsi="Times New Roman" w:cs="Times New Roman"/>
          <w:color w:val="auto"/>
          <w:sz w:val="24"/>
          <w:szCs w:val="24"/>
        </w:rPr>
        <w:t>if</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recalculation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was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already</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done</w:t>
      </w:r>
      <w:proofErr w:type="spellEnd"/>
      <w:r w:rsidRPr="00507002">
        <w:rPr>
          <w:rFonts w:ascii="Times New Roman" w:eastAsia="Times New Roman" w:hAnsi="Times New Roman" w:cs="Times New Roman"/>
          <w:color w:val="auto"/>
          <w:sz w:val="24"/>
          <w:szCs w:val="24"/>
        </w:rPr>
        <w:t xml:space="preserve"> </w:t>
      </w:r>
      <w:r w:rsidRPr="00507002">
        <w:rPr>
          <w:rFonts w:ascii="Times New Roman" w:eastAsia="Garamond"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after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last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recalculation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date</w:t>
      </w:r>
      <w:proofErr w:type="spellEnd"/>
      <w:r w:rsidRPr="00507002">
        <w:rPr>
          <w:rFonts w:ascii="Times New Roman" w:eastAsia="Times New Roman" w:hAnsi="Times New Roman" w:cs="Times New Roman"/>
          <w:color w:val="auto"/>
          <w:sz w:val="24"/>
          <w:szCs w:val="24"/>
        </w:rPr>
        <w:t>).</w:t>
      </w:r>
      <w:proofErr w:type="spellStart"/>
      <w:r w:rsidRPr="00507002">
        <w:rPr>
          <w:rFonts w:ascii="Times New Roman" w:eastAsia="Times New Roman" w:hAnsi="Times New Roman" w:cs="Times New Roman"/>
          <w:color w:val="auto"/>
          <w:sz w:val="24"/>
          <w:szCs w:val="24"/>
        </w:rPr>
        <w:t>Whilst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recalculating</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rates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Contract</w:t>
      </w:r>
      <w:proofErr w:type="spellEnd"/>
      <w:r w:rsidRPr="00507002">
        <w:rPr>
          <w:rFonts w:ascii="Times New Roman" w:eastAsia="Times New Roman" w:hAnsi="Times New Roman" w:cs="Times New Roman"/>
          <w:color w:val="auto"/>
          <w:sz w:val="24"/>
          <w:szCs w:val="24"/>
        </w:rPr>
        <w:t xml:space="preserve"> parties </w:t>
      </w:r>
      <w:proofErr w:type="spellStart"/>
      <w:r w:rsidRPr="00507002">
        <w:rPr>
          <w:rFonts w:ascii="Times New Roman" w:eastAsia="Times New Roman" w:hAnsi="Times New Roman" w:cs="Times New Roman"/>
          <w:color w:val="auto"/>
          <w:sz w:val="24"/>
          <w:szCs w:val="24"/>
        </w:rPr>
        <w:t>follow</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European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Union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Statistical</w:t>
      </w:r>
      <w:proofErr w:type="spellEnd"/>
      <w:r w:rsidRPr="00507002">
        <w:rPr>
          <w:rFonts w:ascii="Times New Roman" w:eastAsia="Times New Roman" w:hAnsi="Times New Roman" w:cs="Times New Roman"/>
          <w:color w:val="auto"/>
          <w:sz w:val="24"/>
          <w:szCs w:val="24"/>
        </w:rPr>
        <w:t xml:space="preserve"> Office (EUROSTAT) </w:t>
      </w:r>
      <w:proofErr w:type="spellStart"/>
      <w:r w:rsidRPr="00507002">
        <w:rPr>
          <w:rFonts w:ascii="Times New Roman" w:eastAsia="Times New Roman" w:hAnsi="Times New Roman" w:cs="Times New Roman"/>
          <w:color w:val="auto"/>
          <w:sz w:val="24"/>
          <w:szCs w:val="24"/>
        </w:rPr>
        <w:t>public</w:t>
      </w:r>
      <w:proofErr w:type="spellEnd"/>
      <w:r w:rsidRPr="00507002">
        <w:rPr>
          <w:rFonts w:ascii="Times New Roman" w:eastAsia="Times New Roman" w:hAnsi="Times New Roman" w:cs="Times New Roman"/>
          <w:color w:val="auto"/>
          <w:sz w:val="24"/>
          <w:szCs w:val="24"/>
        </w:rPr>
        <w:t xml:space="preserve"> data, </w:t>
      </w:r>
      <w:proofErr w:type="spellStart"/>
      <w:r w:rsidRPr="00507002">
        <w:rPr>
          <w:rFonts w:ascii="Times New Roman" w:eastAsia="Times New Roman" w:hAnsi="Times New Roman" w:cs="Times New Roman"/>
          <w:color w:val="auto"/>
          <w:sz w:val="24"/>
          <w:szCs w:val="24"/>
        </w:rPr>
        <w:t>without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requesting</w:t>
      </w:r>
      <w:proofErr w:type="spellEnd"/>
      <w:r w:rsidRPr="00507002">
        <w:rPr>
          <w:rFonts w:ascii="Times New Roman" w:eastAsia="Times New Roman" w:hAnsi="Times New Roman" w:cs="Times New Roman"/>
          <w:color w:val="auto"/>
          <w:sz w:val="24"/>
          <w:szCs w:val="24"/>
        </w:rPr>
        <w:t xml:space="preserve"> to </w:t>
      </w:r>
      <w:proofErr w:type="spellStart"/>
      <w:r w:rsidRPr="00507002">
        <w:rPr>
          <w:rFonts w:ascii="Times New Roman" w:eastAsia="Times New Roman" w:hAnsi="Times New Roman" w:cs="Times New Roman"/>
          <w:color w:val="auto"/>
          <w:sz w:val="24"/>
          <w:szCs w:val="24"/>
        </w:rPr>
        <w:t>provide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official</w:t>
      </w:r>
      <w:proofErr w:type="spellEnd"/>
      <w:r w:rsidRPr="00507002">
        <w:rPr>
          <w:rFonts w:ascii="Times New Roman" w:eastAsia="Times New Roman" w:hAnsi="Times New Roman" w:cs="Times New Roman"/>
          <w:color w:val="auto"/>
          <w:sz w:val="24"/>
          <w:szCs w:val="24"/>
        </w:rPr>
        <w:t xml:space="preserve"> EUROSTAT </w:t>
      </w:r>
      <w:proofErr w:type="spellStart"/>
      <w:r w:rsidRPr="00507002">
        <w:rPr>
          <w:rFonts w:ascii="Times New Roman" w:eastAsia="Times New Roman" w:hAnsi="Times New Roman" w:cs="Times New Roman"/>
          <w:color w:val="auto"/>
          <w:sz w:val="24"/>
          <w:szCs w:val="24"/>
        </w:rPr>
        <w:t>or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other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institution</w:t>
      </w:r>
      <w:r w:rsidRPr="00507002">
        <w:rPr>
          <w:rFonts w:ascii="Times New Roman" w:eastAsia="Garamond" w:hAnsi="Times New Roman" w:cs="Times New Roman"/>
          <w:color w:val="auto"/>
          <w:sz w:val="24"/>
          <w:szCs w:val="24"/>
        </w:rPr>
        <w:t>'</w:t>
      </w:r>
      <w:r w:rsidRPr="00507002">
        <w:rPr>
          <w:rFonts w:ascii="Times New Roman" w:eastAsia="Times New Roman" w:hAnsi="Times New Roman" w:cs="Times New Roman"/>
          <w:color w:val="auto"/>
          <w:sz w:val="24"/>
          <w:szCs w:val="24"/>
        </w:rPr>
        <w:t>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issued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document</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from</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other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Party</w:t>
      </w:r>
      <w:proofErr w:type="spellEnd"/>
      <w:r w:rsidRPr="00507002">
        <w:rPr>
          <w:rFonts w:ascii="Times New Roman" w:eastAsia="Times New Roman" w:hAnsi="Times New Roman" w:cs="Times New Roman"/>
          <w:color w:val="auto"/>
          <w:sz w:val="24"/>
          <w:szCs w:val="24"/>
        </w:rPr>
        <w:t>.</w:t>
      </w:r>
    </w:p>
    <w:p w14:paraId="3757C3C2" w14:textId="0A6F1D09" w:rsidR="00B07D9E" w:rsidRPr="00507002" w:rsidRDefault="003A35B5" w:rsidP="00B07D9E">
      <w:pPr>
        <w:spacing w:before="27" w:line="305" w:lineRule="exact"/>
        <w:ind w:firstLine="864"/>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6</w:t>
      </w:r>
      <w:r w:rsidR="00B07D9E" w:rsidRPr="00507002">
        <w:rPr>
          <w:rFonts w:ascii="Times New Roman" w:eastAsia="Times New Roman" w:hAnsi="Times New Roman" w:cs="Times New Roman"/>
          <w:color w:val="auto"/>
          <w:sz w:val="24"/>
          <w:szCs w:val="24"/>
        </w:rPr>
        <w:t xml:space="preserve">.1. Parties </w:t>
      </w:r>
      <w:proofErr w:type="spellStart"/>
      <w:r w:rsidR="00B07D9E" w:rsidRPr="00507002">
        <w:rPr>
          <w:rFonts w:ascii="Times New Roman" w:eastAsia="Times New Roman" w:hAnsi="Times New Roman" w:cs="Times New Roman"/>
          <w:color w:val="auto"/>
          <w:sz w:val="24"/>
          <w:szCs w:val="24"/>
        </w:rPr>
        <w:t>in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Agreement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shall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provide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index</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value</w:t>
      </w:r>
      <w:proofErr w:type="spellEnd"/>
      <w:r w:rsidR="00B07D9E" w:rsidRPr="00507002">
        <w:rPr>
          <w:rFonts w:ascii="Times New Roman" w:eastAsia="Times New Roman" w:hAnsi="Times New Roman" w:cs="Times New Roman"/>
          <w:color w:val="auto"/>
          <w:sz w:val="24"/>
          <w:szCs w:val="24"/>
        </w:rPr>
        <w:t xml:space="preserve"> at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beginning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term</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setting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date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index</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value</w:t>
      </w:r>
      <w:proofErr w:type="spellEnd"/>
      <w:r w:rsidR="00B07D9E" w:rsidRPr="00507002">
        <w:rPr>
          <w:rFonts w:ascii="Times New Roman" w:eastAsia="Times New Roman" w:hAnsi="Times New Roman" w:cs="Times New Roman"/>
          <w:color w:val="auto"/>
          <w:sz w:val="24"/>
          <w:szCs w:val="24"/>
        </w:rPr>
        <w:t xml:space="preserve"> at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ending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term</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setting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date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price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change</w:t>
      </w:r>
      <w:proofErr w:type="spellEnd"/>
      <w:r w:rsidR="00B07D9E" w:rsidRPr="00507002">
        <w:rPr>
          <w:rFonts w:ascii="Times New Roman" w:eastAsia="Times New Roman" w:hAnsi="Times New Roman" w:cs="Times New Roman"/>
          <w:color w:val="auto"/>
          <w:sz w:val="24"/>
          <w:szCs w:val="24"/>
        </w:rPr>
        <w:t xml:space="preserve"> (k), </w:t>
      </w:r>
      <w:proofErr w:type="spellStart"/>
      <w:r w:rsidR="00B07D9E" w:rsidRPr="00507002">
        <w:rPr>
          <w:rFonts w:ascii="Times New Roman" w:eastAsia="Times New Roman" w:hAnsi="Times New Roman" w:cs="Times New Roman"/>
          <w:color w:val="auto"/>
          <w:sz w:val="24"/>
          <w:szCs w:val="24"/>
        </w:rPr>
        <w:t>recalculated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rates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initial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contract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value</w:t>
      </w:r>
      <w:proofErr w:type="spellEnd"/>
      <w:r w:rsidR="00B07D9E" w:rsidRPr="00507002">
        <w:rPr>
          <w:rFonts w:ascii="Times New Roman" w:eastAsia="Times New Roman" w:hAnsi="Times New Roman" w:cs="Times New Roman"/>
          <w:color w:val="auto"/>
          <w:sz w:val="24"/>
          <w:szCs w:val="24"/>
        </w:rPr>
        <w:t>.</w:t>
      </w:r>
    </w:p>
    <w:p w14:paraId="3CFDB215" w14:textId="6402B76A" w:rsidR="00B07D9E" w:rsidRPr="00507002" w:rsidRDefault="003A35B5" w:rsidP="00B07D9E">
      <w:pPr>
        <w:spacing w:before="61" w:line="303" w:lineRule="exact"/>
        <w:ind w:firstLine="864"/>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6</w:t>
      </w:r>
      <w:r w:rsidR="00B07D9E" w:rsidRPr="00507002">
        <w:rPr>
          <w:rFonts w:ascii="Times New Roman" w:eastAsia="Times New Roman" w:hAnsi="Times New Roman" w:cs="Times New Roman"/>
          <w:color w:val="auto"/>
          <w:sz w:val="24"/>
          <w:szCs w:val="24"/>
        </w:rPr>
        <w:t>.</w:t>
      </w:r>
      <w:r w:rsidRPr="00507002">
        <w:rPr>
          <w:rFonts w:ascii="Times New Roman" w:eastAsia="Times New Roman" w:hAnsi="Times New Roman" w:cs="Times New Roman"/>
          <w:color w:val="auto"/>
          <w:sz w:val="24"/>
          <w:szCs w:val="24"/>
        </w:rPr>
        <w:t>2</w:t>
      </w:r>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rates</w:t>
      </w:r>
      <w:proofErr w:type="spellEnd"/>
      <w:r w:rsidR="00B07D9E" w:rsidRPr="00507002">
        <w:rPr>
          <w:rFonts w:ascii="Times New Roman" w:eastAsia="Times New Roman" w:hAnsi="Times New Roman" w:cs="Times New Roman"/>
          <w:color w:val="auto"/>
          <w:sz w:val="24"/>
          <w:szCs w:val="24"/>
        </w:rPr>
        <w:t xml:space="preserve"> are </w:t>
      </w:r>
      <w:proofErr w:type="spellStart"/>
      <w:r w:rsidR="00B07D9E" w:rsidRPr="00507002">
        <w:rPr>
          <w:rFonts w:ascii="Times New Roman" w:eastAsia="Times New Roman" w:hAnsi="Times New Roman" w:cs="Times New Roman"/>
          <w:color w:val="auto"/>
          <w:sz w:val="24"/>
          <w:szCs w:val="24"/>
        </w:rPr>
        <w:t>only</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applied</w:t>
      </w:r>
      <w:proofErr w:type="spellEnd"/>
      <w:r w:rsidR="00B07D9E" w:rsidRPr="00507002">
        <w:rPr>
          <w:rFonts w:ascii="Times New Roman" w:eastAsia="Times New Roman" w:hAnsi="Times New Roman" w:cs="Times New Roman"/>
          <w:color w:val="auto"/>
          <w:sz w:val="24"/>
          <w:szCs w:val="24"/>
        </w:rPr>
        <w:t xml:space="preserve"> to </w:t>
      </w:r>
      <w:proofErr w:type="spellStart"/>
      <w:r w:rsidR="00B07D9E" w:rsidRPr="00507002">
        <w:rPr>
          <w:rFonts w:ascii="Times New Roman" w:eastAsia="Times New Roman" w:hAnsi="Times New Roman" w:cs="Times New Roman"/>
          <w:color w:val="auto"/>
          <w:sz w:val="24"/>
          <w:szCs w:val="24"/>
        </w:rPr>
        <w:t>works</w:t>
      </w:r>
      <w:proofErr w:type="spellEnd"/>
      <w:r w:rsidR="00B07D9E" w:rsidRPr="00507002">
        <w:rPr>
          <w:rFonts w:ascii="Times New Roman" w:eastAsia="Times New Roman" w:hAnsi="Times New Roman" w:cs="Times New Roman"/>
          <w:color w:val="auto"/>
          <w:sz w:val="24"/>
          <w:szCs w:val="24"/>
        </w:rPr>
        <w:t>/</w:t>
      </w:r>
      <w:proofErr w:type="spellStart"/>
      <w:r w:rsidR="00B07D9E" w:rsidRPr="00507002">
        <w:rPr>
          <w:rFonts w:ascii="Times New Roman" w:eastAsia="Times New Roman" w:hAnsi="Times New Roman" w:cs="Times New Roman"/>
          <w:color w:val="auto"/>
          <w:sz w:val="24"/>
          <w:szCs w:val="24"/>
        </w:rPr>
        <w:t>parts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work</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that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were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performed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after</w:t>
      </w:r>
      <w:proofErr w:type="spellEnd"/>
      <w:r w:rsidR="00B07D9E" w:rsidRPr="00507002">
        <w:rPr>
          <w:rFonts w:ascii="Times New Roman" w:eastAsia="Times New Roman" w:hAnsi="Times New Roman" w:cs="Times New Roman"/>
          <w:color w:val="auto"/>
          <w:sz w:val="24"/>
          <w:szCs w:val="24"/>
        </w:rPr>
        <w:t xml:space="preserve"> Parties </w:t>
      </w:r>
      <w:proofErr w:type="spellStart"/>
      <w:r w:rsidR="00B07D9E" w:rsidRPr="00507002">
        <w:rPr>
          <w:rFonts w:ascii="Times New Roman" w:eastAsia="Times New Roman" w:hAnsi="Times New Roman" w:cs="Times New Roman"/>
          <w:color w:val="auto"/>
          <w:sz w:val="24"/>
          <w:szCs w:val="24"/>
        </w:rPr>
        <w:t>concluded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Agreement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price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change</w:t>
      </w:r>
      <w:proofErr w:type="spellEnd"/>
      <w:r w:rsidR="00B07D9E" w:rsidRPr="00507002">
        <w:rPr>
          <w:rFonts w:ascii="Times New Roman" w:eastAsia="Times New Roman" w:hAnsi="Times New Roman" w:cs="Times New Roman"/>
          <w:color w:val="auto"/>
          <w:sz w:val="24"/>
          <w:szCs w:val="24"/>
        </w:rPr>
        <w:t>.</w:t>
      </w:r>
    </w:p>
    <w:p w14:paraId="6BA5A9D7" w14:textId="4D9FEA1A" w:rsidR="00B07D9E" w:rsidRPr="00507002" w:rsidRDefault="008773E8" w:rsidP="00B07D9E">
      <w:pPr>
        <w:spacing w:before="93" w:line="272" w:lineRule="exact"/>
        <w:ind w:left="864"/>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6</w:t>
      </w:r>
      <w:r w:rsidR="00B07D9E" w:rsidRPr="00507002">
        <w:rPr>
          <w:rFonts w:ascii="Times New Roman" w:eastAsia="Times New Roman" w:hAnsi="Times New Roman" w:cs="Times New Roman"/>
          <w:color w:val="auto"/>
          <w:sz w:val="24"/>
          <w:szCs w:val="24"/>
        </w:rPr>
        <w:t>.</w:t>
      </w:r>
      <w:r w:rsidRPr="00507002">
        <w:rPr>
          <w:rFonts w:ascii="Times New Roman" w:eastAsia="Times New Roman" w:hAnsi="Times New Roman" w:cs="Times New Roman"/>
          <w:color w:val="auto"/>
          <w:sz w:val="24"/>
          <w:szCs w:val="24"/>
        </w:rPr>
        <w:t>3</w:t>
      </w:r>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New</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rates</w:t>
      </w:r>
      <w:proofErr w:type="spellEnd"/>
      <w:r w:rsidR="00B07D9E" w:rsidRPr="00507002">
        <w:rPr>
          <w:rFonts w:ascii="Times New Roman" w:eastAsia="Times New Roman" w:hAnsi="Times New Roman" w:cs="Times New Roman"/>
          <w:color w:val="auto"/>
          <w:sz w:val="24"/>
          <w:szCs w:val="24"/>
        </w:rPr>
        <w:t xml:space="preserve"> are </w:t>
      </w:r>
      <w:proofErr w:type="spellStart"/>
      <w:r w:rsidR="00B07D9E" w:rsidRPr="00507002">
        <w:rPr>
          <w:rFonts w:ascii="Times New Roman" w:eastAsia="Times New Roman" w:hAnsi="Times New Roman" w:cs="Times New Roman"/>
          <w:color w:val="auto"/>
          <w:sz w:val="24"/>
          <w:szCs w:val="24"/>
        </w:rPr>
        <w:t>calculated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by</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using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formula</w:t>
      </w:r>
      <w:proofErr w:type="spellEnd"/>
      <w:r w:rsidR="00B07D9E" w:rsidRPr="00507002">
        <w:rPr>
          <w:rFonts w:ascii="Times New Roman" w:eastAsia="Times New Roman" w:hAnsi="Times New Roman" w:cs="Times New Roman"/>
          <w:color w:val="auto"/>
          <w:sz w:val="24"/>
          <w:szCs w:val="24"/>
        </w:rPr>
        <w:t>:</w:t>
      </w:r>
    </w:p>
    <w:p w14:paraId="02A5FEAB" w14:textId="397DFD5D" w:rsidR="00E12291" w:rsidRPr="00507002" w:rsidRDefault="00000000" w:rsidP="00E12291">
      <w:pPr>
        <w:pStyle w:val="Sraopastraipa"/>
        <w:tabs>
          <w:tab w:val="left" w:pos="1134"/>
        </w:tabs>
        <w:spacing w:after="0" w:line="264" w:lineRule="auto"/>
        <w:ind w:left="0" w:firstLine="851"/>
        <w:jc w:val="both"/>
        <w:rPr>
          <w:rFonts w:ascii="Times New Roman" w:eastAsia="Times New Roman" w:hAnsi="Times New Roman" w:cs="Times New Roman"/>
          <w:spacing w:val="5"/>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E12291" w:rsidRPr="00507002">
        <w:rPr>
          <w:rFonts w:ascii="Times New Roman" w:hAnsi="Times New Roman" w:cs="Times New Roman"/>
          <w:sz w:val="24"/>
          <w:szCs w:val="24"/>
        </w:rPr>
        <w:t xml:space="preserve">, </w:t>
      </w:r>
      <w:proofErr w:type="spellStart"/>
      <w:r w:rsidR="00B07D9E" w:rsidRPr="00507002">
        <w:rPr>
          <w:rFonts w:ascii="Times New Roman" w:eastAsia="Times New Roman" w:hAnsi="Times New Roman" w:cs="Times New Roman"/>
          <w:spacing w:val="5"/>
          <w:sz w:val="24"/>
          <w:szCs w:val="24"/>
        </w:rPr>
        <w:t>where</w:t>
      </w:r>
      <w:proofErr w:type="spellEnd"/>
    </w:p>
    <w:p w14:paraId="3B37BBD4" w14:textId="72C14632" w:rsidR="00B07D9E" w:rsidRPr="00507002" w:rsidRDefault="007E134D" w:rsidP="007E134D">
      <w:pPr>
        <w:pStyle w:val="Sraopastraipa"/>
        <w:tabs>
          <w:tab w:val="left" w:pos="1134"/>
        </w:tabs>
        <w:spacing w:after="0" w:line="264" w:lineRule="auto"/>
        <w:ind w:left="0" w:firstLine="851"/>
        <w:jc w:val="both"/>
        <w:rPr>
          <w:rFonts w:ascii="Times New Roman" w:hAnsi="Times New Roman" w:cs="Times New Roman"/>
          <w:sz w:val="24"/>
          <w:szCs w:val="24"/>
        </w:rPr>
      </w:pPr>
      <w:r w:rsidRPr="00507002">
        <w:rPr>
          <w:rFonts w:ascii="Times New Roman" w:eastAsia="Times New Roman" w:hAnsi="Times New Roman" w:cs="Times New Roman"/>
          <w:spacing w:val="5"/>
          <w:sz w:val="24"/>
          <w:szCs w:val="24"/>
        </w:rPr>
        <w:t>a</w:t>
      </w:r>
      <w:r w:rsidR="00B07D9E" w:rsidRPr="00507002">
        <w:rPr>
          <w:rFonts w:ascii="Times New Roman" w:eastAsia="Times New Roman" w:hAnsi="Times New Roman" w:cs="Times New Roman"/>
          <w:spacing w:val="5"/>
          <w:sz w:val="24"/>
          <w:szCs w:val="24"/>
        </w:rPr>
        <w:t xml:space="preserve"> </w:t>
      </w:r>
      <w:r w:rsidR="00B07D9E" w:rsidRPr="00507002">
        <w:rPr>
          <w:rFonts w:ascii="Times New Roman" w:eastAsia="Garamond" w:hAnsi="Times New Roman" w:cs="Times New Roman"/>
          <w:spacing w:val="5"/>
          <w:sz w:val="24"/>
          <w:szCs w:val="24"/>
        </w:rPr>
        <w:t xml:space="preserve">- </w:t>
      </w:r>
      <w:r w:rsidR="00B07D9E" w:rsidRPr="00507002">
        <w:rPr>
          <w:rFonts w:ascii="Times New Roman" w:eastAsia="Times New Roman" w:hAnsi="Times New Roman" w:cs="Times New Roman"/>
          <w:spacing w:val="5"/>
          <w:sz w:val="24"/>
          <w:szCs w:val="24"/>
        </w:rPr>
        <w:t xml:space="preserve">rate (Eur, VAT </w:t>
      </w:r>
      <w:proofErr w:type="spellStart"/>
      <w:r w:rsidR="00B07D9E" w:rsidRPr="00507002">
        <w:rPr>
          <w:rFonts w:ascii="Times New Roman" w:eastAsia="Times New Roman" w:hAnsi="Times New Roman" w:cs="Times New Roman"/>
          <w:spacing w:val="5"/>
          <w:sz w:val="24"/>
          <w:szCs w:val="24"/>
        </w:rPr>
        <w:t>excluded</w:t>
      </w:r>
      <w:proofErr w:type="spellEnd"/>
      <w:r w:rsidR="00B07D9E" w:rsidRPr="00507002">
        <w:rPr>
          <w:rFonts w:ascii="Times New Roman" w:eastAsia="Times New Roman" w:hAnsi="Times New Roman" w:cs="Times New Roman"/>
          <w:spacing w:val="5"/>
          <w:sz w:val="24"/>
          <w:szCs w:val="24"/>
        </w:rPr>
        <w:t>) (</w:t>
      </w:r>
      <w:proofErr w:type="spellStart"/>
      <w:r w:rsidR="00B07D9E" w:rsidRPr="00507002">
        <w:rPr>
          <w:rFonts w:ascii="Times New Roman" w:eastAsia="Times New Roman" w:hAnsi="Times New Roman" w:cs="Times New Roman"/>
          <w:spacing w:val="5"/>
          <w:sz w:val="24"/>
          <w:szCs w:val="24"/>
        </w:rPr>
        <w:t>if</w:t>
      </w:r>
      <w:proofErr w:type="spellEnd"/>
      <w:r w:rsidR="00B07D9E" w:rsidRPr="00507002">
        <w:rPr>
          <w:rFonts w:ascii="Times New Roman" w:eastAsia="Times New Roman" w:hAnsi="Times New Roman" w:cs="Times New Roman"/>
          <w:spacing w:val="5"/>
          <w:sz w:val="24"/>
          <w:szCs w:val="24"/>
        </w:rPr>
        <w:t xml:space="preserve"> it </w:t>
      </w:r>
      <w:proofErr w:type="spellStart"/>
      <w:r w:rsidR="00B07D9E" w:rsidRPr="00507002">
        <w:rPr>
          <w:rFonts w:ascii="Times New Roman" w:eastAsia="Times New Roman" w:hAnsi="Times New Roman" w:cs="Times New Roman"/>
          <w:spacing w:val="5"/>
          <w:sz w:val="24"/>
          <w:szCs w:val="24"/>
        </w:rPr>
        <w:t>was</w:t>
      </w:r>
      <w:proofErr w:type="spellEnd"/>
      <w:r w:rsidR="00B07D9E" w:rsidRPr="00507002">
        <w:rPr>
          <w:rFonts w:ascii="Times New Roman" w:eastAsia="Times New Roman" w:hAnsi="Times New Roman" w:cs="Times New Roman"/>
          <w:spacing w:val="5"/>
          <w:sz w:val="24"/>
          <w:szCs w:val="24"/>
        </w:rPr>
        <w:t xml:space="preserve"> </w:t>
      </w:r>
      <w:proofErr w:type="spellStart"/>
      <w:r w:rsidR="00B07D9E" w:rsidRPr="00507002">
        <w:rPr>
          <w:rFonts w:ascii="Times New Roman" w:eastAsia="Times New Roman" w:hAnsi="Times New Roman" w:cs="Times New Roman"/>
          <w:spacing w:val="5"/>
          <w:sz w:val="24"/>
          <w:szCs w:val="24"/>
        </w:rPr>
        <w:t>already</w:t>
      </w:r>
      <w:proofErr w:type="spellEnd"/>
      <w:r w:rsidR="00B07D9E" w:rsidRPr="00507002">
        <w:rPr>
          <w:rFonts w:ascii="Times New Roman" w:eastAsia="Times New Roman" w:hAnsi="Times New Roman" w:cs="Times New Roman"/>
          <w:spacing w:val="5"/>
          <w:sz w:val="24"/>
          <w:szCs w:val="24"/>
        </w:rPr>
        <w:t xml:space="preserve"> </w:t>
      </w:r>
      <w:proofErr w:type="spellStart"/>
      <w:r w:rsidR="00B07D9E" w:rsidRPr="00507002">
        <w:rPr>
          <w:rFonts w:ascii="Times New Roman" w:eastAsia="Times New Roman" w:hAnsi="Times New Roman" w:cs="Times New Roman"/>
          <w:spacing w:val="5"/>
          <w:sz w:val="24"/>
          <w:szCs w:val="24"/>
        </w:rPr>
        <w:t>recalculated</w:t>
      </w:r>
      <w:proofErr w:type="spellEnd"/>
      <w:r w:rsidR="00B07D9E" w:rsidRPr="00507002">
        <w:rPr>
          <w:rFonts w:ascii="Times New Roman" w:eastAsia="Times New Roman" w:hAnsi="Times New Roman" w:cs="Times New Roman"/>
          <w:spacing w:val="5"/>
          <w:sz w:val="24"/>
          <w:szCs w:val="24"/>
        </w:rPr>
        <w:t>,</w:t>
      </w:r>
      <w:r w:rsidRPr="00507002">
        <w:rPr>
          <w:rFonts w:ascii="Times New Roman" w:eastAsia="Times New Roman" w:hAnsi="Times New Roman" w:cs="Times New Roman"/>
          <w:spacing w:val="5"/>
          <w:sz w:val="24"/>
          <w:szCs w:val="24"/>
        </w:rPr>
        <w:t xml:space="preserve"> </w:t>
      </w:r>
      <w:proofErr w:type="spellStart"/>
      <w:r w:rsidR="00B07D9E" w:rsidRPr="00507002">
        <w:rPr>
          <w:rFonts w:ascii="Times New Roman" w:eastAsia="Times New Roman" w:hAnsi="Times New Roman" w:cs="Times New Roman"/>
          <w:sz w:val="24"/>
          <w:szCs w:val="24"/>
        </w:rPr>
        <w:t>last</w:t>
      </w:r>
      <w:proofErr w:type="spellEnd"/>
      <w:r w:rsidR="00B07D9E" w:rsidRPr="00507002">
        <w:rPr>
          <w:rFonts w:ascii="Times New Roman" w:eastAsia="Times New Roman" w:hAnsi="Times New Roman" w:cs="Times New Roman"/>
          <w:sz w:val="24"/>
          <w:szCs w:val="24"/>
        </w:rPr>
        <w:t xml:space="preserve"> </w:t>
      </w:r>
      <w:proofErr w:type="spellStart"/>
      <w:r w:rsidR="00B07D9E" w:rsidRPr="00507002">
        <w:rPr>
          <w:rFonts w:ascii="Times New Roman" w:eastAsia="Times New Roman" w:hAnsi="Times New Roman" w:cs="Times New Roman"/>
          <w:sz w:val="24"/>
          <w:szCs w:val="24"/>
        </w:rPr>
        <w:t>recalculation</w:t>
      </w:r>
      <w:proofErr w:type="spellEnd"/>
      <w:r w:rsidR="00B07D9E" w:rsidRPr="00507002">
        <w:rPr>
          <w:rFonts w:ascii="Times New Roman" w:eastAsia="Times New Roman" w:hAnsi="Times New Roman" w:cs="Times New Roman"/>
          <w:sz w:val="24"/>
          <w:szCs w:val="24"/>
        </w:rPr>
        <w:t>)</w:t>
      </w:r>
    </w:p>
    <w:p w14:paraId="642D9066" w14:textId="77777777" w:rsidR="00B07D9E" w:rsidRPr="00507002" w:rsidRDefault="00B07D9E" w:rsidP="00B07D9E">
      <w:pPr>
        <w:spacing w:before="73" w:line="320" w:lineRule="exact"/>
        <w:ind w:left="864"/>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 xml:space="preserve">a1 </w:t>
      </w:r>
      <w:r w:rsidRPr="00507002">
        <w:rPr>
          <w:rFonts w:ascii="Times New Roman" w:eastAsia="Garamond"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recalculated</w:t>
      </w:r>
      <w:proofErr w:type="spellEnd"/>
      <w:r w:rsidRPr="00507002">
        <w:rPr>
          <w:rFonts w:ascii="Times New Roman" w:eastAsia="Times New Roman" w:hAnsi="Times New Roman" w:cs="Times New Roman"/>
          <w:color w:val="auto"/>
          <w:sz w:val="24"/>
          <w:szCs w:val="24"/>
        </w:rPr>
        <w:t xml:space="preserve"> rate (Eur, VAT </w:t>
      </w:r>
      <w:proofErr w:type="spellStart"/>
      <w:r w:rsidRPr="00507002">
        <w:rPr>
          <w:rFonts w:ascii="Times New Roman" w:eastAsia="Times New Roman" w:hAnsi="Times New Roman" w:cs="Times New Roman"/>
          <w:color w:val="auto"/>
          <w:sz w:val="24"/>
          <w:szCs w:val="24"/>
        </w:rPr>
        <w:t>excluded</w:t>
      </w:r>
      <w:proofErr w:type="spellEnd"/>
      <w:r w:rsidRPr="00507002">
        <w:rPr>
          <w:rFonts w:ascii="Times New Roman" w:eastAsia="Times New Roman" w:hAnsi="Times New Roman" w:cs="Times New Roman"/>
          <w:color w:val="auto"/>
          <w:sz w:val="24"/>
          <w:szCs w:val="24"/>
        </w:rPr>
        <w:t>)</w:t>
      </w:r>
    </w:p>
    <w:p w14:paraId="430997D5" w14:textId="77777777" w:rsidR="00B07D9E" w:rsidRPr="00507002" w:rsidRDefault="00B07D9E" w:rsidP="00B07D9E">
      <w:pPr>
        <w:spacing w:before="55" w:line="305" w:lineRule="exact"/>
        <w:ind w:firstLine="864"/>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 xml:space="preserve">k </w:t>
      </w:r>
      <w:r w:rsidRPr="00507002">
        <w:rPr>
          <w:rFonts w:ascii="Times New Roman" w:eastAsia="Garamond"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Consumer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goods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and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services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price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change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increase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or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decrease</w:t>
      </w:r>
      <w:proofErr w:type="spellEnd"/>
      <w:r w:rsidRPr="00507002">
        <w:rPr>
          <w:rFonts w:ascii="Times New Roman" w:eastAsia="Times New Roman" w:hAnsi="Times New Roman" w:cs="Times New Roman"/>
          <w:color w:val="auto"/>
          <w:sz w:val="24"/>
          <w:szCs w:val="24"/>
        </w:rPr>
        <w:t xml:space="preserve">, %), </w:t>
      </w:r>
      <w:proofErr w:type="spellStart"/>
      <w:r w:rsidRPr="00507002">
        <w:rPr>
          <w:rFonts w:ascii="Times New Roman" w:eastAsia="Times New Roman" w:hAnsi="Times New Roman" w:cs="Times New Roman"/>
          <w:color w:val="auto"/>
          <w:sz w:val="24"/>
          <w:szCs w:val="24"/>
        </w:rPr>
        <w:t>calculated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accordance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with</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Consumer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price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index</w:t>
      </w:r>
      <w:proofErr w:type="spellEnd"/>
      <w:r w:rsidRPr="00507002">
        <w:rPr>
          <w:rFonts w:ascii="Times New Roman" w:eastAsia="Times New Roman" w:hAnsi="Times New Roman" w:cs="Times New Roman"/>
          <w:color w:val="auto"/>
          <w:sz w:val="24"/>
          <w:szCs w:val="24"/>
        </w:rPr>
        <w:t xml:space="preserve"> (</w:t>
      </w:r>
      <w:r w:rsidRPr="00507002">
        <w:rPr>
          <w:rFonts w:ascii="Times New Roman" w:eastAsia="Garamond" w:hAnsi="Times New Roman" w:cs="Times New Roman"/>
          <w:color w:val="auto"/>
          <w:sz w:val="24"/>
          <w:szCs w:val="24"/>
        </w:rPr>
        <w:t>"</w:t>
      </w:r>
      <w:proofErr w:type="spellStart"/>
      <w:r w:rsidRPr="00507002">
        <w:rPr>
          <w:rFonts w:ascii="Times New Roman" w:eastAsia="Times New Roman" w:hAnsi="Times New Roman" w:cs="Times New Roman"/>
          <w:color w:val="auto"/>
          <w:sz w:val="24"/>
          <w:szCs w:val="24"/>
        </w:rPr>
        <w:t>Consumer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goods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and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services</w:t>
      </w:r>
      <w:proofErr w:type="spellEnd"/>
      <w:r w:rsidRPr="00507002">
        <w:rPr>
          <w:rFonts w:ascii="Times New Roman" w:eastAsia="Garamond"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chosen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common</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index</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used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for</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recalculation</w:t>
      </w:r>
      <w:proofErr w:type="spellEnd"/>
      <w:r w:rsidRPr="00507002">
        <w:rPr>
          <w:rFonts w:ascii="Times New Roman" w:eastAsia="Times New Roman" w:hAnsi="Times New Roman" w:cs="Times New Roman"/>
          <w:color w:val="auto"/>
          <w:sz w:val="24"/>
          <w:szCs w:val="24"/>
        </w:rPr>
        <w:t xml:space="preserve">)). </w:t>
      </w:r>
      <w:r w:rsidRPr="00507002">
        <w:rPr>
          <w:rFonts w:ascii="Times New Roman" w:eastAsia="Garamond" w:hAnsi="Times New Roman" w:cs="Times New Roman"/>
          <w:color w:val="auto"/>
          <w:sz w:val="24"/>
          <w:szCs w:val="24"/>
        </w:rPr>
        <w:t>"</w:t>
      </w:r>
      <w:r w:rsidRPr="00507002">
        <w:rPr>
          <w:rFonts w:ascii="Times New Roman" w:eastAsia="Times New Roman" w:hAnsi="Times New Roman" w:cs="Times New Roman"/>
          <w:color w:val="auto"/>
          <w:sz w:val="24"/>
          <w:szCs w:val="24"/>
        </w:rPr>
        <w:t>k</w:t>
      </w:r>
      <w:r w:rsidRPr="00507002">
        <w:rPr>
          <w:rFonts w:ascii="Times New Roman" w:eastAsia="Garamond"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value</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calculated</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by</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using</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this</w:t>
      </w:r>
      <w:proofErr w:type="spellEnd"/>
      <w:r w:rsidRPr="00507002">
        <w:rPr>
          <w:rFonts w:ascii="Times New Roman" w:eastAsia="Times New Roman" w:hAnsi="Times New Roman" w:cs="Times New Roman"/>
          <w:color w:val="auto"/>
          <w:sz w:val="24"/>
          <w:szCs w:val="24"/>
        </w:rPr>
        <w:t xml:space="preserve"> </w:t>
      </w:r>
      <w:proofErr w:type="spellStart"/>
      <w:r w:rsidRPr="00507002">
        <w:rPr>
          <w:rFonts w:ascii="Times New Roman" w:eastAsia="Times New Roman" w:hAnsi="Times New Roman" w:cs="Times New Roman"/>
          <w:color w:val="auto"/>
          <w:sz w:val="24"/>
          <w:szCs w:val="24"/>
        </w:rPr>
        <w:t>formula</w:t>
      </w:r>
      <w:proofErr w:type="spellEnd"/>
      <w:r w:rsidRPr="00507002">
        <w:rPr>
          <w:rFonts w:ascii="Times New Roman" w:eastAsia="Times New Roman" w:hAnsi="Times New Roman" w:cs="Times New Roman"/>
          <w:color w:val="auto"/>
          <w:sz w:val="24"/>
          <w:szCs w:val="24"/>
        </w:rPr>
        <w:t>:</w:t>
      </w:r>
    </w:p>
    <w:p w14:paraId="3C5517CE" w14:textId="7881B299" w:rsidR="00BB5404" w:rsidRPr="00507002" w:rsidRDefault="00BB5404" w:rsidP="0049152F">
      <w:pPr>
        <w:pStyle w:val="Sraopastraipa"/>
        <w:tabs>
          <w:tab w:val="left" w:pos="1134"/>
        </w:tabs>
        <w:spacing w:after="0" w:line="264" w:lineRule="auto"/>
        <w:ind w:left="0" w:firstLine="851"/>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507002">
        <w:rPr>
          <w:rFonts w:ascii="Times New Roman" w:hAnsi="Times New Roman" w:cs="Times New Roman"/>
          <w:sz w:val="24"/>
          <w:szCs w:val="24"/>
        </w:rPr>
        <w:t xml:space="preserve">, </w:t>
      </w:r>
      <w:r w:rsidR="0049152F" w:rsidRPr="00507002">
        <w:rPr>
          <w:rFonts w:ascii="Times New Roman" w:hAnsi="Times New Roman" w:cs="Times New Roman"/>
          <w:sz w:val="24"/>
          <w:szCs w:val="24"/>
          <w:lang w:val="en-US"/>
        </w:rPr>
        <w:t>(%)</w:t>
      </w:r>
      <w:r w:rsidR="00E63781" w:rsidRPr="00507002">
        <w:rPr>
          <w:rFonts w:ascii="Times New Roman" w:hAnsi="Times New Roman" w:cs="Times New Roman"/>
          <w:sz w:val="24"/>
          <w:szCs w:val="24"/>
          <w:lang w:val="en-US"/>
        </w:rPr>
        <w:t xml:space="preserve">, </w:t>
      </w:r>
      <w:proofErr w:type="spellStart"/>
      <w:r w:rsidR="0049152F" w:rsidRPr="00507002">
        <w:rPr>
          <w:rFonts w:ascii="Times New Roman" w:hAnsi="Times New Roman" w:cs="Times New Roman"/>
          <w:sz w:val="24"/>
          <w:szCs w:val="24"/>
        </w:rPr>
        <w:t>where</w:t>
      </w:r>
      <w:proofErr w:type="spellEnd"/>
    </w:p>
    <w:p w14:paraId="3323FF92" w14:textId="52D3F21B" w:rsidR="00B07D9E" w:rsidRPr="00507002" w:rsidRDefault="007403A0" w:rsidP="007403A0">
      <w:pPr>
        <w:spacing w:before="54" w:line="305" w:lineRule="exact"/>
        <w:ind w:firstLine="864"/>
        <w:jc w:val="both"/>
        <w:textAlignment w:val="baseline"/>
        <w:rPr>
          <w:rFonts w:ascii="Times New Roman" w:eastAsia="Times New Roman" w:hAnsi="Times New Roman" w:cs="Times New Roman"/>
          <w:color w:val="auto"/>
          <w:spacing w:val="2"/>
          <w:sz w:val="24"/>
          <w:szCs w:val="24"/>
        </w:rPr>
      </w:pPr>
      <w:proofErr w:type="spellStart"/>
      <w:r w:rsidRPr="00507002">
        <w:rPr>
          <w:rFonts w:ascii="Times New Roman" w:eastAsia="Times New Roman" w:hAnsi="Times New Roman" w:cs="Times New Roman"/>
          <w:color w:val="auto"/>
          <w:spacing w:val="2"/>
          <w:sz w:val="24"/>
          <w:szCs w:val="24"/>
        </w:rPr>
        <w:t>Ind</w:t>
      </w:r>
      <w:r w:rsidRPr="00507002">
        <w:rPr>
          <w:rFonts w:ascii="Times New Roman" w:eastAsia="Times New Roman" w:hAnsi="Times New Roman" w:cs="Times New Roman"/>
          <w:color w:val="auto"/>
          <w:spacing w:val="2"/>
          <w:sz w:val="24"/>
          <w:szCs w:val="24"/>
          <w:vertAlign w:val="subscript"/>
        </w:rPr>
        <w:t>naujausias</w:t>
      </w:r>
      <w:proofErr w:type="spellEnd"/>
      <w:r w:rsidR="00B07D9E" w:rsidRPr="00507002">
        <w:rPr>
          <w:rFonts w:ascii="Times New Roman" w:eastAsia="Times New Roman" w:hAnsi="Times New Roman" w:cs="Times New Roman"/>
          <w:color w:val="auto"/>
          <w:spacing w:val="2"/>
          <w:sz w:val="24"/>
          <w:szCs w:val="24"/>
        </w:rPr>
        <w:t xml:space="preserve"> </w:t>
      </w:r>
      <w:r w:rsidR="00B07D9E" w:rsidRPr="00507002">
        <w:rPr>
          <w:rFonts w:ascii="Times New Roman" w:eastAsia="Garamond"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newest</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published</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Consumer</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goods</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and</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services</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index</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on</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the</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day</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of</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application</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for</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price</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recalculation</w:t>
      </w:r>
      <w:proofErr w:type="spellEnd"/>
      <w:r w:rsidR="00B07D9E" w:rsidRPr="00507002">
        <w:rPr>
          <w:rFonts w:ascii="Times New Roman" w:eastAsia="Times New Roman" w:hAnsi="Times New Roman" w:cs="Times New Roman"/>
          <w:color w:val="auto"/>
          <w:spacing w:val="2"/>
          <w:sz w:val="24"/>
          <w:szCs w:val="24"/>
        </w:rPr>
        <w:t xml:space="preserve"> to </w:t>
      </w:r>
      <w:proofErr w:type="spellStart"/>
      <w:r w:rsidR="00B07D9E" w:rsidRPr="00507002">
        <w:rPr>
          <w:rFonts w:ascii="Times New Roman" w:eastAsia="Times New Roman" w:hAnsi="Times New Roman" w:cs="Times New Roman"/>
          <w:color w:val="auto"/>
          <w:spacing w:val="2"/>
          <w:sz w:val="24"/>
          <w:szCs w:val="24"/>
        </w:rPr>
        <w:t>the</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other</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Party</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Common</w:t>
      </w:r>
      <w:proofErr w:type="spellEnd"/>
      <w:r w:rsidR="00B07D9E" w:rsidRPr="00507002">
        <w:rPr>
          <w:rFonts w:ascii="Times New Roman" w:eastAsia="Times New Roman" w:hAnsi="Times New Roman" w:cs="Times New Roman"/>
          <w:color w:val="auto"/>
          <w:spacing w:val="2"/>
          <w:sz w:val="24"/>
          <w:szCs w:val="24"/>
        </w:rPr>
        <w:t xml:space="preserve"> </w:t>
      </w:r>
      <w:r w:rsidR="00B07D9E" w:rsidRPr="00507002">
        <w:rPr>
          <w:rFonts w:ascii="Times New Roman" w:eastAsia="Garamond" w:hAnsi="Times New Roman" w:cs="Times New Roman"/>
          <w:color w:val="auto"/>
          <w:spacing w:val="2"/>
          <w:sz w:val="24"/>
          <w:szCs w:val="24"/>
        </w:rPr>
        <w:t>"</w:t>
      </w:r>
      <w:proofErr w:type="spellStart"/>
      <w:r w:rsidR="00B07D9E" w:rsidRPr="00507002">
        <w:rPr>
          <w:rFonts w:ascii="Times New Roman" w:eastAsia="Times New Roman" w:hAnsi="Times New Roman" w:cs="Times New Roman"/>
          <w:color w:val="auto"/>
          <w:spacing w:val="2"/>
          <w:sz w:val="24"/>
          <w:szCs w:val="24"/>
        </w:rPr>
        <w:t>Consumer</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goods</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and</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services</w:t>
      </w:r>
      <w:proofErr w:type="spellEnd"/>
      <w:r w:rsidR="00B07D9E" w:rsidRPr="00507002">
        <w:rPr>
          <w:rFonts w:ascii="Times New Roman" w:eastAsia="Garamond"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is</w:t>
      </w:r>
      <w:proofErr w:type="spellEnd"/>
      <w:r w:rsidR="00B07D9E" w:rsidRPr="00507002">
        <w:rPr>
          <w:rFonts w:ascii="Times New Roman" w:eastAsia="Times New Roman" w:hAnsi="Times New Roman" w:cs="Times New Roman"/>
          <w:color w:val="auto"/>
          <w:spacing w:val="2"/>
          <w:sz w:val="24"/>
          <w:szCs w:val="24"/>
        </w:rPr>
        <w:t xml:space="preserve"> </w:t>
      </w:r>
      <w:proofErr w:type="spellStart"/>
      <w:r w:rsidR="00B07D9E" w:rsidRPr="00507002">
        <w:rPr>
          <w:rFonts w:ascii="Times New Roman" w:eastAsia="Times New Roman" w:hAnsi="Times New Roman" w:cs="Times New Roman"/>
          <w:color w:val="auto"/>
          <w:spacing w:val="2"/>
          <w:sz w:val="24"/>
          <w:szCs w:val="24"/>
        </w:rPr>
        <w:t>chosen</w:t>
      </w:r>
      <w:proofErr w:type="spellEnd"/>
      <w:r w:rsidR="00B07D9E" w:rsidRPr="00507002">
        <w:rPr>
          <w:rFonts w:ascii="Times New Roman" w:eastAsia="Times New Roman" w:hAnsi="Times New Roman" w:cs="Times New Roman"/>
          <w:color w:val="auto"/>
          <w:spacing w:val="2"/>
          <w:sz w:val="24"/>
          <w:szCs w:val="24"/>
        </w:rPr>
        <w:t>)</w:t>
      </w:r>
    </w:p>
    <w:p w14:paraId="0710635A" w14:textId="55845A74" w:rsidR="00B07D9E" w:rsidRPr="00507002" w:rsidRDefault="00830F09" w:rsidP="00830F09">
      <w:pPr>
        <w:spacing w:before="57" w:line="305" w:lineRule="exact"/>
        <w:ind w:firstLine="864"/>
        <w:jc w:val="both"/>
        <w:textAlignment w:val="baseline"/>
        <w:rPr>
          <w:rFonts w:ascii="Times New Roman" w:eastAsia="Times New Roman" w:hAnsi="Times New Roman" w:cs="Times New Roman"/>
          <w:color w:val="auto"/>
          <w:sz w:val="24"/>
          <w:szCs w:val="24"/>
        </w:rPr>
      </w:pPr>
      <w:proofErr w:type="spellStart"/>
      <w:r w:rsidRPr="00507002">
        <w:rPr>
          <w:rFonts w:ascii="Times New Roman" w:eastAsia="Times New Roman" w:hAnsi="Times New Roman" w:cs="Times New Roman"/>
          <w:color w:val="auto"/>
          <w:sz w:val="24"/>
          <w:szCs w:val="24"/>
        </w:rPr>
        <w:t>Ind</w:t>
      </w:r>
      <w:r w:rsidRPr="00507002">
        <w:rPr>
          <w:rFonts w:ascii="Times New Roman" w:eastAsia="Times New Roman" w:hAnsi="Times New Roman" w:cs="Times New Roman"/>
          <w:color w:val="auto"/>
          <w:sz w:val="24"/>
          <w:szCs w:val="24"/>
          <w:vertAlign w:val="subscript"/>
        </w:rPr>
        <w:t>pradžia</w:t>
      </w:r>
      <w:proofErr w:type="spellEnd"/>
      <w:r w:rsidR="00B07D9E" w:rsidRPr="00507002">
        <w:rPr>
          <w:rFonts w:ascii="Times New Roman" w:eastAsia="Times New Roman" w:hAnsi="Times New Roman" w:cs="Times New Roman"/>
          <w:color w:val="auto"/>
          <w:sz w:val="24"/>
          <w:szCs w:val="24"/>
        </w:rPr>
        <w:t xml:space="preserve"> </w:t>
      </w:r>
      <w:r w:rsidR="00B07D9E" w:rsidRPr="00507002">
        <w:rPr>
          <w:rFonts w:ascii="Times New Roman" w:eastAsia="Garamond"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start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term</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date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month</w:t>
      </w:r>
      <w:r w:rsidR="00B07D9E" w:rsidRPr="00507002">
        <w:rPr>
          <w:rFonts w:ascii="Times New Roman" w:eastAsia="Garamond" w:hAnsi="Times New Roman" w:cs="Times New Roman"/>
          <w:color w:val="auto"/>
          <w:sz w:val="24"/>
          <w:szCs w:val="24"/>
        </w:rPr>
        <w:t>'</w:t>
      </w:r>
      <w:r w:rsidR="00B07D9E" w:rsidRPr="00507002">
        <w:rPr>
          <w:rFonts w:ascii="Times New Roman" w:eastAsia="Times New Roman" w:hAnsi="Times New Roman" w:cs="Times New Roman"/>
          <w:color w:val="auto"/>
          <w:sz w:val="24"/>
          <w:szCs w:val="24"/>
        </w:rPr>
        <w: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consumer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goods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services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index</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Common</w:t>
      </w:r>
      <w:proofErr w:type="spellEnd"/>
      <w:r w:rsidR="00B07D9E" w:rsidRPr="00507002">
        <w:rPr>
          <w:rFonts w:ascii="Times New Roman" w:eastAsia="Times New Roman" w:hAnsi="Times New Roman" w:cs="Times New Roman"/>
          <w:color w:val="auto"/>
          <w:sz w:val="24"/>
          <w:szCs w:val="24"/>
        </w:rPr>
        <w:t xml:space="preserve"> </w:t>
      </w:r>
      <w:r w:rsidR="00B07D9E" w:rsidRPr="00507002">
        <w:rPr>
          <w:rFonts w:ascii="Times New Roman" w:eastAsia="Garamond" w:hAnsi="Times New Roman" w:cs="Times New Roman"/>
          <w:color w:val="auto"/>
          <w:sz w:val="24"/>
          <w:szCs w:val="24"/>
        </w:rPr>
        <w:t>"</w:t>
      </w:r>
      <w:proofErr w:type="spellStart"/>
      <w:r w:rsidR="00B07D9E" w:rsidRPr="00507002">
        <w:rPr>
          <w:rFonts w:ascii="Times New Roman" w:eastAsia="Times New Roman" w:hAnsi="Times New Roman" w:cs="Times New Roman"/>
          <w:color w:val="auto"/>
          <w:sz w:val="24"/>
          <w:szCs w:val="24"/>
        </w:rPr>
        <w:t>Consumer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goods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services</w:t>
      </w:r>
      <w:proofErr w:type="spellEnd"/>
      <w:r w:rsidR="00B07D9E" w:rsidRPr="00507002">
        <w:rPr>
          <w:rFonts w:ascii="Times New Roman" w:eastAsia="Garamond"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chosen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event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first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start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term</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month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Contract</w:t>
      </w:r>
      <w:r w:rsidR="00B07D9E" w:rsidRPr="00507002">
        <w:rPr>
          <w:rFonts w:ascii="Times New Roman" w:eastAsia="Garamond" w:hAnsi="Times New Roman" w:cs="Times New Roman"/>
          <w:color w:val="auto"/>
          <w:sz w:val="24"/>
          <w:szCs w:val="24"/>
        </w:rPr>
        <w:t>'</w:t>
      </w:r>
      <w:r w:rsidR="00B07D9E" w:rsidRPr="00507002">
        <w:rPr>
          <w:rFonts w:ascii="Times New Roman" w:eastAsia="Times New Roman" w:hAnsi="Times New Roman" w:cs="Times New Roman"/>
          <w:color w:val="auto"/>
          <w:sz w:val="24"/>
          <w:szCs w:val="24"/>
        </w:rPr>
        <w: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signing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date</w:t>
      </w:r>
      <w:r w:rsidR="00B07D9E" w:rsidRPr="00507002">
        <w:rPr>
          <w:rFonts w:ascii="Times New Roman" w:eastAsia="Garamond" w:hAnsi="Times New Roman" w:cs="Times New Roman"/>
          <w:color w:val="auto"/>
          <w:sz w:val="24"/>
          <w:szCs w:val="24"/>
        </w:rPr>
        <w:t>'</w:t>
      </w:r>
      <w:r w:rsidR="00B07D9E" w:rsidRPr="00507002">
        <w:rPr>
          <w:rFonts w:ascii="Times New Roman" w:eastAsia="Times New Roman" w:hAnsi="Times New Roman" w:cs="Times New Roman"/>
          <w:color w:val="auto"/>
          <w:sz w:val="24"/>
          <w:szCs w:val="24"/>
        </w:rPr>
        <w: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first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day</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month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event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second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further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term</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start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month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latest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index</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value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publishing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month</w:t>
      </w:r>
      <w:proofErr w:type="spellEnd"/>
    </w:p>
    <w:p w14:paraId="1AC028F9" w14:textId="033FB18F" w:rsidR="00B07D9E" w:rsidRPr="00507002" w:rsidRDefault="008773E8" w:rsidP="00EC28D6">
      <w:pPr>
        <w:spacing w:before="54" w:line="305" w:lineRule="exact"/>
        <w:ind w:firstLine="811"/>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6</w:t>
      </w:r>
      <w:r w:rsidR="00B07D9E" w:rsidRPr="00507002">
        <w:rPr>
          <w:rFonts w:ascii="Times New Roman" w:eastAsia="Times New Roman" w:hAnsi="Times New Roman" w:cs="Times New Roman"/>
          <w:color w:val="auto"/>
          <w:sz w:val="24"/>
          <w:szCs w:val="24"/>
        </w:rPr>
        <w:t>.</w:t>
      </w:r>
      <w:r w:rsidRPr="00507002">
        <w:rPr>
          <w:rFonts w:ascii="Times New Roman" w:eastAsia="Times New Roman" w:hAnsi="Times New Roman" w:cs="Times New Roman"/>
          <w:color w:val="auto"/>
          <w:sz w:val="24"/>
          <w:szCs w:val="24"/>
        </w:rPr>
        <w:t>4</w:t>
      </w:r>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Index</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values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for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calculations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shall</w:t>
      </w:r>
      <w:proofErr w:type="spellEnd"/>
      <w:r w:rsidR="00B07D9E" w:rsidRPr="00507002">
        <w:rPr>
          <w:rFonts w:ascii="Times New Roman" w:eastAsia="Times New Roman" w:hAnsi="Times New Roman" w:cs="Times New Roman"/>
          <w:color w:val="auto"/>
          <w:sz w:val="24"/>
          <w:szCs w:val="24"/>
        </w:rPr>
        <w:t xml:space="preserve"> be </w:t>
      </w:r>
      <w:proofErr w:type="spellStart"/>
      <w:r w:rsidR="00B07D9E" w:rsidRPr="00507002">
        <w:rPr>
          <w:rFonts w:ascii="Times New Roman" w:eastAsia="Times New Roman" w:hAnsi="Times New Roman" w:cs="Times New Roman"/>
          <w:color w:val="auto"/>
          <w:sz w:val="24"/>
          <w:szCs w:val="24"/>
        </w:rPr>
        <w:t>with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accuracy</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four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digits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after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decimal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point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Calculated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change</w:t>
      </w:r>
      <w:proofErr w:type="spellEnd"/>
      <w:r w:rsidR="00B07D9E" w:rsidRPr="00507002">
        <w:rPr>
          <w:rFonts w:ascii="Times New Roman" w:eastAsia="Times New Roman" w:hAnsi="Times New Roman" w:cs="Times New Roman"/>
          <w:color w:val="auto"/>
          <w:sz w:val="24"/>
          <w:szCs w:val="24"/>
        </w:rPr>
        <w:t xml:space="preserve"> (k) </w:t>
      </w:r>
      <w:proofErr w:type="spellStart"/>
      <w:r w:rsidR="00B07D9E" w:rsidRPr="00507002">
        <w:rPr>
          <w:rFonts w:ascii="Times New Roman" w:eastAsia="Times New Roman" w:hAnsi="Times New Roman" w:cs="Times New Roman"/>
          <w:color w:val="auto"/>
          <w:sz w:val="24"/>
          <w:szCs w:val="24"/>
        </w:rPr>
        <w:t>for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further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calculations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shall</w:t>
      </w:r>
      <w:proofErr w:type="spellEnd"/>
      <w:r w:rsidR="00B07D9E" w:rsidRPr="00507002">
        <w:rPr>
          <w:rFonts w:ascii="Times New Roman" w:eastAsia="Times New Roman" w:hAnsi="Times New Roman" w:cs="Times New Roman"/>
          <w:color w:val="auto"/>
          <w:sz w:val="24"/>
          <w:szCs w:val="24"/>
        </w:rPr>
        <w:t xml:space="preserve"> be </w:t>
      </w:r>
      <w:proofErr w:type="spellStart"/>
      <w:r w:rsidR="00B07D9E" w:rsidRPr="00507002">
        <w:rPr>
          <w:rFonts w:ascii="Times New Roman" w:eastAsia="Times New Roman" w:hAnsi="Times New Roman" w:cs="Times New Roman"/>
          <w:color w:val="auto"/>
          <w:sz w:val="24"/>
          <w:szCs w:val="24"/>
        </w:rPr>
        <w:t>rounded</w:t>
      </w:r>
      <w:proofErr w:type="spellEnd"/>
      <w:r w:rsidR="00B07D9E" w:rsidRPr="00507002">
        <w:rPr>
          <w:rFonts w:ascii="Times New Roman" w:eastAsia="Times New Roman" w:hAnsi="Times New Roman" w:cs="Times New Roman"/>
          <w:color w:val="auto"/>
          <w:sz w:val="24"/>
          <w:szCs w:val="24"/>
        </w:rPr>
        <w:t xml:space="preserve"> to </w:t>
      </w:r>
      <w:proofErr w:type="spellStart"/>
      <w:r w:rsidR="00B07D9E" w:rsidRPr="00507002">
        <w:rPr>
          <w:rFonts w:ascii="Times New Roman" w:eastAsia="Times New Roman" w:hAnsi="Times New Roman" w:cs="Times New Roman"/>
          <w:color w:val="auto"/>
          <w:sz w:val="24"/>
          <w:szCs w:val="24"/>
        </w:rPr>
        <w:t>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digits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after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decimal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point</w:t>
      </w:r>
      <w:proofErr w:type="spellEnd"/>
      <w:r w:rsidR="00B07D9E" w:rsidRPr="00507002">
        <w:rPr>
          <w:rFonts w:ascii="Times New Roman" w:eastAsia="Times New Roman" w:hAnsi="Times New Roman" w:cs="Times New Roman"/>
          <w:color w:val="auto"/>
          <w:sz w:val="24"/>
          <w:szCs w:val="24"/>
        </w:rPr>
        <w:t xml:space="preserve"> (EUROSTAT </w:t>
      </w:r>
      <w:proofErr w:type="spellStart"/>
      <w:r w:rsidR="00B07D9E" w:rsidRPr="00507002">
        <w:rPr>
          <w:rFonts w:ascii="Times New Roman" w:eastAsia="Times New Roman" w:hAnsi="Times New Roman" w:cs="Times New Roman"/>
          <w:color w:val="auto"/>
          <w:sz w:val="24"/>
          <w:szCs w:val="24"/>
        </w:rPr>
        <w:t>publish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all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changes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with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one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digit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after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decimal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point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Calculated</w:t>
      </w:r>
      <w:proofErr w:type="spellEnd"/>
      <w:r w:rsidR="00B07D9E" w:rsidRPr="00507002">
        <w:rPr>
          <w:rFonts w:ascii="Times New Roman" w:eastAsia="Times New Roman" w:hAnsi="Times New Roman" w:cs="Times New Roman"/>
          <w:color w:val="auto"/>
          <w:sz w:val="24"/>
          <w:szCs w:val="24"/>
        </w:rPr>
        <w:t xml:space="preserve"> rate </w:t>
      </w:r>
      <w:r w:rsidR="00B07D9E" w:rsidRPr="00507002">
        <w:rPr>
          <w:rFonts w:ascii="Times New Roman" w:eastAsia="Garamond" w:hAnsi="Times New Roman" w:cs="Times New Roman"/>
          <w:color w:val="auto"/>
          <w:sz w:val="24"/>
          <w:szCs w:val="24"/>
        </w:rPr>
        <w:t>"</w:t>
      </w:r>
      <w:r w:rsidR="00B07D9E" w:rsidRPr="00507002">
        <w:rPr>
          <w:rFonts w:ascii="Times New Roman" w:eastAsia="Times New Roman" w:hAnsi="Times New Roman" w:cs="Times New Roman"/>
          <w:color w:val="auto"/>
          <w:sz w:val="24"/>
          <w:szCs w:val="24"/>
        </w:rPr>
        <w:t>a</w:t>
      </w:r>
      <w:r w:rsidR="00B07D9E" w:rsidRPr="00507002">
        <w:rPr>
          <w:rFonts w:ascii="Times New Roman" w:eastAsia="Garamond"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rounded</w:t>
      </w:r>
      <w:proofErr w:type="spellEnd"/>
      <w:r w:rsidR="00B07D9E" w:rsidRPr="00507002">
        <w:rPr>
          <w:rFonts w:ascii="Times New Roman" w:eastAsia="Times New Roman" w:hAnsi="Times New Roman" w:cs="Times New Roman"/>
          <w:color w:val="auto"/>
          <w:sz w:val="24"/>
          <w:szCs w:val="24"/>
        </w:rPr>
        <w:t xml:space="preserve"> to </w:t>
      </w:r>
      <w:proofErr w:type="spellStart"/>
      <w:r w:rsidR="00B07D9E" w:rsidRPr="00507002">
        <w:rPr>
          <w:rFonts w:ascii="Times New Roman" w:eastAsia="Times New Roman" w:hAnsi="Times New Roman" w:cs="Times New Roman"/>
          <w:color w:val="auto"/>
          <w:sz w:val="24"/>
          <w:szCs w:val="24"/>
        </w:rPr>
        <w:t>two</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digits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after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decimal</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point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procuring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organization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round</w:t>
      </w:r>
      <w:proofErr w:type="spellEnd"/>
      <w:r w:rsidR="00B07D9E" w:rsidRPr="00507002">
        <w:rPr>
          <w:rFonts w:ascii="Times New Roman" w:eastAsia="Times New Roman" w:hAnsi="Times New Roman" w:cs="Times New Roman"/>
          <w:color w:val="auto"/>
          <w:sz w:val="24"/>
          <w:szCs w:val="24"/>
        </w:rPr>
        <w:t xml:space="preserve"> to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same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number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of</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digits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used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for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pricing</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this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Contract</w:t>
      </w:r>
      <w:proofErr w:type="spellEnd"/>
      <w:r w:rsidR="00B07D9E" w:rsidRPr="00507002">
        <w:rPr>
          <w:rFonts w:ascii="Times New Roman" w:eastAsia="Times New Roman" w:hAnsi="Times New Roman" w:cs="Times New Roman"/>
          <w:color w:val="auto"/>
          <w:sz w:val="24"/>
          <w:szCs w:val="24"/>
        </w:rPr>
        <w:t>).</w:t>
      </w:r>
    </w:p>
    <w:p w14:paraId="58F0918D" w14:textId="2A7C8D3D" w:rsidR="00B07D9E" w:rsidRPr="00507002" w:rsidRDefault="00D80907" w:rsidP="00EC28D6">
      <w:pPr>
        <w:spacing w:before="53" w:line="307" w:lineRule="exact"/>
        <w:ind w:firstLine="811"/>
        <w:jc w:val="both"/>
        <w:textAlignment w:val="baseline"/>
        <w:rPr>
          <w:rFonts w:ascii="Times New Roman" w:eastAsia="Times New Roman" w:hAnsi="Times New Roman" w:cs="Times New Roman"/>
          <w:color w:val="auto"/>
          <w:sz w:val="24"/>
          <w:szCs w:val="24"/>
        </w:rPr>
      </w:pPr>
      <w:r w:rsidRPr="00507002">
        <w:rPr>
          <w:rFonts w:ascii="Times New Roman" w:eastAsia="Times New Roman" w:hAnsi="Times New Roman" w:cs="Times New Roman"/>
          <w:color w:val="auto"/>
          <w:sz w:val="24"/>
          <w:szCs w:val="24"/>
        </w:rPr>
        <w:t>6</w:t>
      </w:r>
      <w:r w:rsidR="00B07D9E" w:rsidRPr="00507002">
        <w:rPr>
          <w:rFonts w:ascii="Times New Roman" w:eastAsia="Times New Roman" w:hAnsi="Times New Roman" w:cs="Times New Roman"/>
          <w:color w:val="auto"/>
          <w:sz w:val="24"/>
          <w:szCs w:val="24"/>
        </w:rPr>
        <w:t>.</w:t>
      </w:r>
      <w:r w:rsidRPr="00507002">
        <w:rPr>
          <w:rFonts w:ascii="Times New Roman" w:eastAsia="Times New Roman" w:hAnsi="Times New Roman" w:cs="Times New Roman"/>
          <w:color w:val="auto"/>
          <w:sz w:val="24"/>
          <w:szCs w:val="24"/>
        </w:rPr>
        <w:t>5</w:t>
      </w:r>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Later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price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and</w:t>
      </w:r>
      <w:proofErr w:type="spellEnd"/>
      <w:r w:rsidR="00B07D9E" w:rsidRPr="00507002">
        <w:rPr>
          <w:rFonts w:ascii="Times New Roman" w:eastAsia="Times New Roman" w:hAnsi="Times New Roman" w:cs="Times New Roman"/>
          <w:color w:val="auto"/>
          <w:sz w:val="24"/>
          <w:szCs w:val="24"/>
        </w:rPr>
        <w:t xml:space="preserve"> rate </w:t>
      </w:r>
      <w:proofErr w:type="spellStart"/>
      <w:r w:rsidR="00B07D9E" w:rsidRPr="00507002">
        <w:rPr>
          <w:rFonts w:ascii="Times New Roman" w:eastAsia="Times New Roman" w:hAnsi="Times New Roman" w:cs="Times New Roman"/>
          <w:color w:val="auto"/>
          <w:sz w:val="24"/>
          <w:szCs w:val="24"/>
        </w:rPr>
        <w:t>recalculation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cannot</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include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period</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for</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which</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the</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recalculation</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was</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already</w:t>
      </w:r>
      <w:proofErr w:type="spellEnd"/>
      <w:r w:rsidR="00B07D9E" w:rsidRPr="00507002">
        <w:rPr>
          <w:rFonts w:ascii="Times New Roman" w:eastAsia="Times New Roman" w:hAnsi="Times New Roman" w:cs="Times New Roman"/>
          <w:color w:val="auto"/>
          <w:sz w:val="24"/>
          <w:szCs w:val="24"/>
        </w:rPr>
        <w:t xml:space="preserve"> </w:t>
      </w:r>
      <w:proofErr w:type="spellStart"/>
      <w:r w:rsidR="00B07D9E" w:rsidRPr="00507002">
        <w:rPr>
          <w:rFonts w:ascii="Times New Roman" w:eastAsia="Times New Roman" w:hAnsi="Times New Roman" w:cs="Times New Roman"/>
          <w:color w:val="auto"/>
          <w:sz w:val="24"/>
          <w:szCs w:val="24"/>
        </w:rPr>
        <w:t>performed</w:t>
      </w:r>
      <w:proofErr w:type="spellEnd"/>
      <w:r w:rsidR="00B07D9E" w:rsidRPr="00507002">
        <w:rPr>
          <w:rFonts w:ascii="Times New Roman" w:eastAsia="Times New Roman" w:hAnsi="Times New Roman" w:cs="Times New Roman"/>
          <w:color w:val="auto"/>
          <w:sz w:val="24"/>
          <w:szCs w:val="24"/>
        </w:rPr>
        <w:t>.</w:t>
      </w:r>
    </w:p>
    <w:p w14:paraId="1A215D07" w14:textId="09DB5D94" w:rsidR="00773561" w:rsidRPr="001C4043" w:rsidRDefault="00687A9B" w:rsidP="00207DD2">
      <w:pPr>
        <w:numPr>
          <w:ilvl w:val="0"/>
          <w:numId w:val="16"/>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Service Provider shall be paid for the timely and quality services rendered within 30 (thirty) calendar days from the date of submission of the VAT invoice.</w:t>
      </w:r>
    </w:p>
    <w:p w14:paraId="0CFAA7BE" w14:textId="434EC2F8" w:rsidR="00773561" w:rsidRPr="001C4043" w:rsidRDefault="00687A9B"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lastRenderedPageBreak/>
        <w:t>In the event that the Buyer is required to pay VAT to the state budget for the services rendered (the object of purchase) in accordance with the procedure laid down by the laws governing taxes and their implementing legislation, the VAT included in the price of the offer shall be deducted at the time of conclusion of the Contract.</w:t>
      </w:r>
    </w:p>
    <w:p w14:paraId="457543D5" w14:textId="6A5CE459" w:rsidR="00773561" w:rsidRPr="001C4043" w:rsidRDefault="00687A9B" w:rsidP="00B7559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For the purposes of the Contract, VAT invoices, invoices, credit and debit documents shall be submitted using the tools of the Single Account Management Information System (SABIS). If the functionalities of SABIS are insufficient or temporarily unavailable, the Service Provider may provide the necessary information in writing.</w:t>
      </w:r>
    </w:p>
    <w:p w14:paraId="3EB81C38" w14:textId="4292336F" w:rsidR="00773561" w:rsidRPr="001C4043" w:rsidRDefault="008B6E0B" w:rsidP="00773561">
      <w:pPr>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III</w:t>
      </w:r>
    </w:p>
    <w:p w14:paraId="381F6204" w14:textId="4879F495" w:rsidR="00773561" w:rsidRPr="001C4043" w:rsidRDefault="008B6E0B" w:rsidP="00773561">
      <w:pPr>
        <w:contextualSpacing/>
        <w:jc w:val="center"/>
        <w:rPr>
          <w:rFonts w:ascii="Times New Roman" w:eastAsia="Times New Roman" w:hAnsi="Times New Roman" w:cs="Times New Roman"/>
          <w:b/>
          <w:sz w:val="24"/>
          <w:szCs w:val="24"/>
          <w:lang w:val="en-GB"/>
        </w:rPr>
      </w:pPr>
      <w:r w:rsidRPr="001C4043">
        <w:rPr>
          <w:rFonts w:ascii="Times New Roman" w:eastAsia="Times New Roman" w:hAnsi="Times New Roman" w:cs="Times New Roman"/>
          <w:b/>
          <w:sz w:val="24"/>
          <w:szCs w:val="24"/>
          <w:lang w:val="en-GB"/>
        </w:rPr>
        <w:t>RIGHTS AND OBLIGATIONS OF THE PARTIES</w:t>
      </w:r>
      <w:r w:rsidR="00773561" w:rsidRPr="001C4043">
        <w:rPr>
          <w:rFonts w:ascii="Times New Roman" w:eastAsia="Times New Roman" w:hAnsi="Times New Roman" w:cs="Times New Roman"/>
          <w:b/>
          <w:sz w:val="24"/>
          <w:szCs w:val="24"/>
          <w:lang w:val="en-GB"/>
        </w:rPr>
        <w:t xml:space="preserve"> </w:t>
      </w:r>
    </w:p>
    <w:p w14:paraId="27000CD8" w14:textId="77777777" w:rsidR="00773561" w:rsidRPr="001C4043"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4"/>
          <w:lang w:val="en-GB"/>
        </w:rPr>
      </w:pPr>
    </w:p>
    <w:p w14:paraId="47F988B2" w14:textId="49C2F18D" w:rsidR="00773561" w:rsidRPr="001C4043" w:rsidRDefault="008B6E0B" w:rsidP="00EB1852">
      <w:pPr>
        <w:widowControl w:val="0"/>
        <w:numPr>
          <w:ilvl w:val="0"/>
          <w:numId w:val="16"/>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Service Provider undertakes to:</w:t>
      </w:r>
    </w:p>
    <w:p w14:paraId="4AFDE06B" w14:textId="0EB17016" w:rsidR="00773561" w:rsidRPr="001C4043" w:rsidRDefault="0077356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8B6E0B" w:rsidRPr="001C4043">
        <w:rPr>
          <w:rFonts w:ascii="Times New Roman" w:hAnsi="Times New Roman" w:cs="Times New Roman"/>
          <w:sz w:val="24"/>
          <w:szCs w:val="24"/>
          <w:lang w:val="en-GB"/>
        </w:rPr>
        <w:t>to provide all the services provided for in the Contract and its Annexes to the best of his/her ability, diligence and efficiency at his/her own risk and expense within the time and in the manner stipulated in the Contract and its Annexes, including, but not limited to, the provision of the services in accordance with the best generally accepted professional and technical standards and practices, using all necessary skills and knowledge;</w:t>
      </w:r>
    </w:p>
    <w:p w14:paraId="2BD349B7" w14:textId="6B839470" w:rsidR="00773561" w:rsidRPr="001C4043" w:rsidRDefault="0086787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eastAsia="Times New Roman" w:hAnsi="Times New Roman" w:cs="Times New Roman"/>
          <w:sz w:val="24"/>
          <w:szCs w:val="24"/>
          <w:lang w:val="en-GB"/>
        </w:rPr>
        <w:t xml:space="preserve"> </w:t>
      </w:r>
      <w:r w:rsidR="008B6E0B" w:rsidRPr="001C4043">
        <w:rPr>
          <w:rFonts w:ascii="Times New Roman" w:hAnsi="Times New Roman" w:cs="Times New Roman"/>
          <w:sz w:val="24"/>
          <w:szCs w:val="24"/>
          <w:lang w:val="en-GB"/>
        </w:rPr>
        <w:t>ensure that the services provided to the Buyer comply with the requirements set out in Annex 1 to the Contract;</w:t>
      </w:r>
    </w:p>
    <w:p w14:paraId="4F1BC3A4" w14:textId="1CBAF5D6" w:rsidR="00773561" w:rsidRPr="001C4043" w:rsidRDefault="00D330C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eastAsia="Times New Roman" w:hAnsi="Times New Roman" w:cs="Times New Roman"/>
          <w:sz w:val="24"/>
          <w:szCs w:val="24"/>
          <w:lang w:val="en-GB"/>
        </w:rPr>
        <w:t xml:space="preserve"> </w:t>
      </w:r>
      <w:r w:rsidR="008B6E0B" w:rsidRPr="001C4043">
        <w:rPr>
          <w:rFonts w:ascii="Times New Roman" w:hAnsi="Times New Roman" w:cs="Times New Roman"/>
          <w:sz w:val="24"/>
          <w:szCs w:val="24"/>
          <w:lang w:val="en-GB"/>
        </w:rPr>
        <w:t>cooperate with the Buyer throughout the performance of the Contract and immediately inform the Buyer in writing of any circumstances which prevent or may prevent the Service Provider from completing the Services within the time limits set or which may affect the scope and/or quality of the Services;</w:t>
      </w:r>
    </w:p>
    <w:p w14:paraId="223005CF" w14:textId="59CA6A91" w:rsidR="00773561" w:rsidRPr="001C4043" w:rsidRDefault="00977A8F"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8B6E0B" w:rsidRPr="001C4043">
        <w:rPr>
          <w:rFonts w:ascii="Times New Roman" w:hAnsi="Times New Roman" w:cs="Times New Roman"/>
          <w:sz w:val="24"/>
          <w:szCs w:val="24"/>
          <w:lang w:val="en-GB"/>
        </w:rPr>
        <w:t>ensure the confidentiality and protection of information received from the Buyer during the performance of the Contract and related to the performance of the Contract;</w:t>
      </w:r>
    </w:p>
    <w:p w14:paraId="275B8F85" w14:textId="6D1A1CDD" w:rsidR="00773561" w:rsidRPr="001C4043"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 xml:space="preserve"> </w:t>
      </w:r>
      <w:r w:rsidR="008B6E0B" w:rsidRPr="001C4043">
        <w:rPr>
          <w:rFonts w:ascii="Times New Roman" w:hAnsi="Times New Roman" w:cs="Times New Roman"/>
          <w:sz w:val="24"/>
          <w:szCs w:val="24"/>
          <w:lang w:val="en-GB"/>
        </w:rPr>
        <w:t>return to the Buyer, at the Buyer’s written request, all documents received from the Buyer that are necessary for the performance of the Contract;</w:t>
      </w:r>
    </w:p>
    <w:p w14:paraId="0015230B" w14:textId="5981C070" w:rsidR="008E55ED" w:rsidRPr="001C4043"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 xml:space="preserve"> </w:t>
      </w:r>
      <w:r w:rsidR="008B6E0B" w:rsidRPr="001C4043">
        <w:rPr>
          <w:rFonts w:ascii="Times New Roman" w:hAnsi="Times New Roman" w:cs="Times New Roman"/>
          <w:sz w:val="24"/>
          <w:szCs w:val="24"/>
          <w:lang w:val="en-GB"/>
        </w:rPr>
        <w:t>respond promptly if the Buyer makes any comments about the quality of the services provided, or if the services are untimely, inadequate and/or negligent;</w:t>
      </w:r>
    </w:p>
    <w:p w14:paraId="355D83DF" w14:textId="4126B7D7" w:rsidR="00773561" w:rsidRPr="001C4043" w:rsidRDefault="00792E9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 xml:space="preserve"> </w:t>
      </w:r>
      <w:r w:rsidR="008B6E0B" w:rsidRPr="001C4043">
        <w:rPr>
          <w:rFonts w:ascii="Times New Roman" w:hAnsi="Times New Roman" w:cs="Times New Roman"/>
          <w:sz w:val="24"/>
          <w:szCs w:val="24"/>
          <w:lang w:val="en-GB"/>
        </w:rPr>
        <w:t>rely on the subcontractors indicated in the tender if they are used in the performance of the Contract: /</w:t>
      </w:r>
      <w:r w:rsidR="008B6E0B" w:rsidRPr="001C4043">
        <w:rPr>
          <w:rFonts w:ascii="Times New Roman" w:hAnsi="Times New Roman" w:cs="Times New Roman"/>
          <w:i/>
          <w:iCs/>
          <w:sz w:val="24"/>
          <w:szCs w:val="24"/>
          <w:lang w:val="en-GB"/>
        </w:rPr>
        <w:t>indicate</w:t>
      </w:r>
      <w:r w:rsidR="008B6E0B" w:rsidRPr="001C4043">
        <w:rPr>
          <w:rFonts w:ascii="Times New Roman" w:hAnsi="Times New Roman" w:cs="Times New Roman"/>
          <w:sz w:val="24"/>
          <w:szCs w:val="24"/>
          <w:lang w:val="en-GB"/>
        </w:rPr>
        <w:t>/; and on those subcontractors that are replaced or newly used during the performance of the Contract, in accordance with the requirements of the Contract;</w:t>
      </w:r>
    </w:p>
    <w:p w14:paraId="5F98CE96" w14:textId="0FB81630" w:rsidR="00773561" w:rsidRPr="001C4043" w:rsidRDefault="008B6E0B"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 xml:space="preserve">Upon conclusion of the Contract, but no later than the commencement of performance of the Contract, the Service Provider undertakes to inform the Buyer of the names, contact details and representatives of the </w:t>
      </w:r>
      <w:proofErr w:type="spellStart"/>
      <w:r w:rsidRPr="001C4043">
        <w:rPr>
          <w:rFonts w:ascii="Times New Roman" w:hAnsi="Times New Roman" w:cs="Times New Roman"/>
          <w:sz w:val="24"/>
          <w:szCs w:val="24"/>
          <w:lang w:val="en-GB"/>
        </w:rPr>
        <w:t>sub</w:t>
      </w:r>
      <w:r w:rsidR="00E81B81" w:rsidRPr="001C4043">
        <w:rPr>
          <w:rFonts w:ascii="Times New Roman" w:hAnsi="Times New Roman" w:cs="Times New Roman"/>
          <w:sz w:val="24"/>
          <w:szCs w:val="24"/>
          <w:lang w:val="en-GB"/>
        </w:rPr>
        <w:t>suppliers</w:t>
      </w:r>
      <w:proofErr w:type="spellEnd"/>
      <w:r w:rsidRPr="001C4043">
        <w:rPr>
          <w:rFonts w:ascii="Times New Roman" w:hAnsi="Times New Roman" w:cs="Times New Roman"/>
          <w:sz w:val="24"/>
          <w:szCs w:val="24"/>
          <w:lang w:val="en-GB"/>
        </w:rPr>
        <w:t xml:space="preserve"> known at that time. The Buyer shall also require the Service Provider to inform it of changes to the above information throughout the performance of the Contract, as well as of new subcontractors it intends to use at a later date, together with the information on the new subcontractors and the documents confirming the absence of grounds for exclusion and the qualifications of the subcontractor. New subcontractors shall be engaged or existing subcontractors shall be replaced in accordance with the procedures set out in Chapter V of this Contract;</w:t>
      </w:r>
    </w:p>
    <w:p w14:paraId="6CB594FF" w14:textId="66CFABFA" w:rsidR="00F27F28" w:rsidRPr="001C4043"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ensure compliance with the following environmental requirements in the performance of the Contract: strive to reduce the use of paper, avoid unnecessary photocopying and printing of documents, ensure that the documentation to be produced (as far as possible) shall be provided to the Buyer in electronic format only, and that the documentation to be signed shall be signed by electronic signature.</w:t>
      </w:r>
      <w:r w:rsidR="0096173D" w:rsidRPr="001C4043">
        <w:rPr>
          <w:rFonts w:ascii="Times New Roman" w:hAnsi="Times New Roman" w:cs="Times New Roman"/>
          <w:sz w:val="24"/>
          <w:szCs w:val="24"/>
          <w:lang w:val="en-GB" w:eastAsia="lt-LT"/>
        </w:rPr>
        <w:t xml:space="preserve"> </w:t>
      </w:r>
      <w:r w:rsidRPr="001C4043">
        <w:rPr>
          <w:rFonts w:ascii="Times New Roman" w:hAnsi="Times New Roman" w:cs="Times New Roman"/>
          <w:sz w:val="24"/>
          <w:szCs w:val="24"/>
          <w:lang w:val="en-GB" w:eastAsia="lt-LT"/>
        </w:rPr>
        <w:t xml:space="preserve">If printing is necessary, recycled paper shall be used, which complies with the requirements for green procurement, as specified in the description of the procedure for the application of environmental criteria in green procurement, approved by the Order No D1-401 of the Minister of the Environment of the Republic of Lithuania of 13 December 2022, “Concerning the Order No D1-508 of </w:t>
      </w:r>
      <w:r w:rsidRPr="001C4043">
        <w:rPr>
          <w:rFonts w:ascii="Times New Roman" w:hAnsi="Times New Roman" w:cs="Times New Roman"/>
          <w:sz w:val="24"/>
          <w:szCs w:val="24"/>
          <w:lang w:val="en-GB" w:eastAsia="lt-LT"/>
        </w:rPr>
        <w:lastRenderedPageBreak/>
        <w:t xml:space="preserve">the Minister of the Environment of the Republic of Lithuania of 28 June 2011, “On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purchase of goods, services or works””; </w:t>
      </w:r>
    </w:p>
    <w:p w14:paraId="6667EEE0" w14:textId="65A73C81" w:rsidR="007E4B46" w:rsidRPr="001C4043"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Comply with clause 49 of the Supplier Code of Conduct (hereinafter referred to as the Code) during the performance of the contract</w:t>
      </w:r>
      <w:r w:rsidR="00677FD9" w:rsidRPr="001C4043">
        <w:rPr>
          <w:rFonts w:ascii="Times New Roman" w:hAnsi="Times New Roman" w:cs="Times New Roman"/>
          <w:sz w:val="24"/>
          <w:szCs w:val="24"/>
          <w:lang w:val="en-GB" w:eastAsia="lt-LT"/>
        </w:rPr>
        <w:t xml:space="preserve"> (https://vpt.lrv.lt/media/viesa/saugykla/2024/1/w2fscibRf-4.pdf), </w:t>
      </w:r>
      <w:r w:rsidRPr="001C4043">
        <w:rPr>
          <w:rFonts w:ascii="Times New Roman" w:hAnsi="Times New Roman" w:cs="Times New Roman"/>
          <w:sz w:val="24"/>
          <w:szCs w:val="24"/>
          <w:lang w:val="en-GB" w:eastAsia="lt-LT"/>
        </w:rPr>
        <w:t>that is, the Service Provider must not be engaged in activities in countries engaged in military aggression against Ukraine and/or not be a member of a group of companies, any member of which is engaged in activities in countries engaged in military aggression against Ukraine and/or not participate in the activities of such a group of companies through its head, members of any other management or supervisory body, or any other person(s) having the right to represent or control the supplier, to take a decision on its behalf, to enter into a transaction, or to draw up and sign the supplier’s financial accounting documents.</w:t>
      </w:r>
      <w:r w:rsidR="00677FD9" w:rsidRPr="001C4043">
        <w:rPr>
          <w:rFonts w:ascii="Times New Roman" w:hAnsi="Times New Roman" w:cs="Times New Roman"/>
          <w:sz w:val="24"/>
          <w:szCs w:val="24"/>
          <w:lang w:val="en-GB" w:eastAsia="lt-LT"/>
        </w:rPr>
        <w:t xml:space="preserve"> </w:t>
      </w:r>
      <w:r w:rsidRPr="001C4043">
        <w:rPr>
          <w:rFonts w:ascii="Times New Roman" w:hAnsi="Times New Roman" w:cs="Times New Roman"/>
          <w:sz w:val="24"/>
          <w:szCs w:val="24"/>
          <w:lang w:val="en-GB" w:eastAsia="lt-LT"/>
        </w:rPr>
        <w:t>The Service Provider shall also not rely on the capacity of and/or subcontract with subcontractor(s) not satisfying this condition. The Service Provider shall ensure that all third parties (subcontractors and other economic operators on whose behalf the Supplier relies) used by the Supplier comply with the above provisions of the Code;</w:t>
      </w:r>
    </w:p>
    <w:p w14:paraId="32481B2F" w14:textId="451386FB" w:rsidR="00811C8D" w:rsidRPr="001C4043" w:rsidRDefault="00872277" w:rsidP="00250315">
      <w:pPr>
        <w:widowControl w:val="0"/>
        <w:numPr>
          <w:ilvl w:val="1"/>
          <w:numId w:val="16"/>
        </w:numPr>
        <w:tabs>
          <w:tab w:val="left" w:pos="0"/>
          <w:tab w:val="left" w:pos="540"/>
          <w:tab w:val="left" w:pos="1080"/>
          <w:tab w:val="left" w:pos="1701"/>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Upon the Buyer’s request, within 3 (three) working days, provide information and/or documentation to demonstrate the Service Provider’s compliance with the environmental requirements referred to in clause 1</w:t>
      </w:r>
      <w:r w:rsidR="00054E96" w:rsidRPr="001C4043">
        <w:rPr>
          <w:rFonts w:ascii="Times New Roman" w:hAnsi="Times New Roman" w:cs="Times New Roman"/>
          <w:sz w:val="24"/>
          <w:szCs w:val="24"/>
          <w:lang w:val="en-GB" w:eastAsia="lt-LT"/>
        </w:rPr>
        <w:t>0</w:t>
      </w:r>
      <w:r w:rsidRPr="001C4043">
        <w:rPr>
          <w:rFonts w:ascii="Times New Roman" w:hAnsi="Times New Roman" w:cs="Times New Roman"/>
          <w:sz w:val="24"/>
          <w:szCs w:val="24"/>
          <w:lang w:val="en-GB" w:eastAsia="lt-LT"/>
        </w:rPr>
        <w:t>.</w:t>
      </w:r>
      <w:r w:rsidR="00054E96" w:rsidRPr="001C4043">
        <w:rPr>
          <w:rFonts w:ascii="Times New Roman" w:hAnsi="Times New Roman" w:cs="Times New Roman"/>
          <w:sz w:val="24"/>
          <w:szCs w:val="24"/>
          <w:lang w:val="en-GB" w:eastAsia="lt-LT"/>
        </w:rPr>
        <w:t>9</w:t>
      </w:r>
      <w:r w:rsidRPr="001C4043">
        <w:rPr>
          <w:rFonts w:ascii="Times New Roman" w:hAnsi="Times New Roman" w:cs="Times New Roman"/>
          <w:sz w:val="24"/>
          <w:szCs w:val="24"/>
          <w:lang w:val="en-GB" w:eastAsia="lt-LT"/>
        </w:rPr>
        <w:t xml:space="preserve"> of the Contract;</w:t>
      </w:r>
    </w:p>
    <w:p w14:paraId="50185CFD" w14:textId="133B6F48" w:rsidR="00DA1306" w:rsidRPr="001C4043" w:rsidRDefault="00DA1306" w:rsidP="00250315">
      <w:pPr>
        <w:widowControl w:val="0"/>
        <w:numPr>
          <w:ilvl w:val="1"/>
          <w:numId w:val="16"/>
        </w:numPr>
        <w:tabs>
          <w:tab w:val="left" w:pos="0"/>
          <w:tab w:val="left" w:pos="540"/>
          <w:tab w:val="left" w:pos="1080"/>
          <w:tab w:val="left" w:pos="1701"/>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proofErr w:type="spellStart"/>
      <w:r w:rsidRPr="001C4043">
        <w:rPr>
          <w:rFonts w:ascii="Times New Roman" w:hAnsi="Times New Roman" w:cs="Times New Roman"/>
          <w:sz w:val="24"/>
          <w:szCs w:val="24"/>
          <w:lang w:eastAsia="lt-LT"/>
        </w:rPr>
        <w:t>must</w:t>
      </w:r>
      <w:proofErr w:type="spellEnd"/>
      <w:r w:rsidRPr="001C4043">
        <w:rPr>
          <w:rFonts w:ascii="Times New Roman" w:hAnsi="Times New Roman" w:cs="Times New Roman"/>
          <w:sz w:val="24"/>
          <w:szCs w:val="24"/>
          <w:lang w:eastAsia="lt-LT"/>
        </w:rPr>
        <w:t xml:space="preserve"> be </w:t>
      </w:r>
      <w:proofErr w:type="spellStart"/>
      <w:r w:rsidRPr="001C4043">
        <w:rPr>
          <w:rFonts w:ascii="Times New Roman" w:hAnsi="Times New Roman" w:cs="Times New Roman"/>
          <w:sz w:val="24"/>
          <w:szCs w:val="24"/>
          <w:lang w:eastAsia="lt-LT"/>
        </w:rPr>
        <w:t>able</w:t>
      </w:r>
      <w:proofErr w:type="spellEnd"/>
      <w:r w:rsidRPr="001C4043">
        <w:rPr>
          <w:rFonts w:ascii="Times New Roman" w:hAnsi="Times New Roman" w:cs="Times New Roman"/>
          <w:sz w:val="24"/>
          <w:szCs w:val="24"/>
          <w:lang w:eastAsia="lt-LT"/>
        </w:rPr>
        <w:t xml:space="preserve"> to </w:t>
      </w:r>
      <w:proofErr w:type="spellStart"/>
      <w:r w:rsidRPr="001C4043">
        <w:rPr>
          <w:rFonts w:ascii="Times New Roman" w:hAnsi="Times New Roman" w:cs="Times New Roman"/>
          <w:sz w:val="24"/>
          <w:szCs w:val="24"/>
          <w:lang w:eastAsia="lt-LT"/>
        </w:rPr>
        <w:t>issue</w:t>
      </w:r>
      <w:proofErr w:type="spellEnd"/>
      <w:r w:rsidRPr="001C4043">
        <w:rPr>
          <w:rFonts w:ascii="Times New Roman" w:hAnsi="Times New Roman" w:cs="Times New Roman"/>
          <w:sz w:val="24"/>
          <w:szCs w:val="24"/>
          <w:lang w:eastAsia="lt-LT"/>
        </w:rPr>
        <w:t xml:space="preserve"> ARC (</w:t>
      </w:r>
      <w:proofErr w:type="spellStart"/>
      <w:r w:rsidRPr="001C4043">
        <w:rPr>
          <w:rFonts w:ascii="Times New Roman" w:hAnsi="Times New Roman" w:cs="Times New Roman"/>
          <w:sz w:val="24"/>
          <w:szCs w:val="24"/>
          <w:lang w:eastAsia="lt-LT"/>
        </w:rPr>
        <w:t>Airworthiness</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Review</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Certificate</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for</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the</w:t>
      </w:r>
      <w:proofErr w:type="spellEnd"/>
      <w:r w:rsidRPr="001C4043">
        <w:rPr>
          <w:rFonts w:ascii="Times New Roman" w:hAnsi="Times New Roman" w:cs="Times New Roman"/>
          <w:sz w:val="24"/>
          <w:szCs w:val="24"/>
          <w:lang w:eastAsia="lt-LT"/>
        </w:rPr>
        <w:t xml:space="preserve"> BK 117 D3 (H145) </w:t>
      </w:r>
      <w:proofErr w:type="spellStart"/>
      <w:r w:rsidRPr="001C4043">
        <w:rPr>
          <w:rFonts w:ascii="Times New Roman" w:hAnsi="Times New Roman" w:cs="Times New Roman"/>
          <w:sz w:val="24"/>
          <w:szCs w:val="24"/>
          <w:lang w:eastAsia="lt-LT"/>
        </w:rPr>
        <w:t>aircraft</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after</w:t>
      </w:r>
      <w:proofErr w:type="spellEnd"/>
      <w:r w:rsidRPr="001C4043">
        <w:rPr>
          <w:rFonts w:ascii="Times New Roman" w:hAnsi="Times New Roman" w:cs="Times New Roman"/>
          <w:sz w:val="24"/>
          <w:szCs w:val="24"/>
          <w:lang w:eastAsia="lt-LT"/>
        </w:rPr>
        <w:t xml:space="preserve"> 2 </w:t>
      </w:r>
      <w:proofErr w:type="spellStart"/>
      <w:r w:rsidRPr="001C4043">
        <w:rPr>
          <w:rFonts w:ascii="Times New Roman" w:hAnsi="Times New Roman" w:cs="Times New Roman"/>
          <w:sz w:val="24"/>
          <w:szCs w:val="24"/>
          <w:lang w:eastAsia="lt-LT"/>
        </w:rPr>
        <w:t>years</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from</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the</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entry</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into</w:t>
      </w:r>
      <w:proofErr w:type="spellEnd"/>
      <w:r w:rsidRPr="001C4043">
        <w:rPr>
          <w:rFonts w:ascii="Times New Roman" w:hAnsi="Times New Roman" w:cs="Times New Roman"/>
          <w:sz w:val="24"/>
          <w:szCs w:val="24"/>
          <w:lang w:eastAsia="lt-LT"/>
        </w:rPr>
        <w:t xml:space="preserve"> force </w:t>
      </w:r>
      <w:proofErr w:type="spellStart"/>
      <w:r w:rsidRPr="001C4043">
        <w:rPr>
          <w:rFonts w:ascii="Times New Roman" w:hAnsi="Times New Roman" w:cs="Times New Roman"/>
          <w:sz w:val="24"/>
          <w:szCs w:val="24"/>
          <w:lang w:eastAsia="lt-LT"/>
        </w:rPr>
        <w:t>of</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the</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contract</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and</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the</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entry</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of</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helicopters</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into</w:t>
      </w:r>
      <w:proofErr w:type="spellEnd"/>
      <w:r w:rsidRPr="001C4043">
        <w:rPr>
          <w:rFonts w:ascii="Times New Roman" w:hAnsi="Times New Roman" w:cs="Times New Roman"/>
          <w:sz w:val="24"/>
          <w:szCs w:val="24"/>
          <w:lang w:eastAsia="lt-LT"/>
        </w:rPr>
        <w:t xml:space="preserve"> </w:t>
      </w:r>
      <w:proofErr w:type="spellStart"/>
      <w:r w:rsidRPr="001C4043">
        <w:rPr>
          <w:rFonts w:ascii="Times New Roman" w:hAnsi="Times New Roman" w:cs="Times New Roman"/>
          <w:sz w:val="24"/>
          <w:szCs w:val="24"/>
          <w:lang w:eastAsia="lt-LT"/>
        </w:rPr>
        <w:t>the</w:t>
      </w:r>
      <w:proofErr w:type="spellEnd"/>
      <w:r w:rsidRPr="001C4043">
        <w:rPr>
          <w:rFonts w:ascii="Times New Roman" w:hAnsi="Times New Roman" w:cs="Times New Roman"/>
          <w:sz w:val="24"/>
          <w:szCs w:val="24"/>
          <w:lang w:eastAsia="lt-LT"/>
        </w:rPr>
        <w:t xml:space="preserve"> CAMO </w:t>
      </w:r>
      <w:proofErr w:type="spellStart"/>
      <w:r w:rsidRPr="001C4043">
        <w:rPr>
          <w:rFonts w:ascii="Times New Roman" w:hAnsi="Times New Roman" w:cs="Times New Roman"/>
          <w:sz w:val="24"/>
          <w:szCs w:val="24"/>
          <w:lang w:eastAsia="lt-LT"/>
        </w:rPr>
        <w:t>organization</w:t>
      </w:r>
      <w:proofErr w:type="spellEnd"/>
      <w:r w:rsidRPr="001C4043">
        <w:rPr>
          <w:rFonts w:ascii="Times New Roman" w:hAnsi="Times New Roman" w:cs="Times New Roman"/>
          <w:sz w:val="24"/>
          <w:szCs w:val="24"/>
          <w:lang w:eastAsia="lt-LT"/>
        </w:rPr>
        <w:t>;</w:t>
      </w:r>
    </w:p>
    <w:p w14:paraId="043A42C3" w14:textId="08215FCC" w:rsidR="00773561" w:rsidRPr="001C4043" w:rsidRDefault="00872277" w:rsidP="00250315">
      <w:pPr>
        <w:widowControl w:val="0"/>
        <w:numPr>
          <w:ilvl w:val="1"/>
          <w:numId w:val="16"/>
        </w:numPr>
        <w:tabs>
          <w:tab w:val="left" w:pos="0"/>
          <w:tab w:val="left" w:pos="540"/>
          <w:tab w:val="left" w:pos="1080"/>
          <w:tab w:val="left" w:pos="1701"/>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duly fulfil other obligations provided for in the Contract and in the applicable legislation of the Republic of Lithuania.</w:t>
      </w:r>
    </w:p>
    <w:p w14:paraId="4A1FE664" w14:textId="10EB9940" w:rsidR="00773561" w:rsidRPr="001C4043" w:rsidRDefault="00872277"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Buyer undertakes</w:t>
      </w:r>
      <w:r w:rsidR="00773561" w:rsidRPr="001C4043">
        <w:rPr>
          <w:rFonts w:ascii="Times New Roman" w:hAnsi="Times New Roman" w:cs="Times New Roman"/>
          <w:sz w:val="24"/>
          <w:szCs w:val="24"/>
          <w:lang w:val="en-GB" w:eastAsia="lt-LT"/>
        </w:rPr>
        <w:t>:</w:t>
      </w:r>
    </w:p>
    <w:p w14:paraId="44D662F8" w14:textId="3BE48F90" w:rsidR="00773561" w:rsidRPr="001C4043" w:rsidRDefault="00773561"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872277" w:rsidRPr="001C4043">
        <w:rPr>
          <w:rFonts w:ascii="Times New Roman" w:hAnsi="Times New Roman" w:cs="Times New Roman"/>
          <w:sz w:val="24"/>
          <w:szCs w:val="24"/>
          <w:lang w:val="en-GB" w:eastAsia="lt-LT"/>
        </w:rPr>
        <w:t>to receive from the Service Provider the services rendered in a proper and qualitative manner in a timely manner and to pay for them in a timely manner in accordance with the procedures set out in this Contract;</w:t>
      </w:r>
    </w:p>
    <w:p w14:paraId="6F9F995C" w14:textId="16E67C57" w:rsidR="00773561" w:rsidRPr="001C4043" w:rsidRDefault="00872277"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1C4043">
        <w:rPr>
          <w:rFonts w:ascii="Times New Roman" w:hAnsi="Times New Roman" w:cs="Times New Roman"/>
          <w:bCs/>
          <w:sz w:val="24"/>
          <w:szCs w:val="24"/>
          <w:lang w:val="en-GB" w:eastAsia="lt-LT"/>
        </w:rPr>
        <w:t>notify the Service Provider immediately of any breach of the terms of the Contract as soon as such breach is detected;</w:t>
      </w:r>
    </w:p>
    <w:p w14:paraId="0B4AC546" w14:textId="6D67E5FB" w:rsidR="00773561" w:rsidRPr="001C4043" w:rsidRDefault="00872277" w:rsidP="00B7559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To provide the Service Provider with all the facilities, information or documentation necessary for the provision of the service</w:t>
      </w:r>
      <w:r w:rsidR="004F1261" w:rsidRPr="001C4043">
        <w:rPr>
          <w:rFonts w:ascii="Times New Roman" w:hAnsi="Times New Roman" w:cs="Times New Roman"/>
          <w:sz w:val="24"/>
          <w:szCs w:val="24"/>
          <w:lang w:val="en-GB"/>
        </w:rPr>
        <w:t>.</w:t>
      </w:r>
    </w:p>
    <w:p w14:paraId="4E7ECCC5" w14:textId="1CBBD4E1" w:rsidR="00773561" w:rsidRPr="001C4043" w:rsidRDefault="00872277" w:rsidP="00DD6B24">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caps/>
          <w:sz w:val="24"/>
          <w:szCs w:val="24"/>
          <w:lang w:val="en-GB"/>
        </w:rPr>
        <w:t>CHAPTER IV</w:t>
      </w:r>
    </w:p>
    <w:p w14:paraId="71828033" w14:textId="497301F9" w:rsidR="00773561" w:rsidRPr="001C4043" w:rsidRDefault="00020797" w:rsidP="00DD6B24">
      <w:pPr>
        <w:tabs>
          <w:tab w:val="left" w:pos="1080"/>
          <w:tab w:val="left" w:pos="1260"/>
        </w:tabs>
        <w:ind w:firstLine="811"/>
        <w:contextualSpacing/>
        <w:jc w:val="center"/>
        <w:rPr>
          <w:rFonts w:ascii="Times New Roman" w:eastAsia="Times New Roman" w:hAnsi="Times New Roman" w:cs="Times New Roman"/>
          <w:b/>
          <w:caps/>
          <w:sz w:val="24"/>
          <w:szCs w:val="24"/>
          <w:lang w:val="en-GB"/>
        </w:rPr>
      </w:pPr>
      <w:r w:rsidRPr="001C4043">
        <w:rPr>
          <w:rFonts w:ascii="Times New Roman" w:eastAsia="Times New Roman" w:hAnsi="Times New Roman" w:cs="Times New Roman"/>
          <w:b/>
          <w:caps/>
          <w:sz w:val="24"/>
          <w:szCs w:val="24"/>
          <w:lang w:val="en-GB"/>
        </w:rPr>
        <w:t>liability</w:t>
      </w:r>
      <w:r w:rsidRPr="001C4043">
        <w:rPr>
          <w:rFonts w:ascii="Times New Roman" w:hAnsi="Times New Roman" w:cs="Times New Roman"/>
          <w:sz w:val="24"/>
          <w:szCs w:val="24"/>
          <w:lang w:val="en-GB" w:eastAsia="lt-LT"/>
        </w:rPr>
        <w:t xml:space="preserve"> </w:t>
      </w:r>
      <w:r w:rsidR="00872277" w:rsidRPr="001C4043">
        <w:rPr>
          <w:rFonts w:ascii="Times New Roman" w:eastAsia="Times New Roman" w:hAnsi="Times New Roman" w:cs="Times New Roman"/>
          <w:b/>
          <w:caps/>
          <w:sz w:val="24"/>
          <w:szCs w:val="24"/>
          <w:lang w:val="en-GB"/>
        </w:rPr>
        <w:t>OF THE PARTIES</w:t>
      </w:r>
    </w:p>
    <w:p w14:paraId="367D0E2D" w14:textId="77777777" w:rsidR="00773561" w:rsidRPr="001C4043" w:rsidRDefault="00773561" w:rsidP="00773561">
      <w:pPr>
        <w:tabs>
          <w:tab w:val="left" w:pos="1080"/>
          <w:tab w:val="left" w:pos="1260"/>
        </w:tabs>
        <w:ind w:firstLine="810"/>
        <w:rPr>
          <w:rFonts w:ascii="Times New Roman" w:eastAsia="Times New Roman" w:hAnsi="Times New Roman" w:cs="Times New Roman"/>
          <w:b/>
          <w:caps/>
          <w:sz w:val="24"/>
          <w:szCs w:val="24"/>
          <w:lang w:val="en-GB"/>
        </w:rPr>
      </w:pPr>
    </w:p>
    <w:p w14:paraId="7695B2AE" w14:textId="2CFFC62F" w:rsidR="00773561" w:rsidRPr="001C4043"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liability of the Parties shall be determined in accordance with the applicable legislation of the Republic of Lithuania and this Contract. The Parties undertake to duly perform their obligations under the Contract and to refrain from any action which might cause damage to each other or make it more difficult for the other Party to fulfil its obligations.</w:t>
      </w:r>
    </w:p>
    <w:p w14:paraId="67F4B159" w14:textId="11E911BA" w:rsidR="00773561" w:rsidRPr="001C4043"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In the event of failure to make payment within the prescribed time limits due to the fault of the Buyer, the Buyer shall, at the request of the Service Provider, be liable to pay to the Service Provider a default interest of 0.03% of the amount not paid on time for each day of delay.</w:t>
      </w:r>
    </w:p>
    <w:p w14:paraId="31449227" w14:textId="0306C80C" w:rsidR="00773561" w:rsidRPr="001C4043"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If the Service Provider fails to provide the services within the time limits set out in the Contract and its Annexes, the Purchaser shall, without formal notice and without prejudice to its other remedies, begin to charge interest at the rate of 0.03% of the price of the unperformed services for each day of default.</w:t>
      </w:r>
    </w:p>
    <w:p w14:paraId="2EA7AE72" w14:textId="14F017BD" w:rsidR="00773561" w:rsidRPr="001C4043" w:rsidRDefault="00020797" w:rsidP="00EB1852">
      <w:pPr>
        <w:keepNext/>
        <w:numPr>
          <w:ilvl w:val="0"/>
          <w:numId w:val="16"/>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val="en-GB" w:eastAsia="lt-LT"/>
        </w:rPr>
      </w:pPr>
      <w:r w:rsidRPr="001C4043">
        <w:rPr>
          <w:rFonts w:ascii="Times New Roman" w:hAnsi="Times New Roman" w:cs="Times New Roman"/>
          <w:sz w:val="24"/>
          <w:szCs w:val="24"/>
          <w:lang w:val="en-GB" w:eastAsia="lt-LT"/>
        </w:rPr>
        <w:lastRenderedPageBreak/>
        <w:t>The payment of interest shall not relieve the Parties of their obligation to perform their obligations under the Contract.</w:t>
      </w:r>
    </w:p>
    <w:p w14:paraId="511C2D03" w14:textId="77777777" w:rsidR="00D11BCF" w:rsidRPr="001C4043" w:rsidRDefault="00D11BCF" w:rsidP="00773561">
      <w:pPr>
        <w:tabs>
          <w:tab w:val="left" w:pos="1080"/>
          <w:tab w:val="left" w:pos="1260"/>
        </w:tabs>
        <w:ind w:firstLine="810"/>
        <w:jc w:val="center"/>
        <w:rPr>
          <w:rFonts w:ascii="Times New Roman" w:eastAsia="Times New Roman" w:hAnsi="Times New Roman" w:cs="Times New Roman"/>
          <w:b/>
          <w:snapToGrid w:val="0"/>
          <w:sz w:val="24"/>
          <w:szCs w:val="24"/>
          <w:lang w:val="en-GB"/>
        </w:rPr>
      </w:pPr>
    </w:p>
    <w:p w14:paraId="71DC21CE" w14:textId="4928C4E9" w:rsidR="00773561" w:rsidRPr="001C4043" w:rsidRDefault="00020797" w:rsidP="00D11BCF">
      <w:pPr>
        <w:tabs>
          <w:tab w:val="left" w:pos="1080"/>
          <w:tab w:val="left" w:pos="1260"/>
        </w:tabs>
        <w:ind w:firstLine="810"/>
        <w:contextualSpacing/>
        <w:jc w:val="center"/>
        <w:rPr>
          <w:rFonts w:ascii="Times New Roman" w:eastAsia="Times New Roman" w:hAnsi="Times New Roman" w:cs="Times New Roman"/>
          <w:b/>
          <w:snapToGrid w:val="0"/>
          <w:sz w:val="24"/>
          <w:szCs w:val="24"/>
          <w:lang w:val="en-GB"/>
        </w:rPr>
      </w:pPr>
      <w:r w:rsidRPr="001C4043">
        <w:rPr>
          <w:rFonts w:ascii="Times New Roman" w:eastAsia="Times New Roman" w:hAnsi="Times New Roman" w:cs="Times New Roman"/>
          <w:b/>
          <w:snapToGrid w:val="0"/>
          <w:sz w:val="24"/>
          <w:szCs w:val="24"/>
          <w:lang w:val="en-GB"/>
        </w:rPr>
        <w:t>CHAPTER V</w:t>
      </w:r>
    </w:p>
    <w:p w14:paraId="2509C63C" w14:textId="49C4A868" w:rsidR="00773561" w:rsidRPr="001C4043" w:rsidRDefault="00020797" w:rsidP="00D11BCF">
      <w:pPr>
        <w:ind w:firstLine="851"/>
        <w:contextualSpacing/>
        <w:jc w:val="center"/>
        <w:rPr>
          <w:rFonts w:ascii="Times New Roman" w:hAnsi="Times New Roman" w:cs="Times New Roman"/>
          <w:b/>
          <w:sz w:val="24"/>
          <w:szCs w:val="24"/>
          <w:lang w:val="en-GB"/>
        </w:rPr>
      </w:pPr>
      <w:r w:rsidRPr="001C4043">
        <w:rPr>
          <w:rFonts w:ascii="Times New Roman" w:hAnsi="Times New Roman" w:cs="Times New Roman"/>
          <w:b/>
          <w:sz w:val="24"/>
          <w:szCs w:val="24"/>
          <w:lang w:val="en-GB"/>
        </w:rPr>
        <w:t>THE SUPPLIER’S RIGHT TO USE THIRD PARTIES (SUBCONTRACTING)</w:t>
      </w:r>
    </w:p>
    <w:p w14:paraId="0306C2F1" w14:textId="77777777" w:rsidR="00773561" w:rsidRPr="001C4043"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3571548B" w14:textId="43BB324F" w:rsidR="00773561" w:rsidRPr="001C4043"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020797" w:rsidRPr="001C4043">
        <w:rPr>
          <w:rFonts w:ascii="Times New Roman" w:hAnsi="Times New Roman" w:cs="Times New Roman"/>
          <w:sz w:val="24"/>
          <w:szCs w:val="24"/>
          <w:lang w:val="en-GB"/>
        </w:rPr>
        <w:t>An arrangement whereby the Service Provider engages third parties to perform part of its obligations under this Contract shall be deemed to be a sub-delivery contract. Such agreement shall be in writing. The Service Provider shall use only those subcontractors for the performance of the Contract as set out in the Service Provider’s tender.</w:t>
      </w:r>
      <w:r w:rsidRPr="001C4043">
        <w:rPr>
          <w:rFonts w:ascii="Times New Roman" w:hAnsi="Times New Roman" w:cs="Times New Roman"/>
          <w:sz w:val="24"/>
          <w:szCs w:val="24"/>
          <w:lang w:val="en-GB"/>
        </w:rPr>
        <w:t xml:space="preserve"> </w:t>
      </w:r>
      <w:r w:rsidR="00020797" w:rsidRPr="001C4043">
        <w:rPr>
          <w:rFonts w:ascii="Times New Roman" w:hAnsi="Times New Roman" w:cs="Times New Roman"/>
          <w:sz w:val="24"/>
          <w:szCs w:val="24"/>
          <w:lang w:val="en-GB"/>
        </w:rPr>
        <w:t>Other subcontractors may be used during the performance of the Contract, provided that they meet the qualification requirements (provided that such requirements have been set out in the Contract Documents and that the Service Provider has relied on a particular subcontractor to meet the requirements set out in the Contract Documents, and the new subcontractor is being used to replace the subcontractor provided for in the tender) and that there are no exclusion grounds.</w:t>
      </w:r>
    </w:p>
    <w:p w14:paraId="57C52CCB" w14:textId="3A0A5CDC" w:rsidR="00773561" w:rsidRPr="001C4043" w:rsidRDefault="00020797"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 xml:space="preserve">During the performance of the Contract, in the event that the </w:t>
      </w:r>
      <w:r w:rsidR="00E81B81" w:rsidRPr="001C4043">
        <w:rPr>
          <w:rFonts w:ascii="Times New Roman" w:hAnsi="Times New Roman" w:cs="Times New Roman"/>
          <w:sz w:val="24"/>
          <w:szCs w:val="24"/>
          <w:lang w:val="en-GB"/>
        </w:rPr>
        <w:t>subcontractor</w:t>
      </w:r>
      <w:r w:rsidRPr="001C4043">
        <w:rPr>
          <w:rFonts w:ascii="Times New Roman" w:hAnsi="Times New Roman" w:cs="Times New Roman"/>
          <w:sz w:val="24"/>
          <w:szCs w:val="24"/>
          <w:lang w:val="en-GB"/>
        </w:rPr>
        <w:t xml:space="preserve">s do not properly perform their obligations to the Service Provider, as well as in the event that the </w:t>
      </w:r>
      <w:r w:rsidR="00E81B81" w:rsidRPr="001C4043">
        <w:rPr>
          <w:rFonts w:ascii="Times New Roman" w:hAnsi="Times New Roman" w:cs="Times New Roman"/>
          <w:sz w:val="24"/>
          <w:szCs w:val="24"/>
          <w:lang w:val="en-GB"/>
        </w:rPr>
        <w:t>subcontractor</w:t>
      </w:r>
      <w:r w:rsidRPr="001C4043">
        <w:rPr>
          <w:rFonts w:ascii="Times New Roman" w:hAnsi="Times New Roman" w:cs="Times New Roman"/>
          <w:sz w:val="24"/>
          <w:szCs w:val="24"/>
          <w:lang w:val="en-GB"/>
        </w:rPr>
        <w:t xml:space="preserve">s are unable to perform their obligations to the Service Provider due to the initiation of a restructuring, insolvency, bankruptcy, extrajudicial insolvency, compulsory liquidation or arrangement with creditors or similar proceedings, or/and there is a need for the use of new </w:t>
      </w:r>
      <w:r w:rsidR="00E81B81" w:rsidRPr="001C4043">
        <w:rPr>
          <w:rFonts w:ascii="Times New Roman" w:hAnsi="Times New Roman" w:cs="Times New Roman"/>
          <w:sz w:val="24"/>
          <w:szCs w:val="24"/>
          <w:lang w:val="en-GB"/>
        </w:rPr>
        <w:t>subcontractor</w:t>
      </w:r>
      <w:r w:rsidRPr="001C4043">
        <w:rPr>
          <w:rFonts w:ascii="Times New Roman" w:hAnsi="Times New Roman" w:cs="Times New Roman"/>
          <w:sz w:val="24"/>
          <w:szCs w:val="24"/>
          <w:lang w:val="en-GB"/>
        </w:rPr>
        <w:t xml:space="preserve">s, the Service Provider may change or use new </w:t>
      </w:r>
      <w:r w:rsidR="00E81B81" w:rsidRPr="001C4043">
        <w:rPr>
          <w:rFonts w:ascii="Times New Roman" w:hAnsi="Times New Roman" w:cs="Times New Roman"/>
          <w:sz w:val="24"/>
          <w:szCs w:val="24"/>
          <w:lang w:val="en-GB"/>
        </w:rPr>
        <w:t>subcontractor</w:t>
      </w:r>
      <w:r w:rsidRPr="001C4043">
        <w:rPr>
          <w:rFonts w:ascii="Times New Roman" w:hAnsi="Times New Roman" w:cs="Times New Roman"/>
          <w:sz w:val="24"/>
          <w:szCs w:val="24"/>
          <w:lang w:val="en-GB"/>
        </w:rPr>
        <w:t>s.</w:t>
      </w:r>
      <w:r w:rsidR="00773561" w:rsidRPr="001C4043">
        <w:rPr>
          <w:rFonts w:ascii="Times New Roman" w:hAnsi="Times New Roman" w:cs="Times New Roman"/>
          <w:sz w:val="24"/>
          <w:szCs w:val="24"/>
          <w:lang w:val="en-GB"/>
        </w:rPr>
        <w:t xml:space="preserve"> </w:t>
      </w:r>
      <w:r w:rsidR="009006C4" w:rsidRPr="001C4043">
        <w:rPr>
          <w:rFonts w:ascii="Times New Roman" w:hAnsi="Times New Roman" w:cs="Times New Roman"/>
          <w:sz w:val="24"/>
          <w:szCs w:val="24"/>
          <w:lang w:val="en-GB"/>
        </w:rPr>
        <w:t xml:space="preserve">The Service Provider shall inform the Buyer in writing in advance, specifying the reasons for the change of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or the use of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and the future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In the event that the Service Provider wishes to use a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and the procurement documents required qualifications for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or if the Service Provider has relied on the capabilities of a specific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to meet the requirements set out in the procurement documents and the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is used instead of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provided for in the tender, the Service Provider must also provide, in the prior notification of the use of the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documentation confirming that no grounds for exclusion exist, and documents demonstrating compliance with the qualification.</w:t>
      </w:r>
      <w:r w:rsidR="00773561" w:rsidRPr="001C4043">
        <w:rPr>
          <w:rFonts w:ascii="Times New Roman" w:hAnsi="Times New Roman" w:cs="Times New Roman"/>
          <w:sz w:val="24"/>
          <w:szCs w:val="24"/>
          <w:lang w:val="en-GB"/>
        </w:rPr>
        <w:t xml:space="preserve"> </w:t>
      </w:r>
      <w:r w:rsidR="009006C4" w:rsidRPr="001C4043">
        <w:rPr>
          <w:rFonts w:ascii="Times New Roman" w:hAnsi="Times New Roman" w:cs="Times New Roman"/>
          <w:sz w:val="24"/>
          <w:szCs w:val="24"/>
          <w:lang w:val="en-GB"/>
        </w:rPr>
        <w:t xml:space="preserve">The subcontractor must be free from exclusion grounds and meet the qualification requirements set out in the contract documents at the date of their engagement. In such a case, the Buyer shall assess the compliance of the substituted and/or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with the qualification requirements and the absence of grounds for exclusion of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and shall only accept the substitution of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and the use of the new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s if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s comply with the qualification requirements and if there are no grounds for the exclusion of the subcontractors.</w:t>
      </w:r>
      <w:r w:rsidR="00773561" w:rsidRPr="001C4043">
        <w:rPr>
          <w:rFonts w:ascii="Times New Roman" w:hAnsi="Times New Roman" w:cs="Times New Roman"/>
          <w:sz w:val="24"/>
          <w:szCs w:val="24"/>
          <w:lang w:val="en-GB"/>
        </w:rPr>
        <w:t xml:space="preserve"> </w:t>
      </w:r>
      <w:r w:rsidR="009006C4" w:rsidRPr="001C4043">
        <w:rPr>
          <w:rFonts w:ascii="Times New Roman" w:hAnsi="Times New Roman" w:cs="Times New Roman"/>
          <w:sz w:val="24"/>
          <w:szCs w:val="24"/>
          <w:lang w:val="en-GB"/>
        </w:rPr>
        <w:t xml:space="preserve">If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whose capacities are relied upon does not meet the qualification requirements or if its situation meets at least one of the grounds for exclusion, the Buyer shall require it to replace the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with a compliant </w:t>
      </w:r>
      <w:r w:rsidR="00E81B81" w:rsidRPr="001C4043">
        <w:rPr>
          <w:rFonts w:ascii="Times New Roman" w:hAnsi="Times New Roman" w:cs="Times New Roman"/>
          <w:sz w:val="24"/>
          <w:szCs w:val="24"/>
          <w:lang w:val="en-GB"/>
        </w:rPr>
        <w:t>subcontractor</w:t>
      </w:r>
      <w:r w:rsidR="009006C4" w:rsidRPr="001C4043">
        <w:rPr>
          <w:rFonts w:ascii="Times New Roman" w:hAnsi="Times New Roman" w:cs="Times New Roman"/>
          <w:sz w:val="24"/>
          <w:szCs w:val="24"/>
          <w:lang w:val="en-GB"/>
        </w:rPr>
        <w:t xml:space="preserve"> within a reasonable period to be determined by the Buyer. The replacement of subcontractors shall be formalised by an agreement signed by both Parties. This agreement shall become an integral part of the Contract.</w:t>
      </w:r>
    </w:p>
    <w:p w14:paraId="42543F7D" w14:textId="77777777" w:rsidR="00773561" w:rsidRPr="001C4043"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35146CC9" w14:textId="2411C832" w:rsidR="00773561" w:rsidRPr="001C4043"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bCs/>
          <w:sz w:val="24"/>
          <w:szCs w:val="24"/>
          <w:lang w:val="en-GB" w:eastAsia="lt-LT"/>
        </w:rPr>
        <w:t>CHAPTER VI</w:t>
      </w:r>
    </w:p>
    <w:p w14:paraId="6B9E34B5" w14:textId="1A4F52C7" w:rsidR="00773561" w:rsidRPr="001C4043" w:rsidRDefault="009006C4"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lang w:val="en-GB"/>
        </w:rPr>
      </w:pPr>
      <w:r w:rsidRPr="001C4043">
        <w:rPr>
          <w:rFonts w:ascii="Times New Roman" w:eastAsia="Times New Roman" w:hAnsi="Times New Roman" w:cs="Times New Roman"/>
          <w:b/>
          <w:snapToGrid w:val="0"/>
          <w:sz w:val="24"/>
          <w:szCs w:val="24"/>
          <w:lang w:val="en-GB"/>
        </w:rPr>
        <w:t>FORCE MAJEURE CIRCUMSTANCES</w:t>
      </w:r>
    </w:p>
    <w:p w14:paraId="2F58EDDB" w14:textId="77777777" w:rsidR="00773561" w:rsidRPr="001C4043"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01A9A5D5" w14:textId="6D2668BC"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A Party shall not be held liable for the non-performance or partial non-performance of any obligations under the Contract if the Party proves that the non-performance or partial non-performance of the contractual obligations is due to circumstances beyond its reasonable control and foreseeable at </w:t>
      </w:r>
      <w:r w:rsidRPr="001C4043">
        <w:rPr>
          <w:rFonts w:ascii="Times New Roman" w:hAnsi="Times New Roman" w:cs="Times New Roman"/>
          <w:sz w:val="24"/>
          <w:szCs w:val="24"/>
          <w:lang w:val="en-GB" w:eastAsia="lt-LT"/>
        </w:rPr>
        <w:lastRenderedPageBreak/>
        <w:t>the time of the conclusion of the Contract, and that it could not have prevented the occurrence of those circumstances or their consequences.</w:t>
      </w:r>
    </w:p>
    <w:p w14:paraId="644B837D" w14:textId="719793FA"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Force majeure shall be deemed to be the circumstances specified in Article 6.212 of the Civil Code of the Republic of Lithuania and other legal acts of the Republic of Lithuania. In the event of force majeure, the Parties shall be exempted from liability for non-performance, partial non-performance or improper performance of their contractual obligations under the Contract in accordance with the procedure laid down in the legislation of the Republic of Lithuania, and the time limit for the fulfilment of the obligations shall be extended.</w:t>
      </w:r>
    </w:p>
    <w:p w14:paraId="40004B92" w14:textId="0C82A7B3"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Party requesting to be relieved of liability must notify the other Party in writing of the force majeure circumstances immediately, but no later than 3 (three) working days after the occurrence or discovery of such circumstances, by providing documentation proving the existence of such circumstances and evidence that it has taken all reasonable precautions and made every effort to minimise the costs or adverse consequences, and of the possible time limit for the fulfilment of its obligations. Notification is also required when the grounds for default cease to exist.</w:t>
      </w:r>
    </w:p>
    <w:p w14:paraId="665FFA53" w14:textId="5B5F6205"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grounds for exempting a party from liability shall arise from the moment of the occurrence of the force majeure event or, in the case of failure to give timely notice, from the moment of giving notice. If a Party fails to give timely notice or to inform and document the existence of force majeure, it shall be liable to compensate the other Party for the damage suffered by the other Party as a result of the failure to give timely notice or the absence of any notice.</w:t>
      </w:r>
    </w:p>
    <w:p w14:paraId="0B133DA3" w14:textId="77777777" w:rsidR="00773561" w:rsidRPr="001C4043" w:rsidRDefault="00773561" w:rsidP="00773561">
      <w:pPr>
        <w:jc w:val="center"/>
        <w:rPr>
          <w:rFonts w:ascii="Times New Roman" w:eastAsia="Times New Roman" w:hAnsi="Times New Roman" w:cs="Times New Roman"/>
          <w:b/>
          <w:sz w:val="24"/>
          <w:szCs w:val="24"/>
          <w:lang w:val="en-GB"/>
        </w:rPr>
      </w:pPr>
    </w:p>
    <w:p w14:paraId="7C3056E0" w14:textId="36FFE53E" w:rsidR="00773561" w:rsidRPr="001C4043"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VII</w:t>
      </w:r>
    </w:p>
    <w:p w14:paraId="6581C636" w14:textId="0B392D10" w:rsidR="00773561" w:rsidRPr="001C4043" w:rsidRDefault="009006C4" w:rsidP="00951FFA">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1C4043">
        <w:rPr>
          <w:rFonts w:ascii="Times New Roman" w:eastAsia="Times New Roman" w:hAnsi="Times New Roman" w:cs="Times New Roman"/>
          <w:b/>
          <w:color w:val="000000"/>
          <w:sz w:val="24"/>
          <w:szCs w:val="24"/>
          <w:lang w:val="en-GB"/>
        </w:rPr>
        <w:t>CONFIDENTIALITY OBLIGATIONS</w:t>
      </w:r>
    </w:p>
    <w:p w14:paraId="3E9DE2C1" w14:textId="77777777" w:rsidR="00773561" w:rsidRPr="001C4043" w:rsidRDefault="00773561" w:rsidP="00773561">
      <w:pPr>
        <w:tabs>
          <w:tab w:val="left" w:pos="1080"/>
          <w:tab w:val="left" w:pos="1260"/>
        </w:tabs>
        <w:ind w:firstLine="810"/>
        <w:rPr>
          <w:rFonts w:ascii="Times New Roman" w:eastAsia="Times New Roman" w:hAnsi="Times New Roman" w:cs="Times New Roman"/>
          <w:color w:val="000000"/>
          <w:sz w:val="24"/>
          <w:szCs w:val="24"/>
          <w:lang w:val="en-GB"/>
        </w:rPr>
      </w:pPr>
    </w:p>
    <w:p w14:paraId="4A10D77C" w14:textId="06B37375" w:rsidR="00773561" w:rsidRPr="001C4043"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9006C4" w:rsidRPr="001C4043">
        <w:rPr>
          <w:rFonts w:ascii="Times New Roman" w:hAnsi="Times New Roman" w:cs="Times New Roman"/>
          <w:color w:val="000000"/>
          <w:sz w:val="24"/>
          <w:szCs w:val="24"/>
          <w:lang w:val="en-GB" w:eastAsia="lt-LT"/>
        </w:rPr>
        <w:t>The Buyer shall make public the Service Provider's tender, the concluded Contract and amendments to this Contract, except for information the disclosure of which would be contrary to legislation on the protection of information and data or the public interest, would harm the legitimate commercial interests of the Service Provider in question, or would have a negative effect on competition between suppliers.</w:t>
      </w:r>
    </w:p>
    <w:p w14:paraId="2062C9CF" w14:textId="0CF173D5"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Confidentiality obligations of the Parties to the Contract shall be determined in accordance with Article 20 of the Public Procurement Law of the Republic of Lithuania.</w:t>
      </w:r>
    </w:p>
    <w:p w14:paraId="676B2BE8" w14:textId="77777777" w:rsidR="00E72AB7" w:rsidRPr="001C4043"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75B548E9" w14:textId="77777777" w:rsidR="00E72AB7" w:rsidRPr="001C4043"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110B6960" w14:textId="77777777" w:rsidR="00E72AB7" w:rsidRPr="001C4043"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216A3DF1" w14:textId="77777777" w:rsidR="00E72AB7" w:rsidRPr="001C4043"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6E5BB580" w14:textId="77777777" w:rsidR="00E72AB7" w:rsidRPr="001C4043"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08E4D476" w14:textId="05E200F8" w:rsidR="00773561" w:rsidRPr="001C4043" w:rsidRDefault="009006C4" w:rsidP="00102748">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VIII</w:t>
      </w:r>
    </w:p>
    <w:p w14:paraId="4DB75735" w14:textId="7F3E192C" w:rsidR="00773561" w:rsidRPr="001C4043" w:rsidRDefault="009006C4" w:rsidP="00102748">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1C4043">
        <w:rPr>
          <w:rFonts w:ascii="Times New Roman" w:eastAsia="Times New Roman" w:hAnsi="Times New Roman" w:cs="Times New Roman"/>
          <w:b/>
          <w:color w:val="000000"/>
          <w:sz w:val="24"/>
          <w:szCs w:val="24"/>
          <w:lang w:val="en-GB"/>
        </w:rPr>
        <w:t>CONTRACT AMENDMENTS</w:t>
      </w:r>
    </w:p>
    <w:p w14:paraId="0D9969C5" w14:textId="77777777" w:rsidR="00773561" w:rsidRPr="001C4043" w:rsidRDefault="00773561" w:rsidP="00773561">
      <w:pPr>
        <w:tabs>
          <w:tab w:val="left" w:pos="1080"/>
          <w:tab w:val="left" w:pos="1260"/>
        </w:tabs>
        <w:rPr>
          <w:rFonts w:ascii="Times New Roman" w:eastAsia="Times New Roman" w:hAnsi="Times New Roman" w:cs="Times New Roman"/>
          <w:color w:val="000000"/>
          <w:sz w:val="24"/>
          <w:szCs w:val="24"/>
          <w:lang w:val="en-GB"/>
        </w:rPr>
      </w:pPr>
    </w:p>
    <w:p w14:paraId="517B520E" w14:textId="479C4730"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rPr>
        <w:t>The Contract may be amended in accordance with the provisions of Article 89 of the Public Procurement Law of the Republic of Lithuania (hereinafter referred to as the Public Procurement Law).</w:t>
      </w:r>
    </w:p>
    <w:p w14:paraId="0307B25D" w14:textId="0A337150" w:rsidR="00773561" w:rsidRPr="001C4043"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rPr>
        <w:t>Any Party may initiate an amendment to the terms of the Contract by submitting to the other Party a request to that effect, together with supporting documentation. The Party receiving such a request shall examine it within 10 calendar days and provide the other Party with a reasoned written response. In the event of disagreement between the Parties, the Buyer shall have the right to decide. Any modification of the terms of the Contract shall be formalised by agreement of the Parties and shall become an integral part of the Contract.</w:t>
      </w:r>
    </w:p>
    <w:p w14:paraId="59525401" w14:textId="77777777" w:rsidR="00773561" w:rsidRPr="001C4043"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466D8960" w14:textId="22E5AB31" w:rsidR="00773561" w:rsidRPr="001C4043" w:rsidRDefault="009006C4" w:rsidP="005F6BD9">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lastRenderedPageBreak/>
        <w:t>CHAPTER IX</w:t>
      </w:r>
    </w:p>
    <w:p w14:paraId="733BFEA4" w14:textId="4D736349" w:rsidR="00773561" w:rsidRPr="001C4043" w:rsidRDefault="003D593E" w:rsidP="005F6BD9">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1C4043">
        <w:rPr>
          <w:rFonts w:ascii="Times New Roman" w:eastAsia="Times New Roman" w:hAnsi="Times New Roman" w:cs="Times New Roman"/>
          <w:b/>
          <w:color w:val="000000"/>
          <w:sz w:val="24"/>
          <w:szCs w:val="24"/>
          <w:lang w:val="en-GB"/>
        </w:rPr>
        <w:t>BREACH OF CONTRACT</w:t>
      </w:r>
    </w:p>
    <w:p w14:paraId="5FA4C074" w14:textId="77777777" w:rsidR="00773561" w:rsidRPr="001C4043"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4E780B1D" w14:textId="70D17E65"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If either Party to the Contract fails to perform or improperly performs any of its obligations under the Contract, it is in breach of the Contract.</w:t>
      </w:r>
    </w:p>
    <w:p w14:paraId="6E4F43BB" w14:textId="4C48A2AD"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In the event of a breach of the Contract by one of the Parties to the Contract, the affected Party shall be entitled to:</w:t>
      </w:r>
    </w:p>
    <w:p w14:paraId="71E641DC" w14:textId="07B88689"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require the other Party to fulfil its contractual obligations</w:t>
      </w:r>
      <w:r w:rsidRPr="001C4043">
        <w:rPr>
          <w:rFonts w:ascii="Times New Roman" w:hAnsi="Times New Roman" w:cs="Times New Roman"/>
          <w:sz w:val="24"/>
          <w:szCs w:val="24"/>
          <w:lang w:val="en-GB" w:eastAsia="lt-LT"/>
        </w:rPr>
        <w:t>;</w:t>
      </w:r>
    </w:p>
    <w:p w14:paraId="2979888A" w14:textId="22A67666"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sz w:val="24"/>
          <w:szCs w:val="24"/>
          <w:lang w:val="en-GB" w:eastAsia="lt-LT"/>
        </w:rPr>
        <w:t>claim compensation for damages</w:t>
      </w:r>
      <w:r w:rsidRPr="001C4043">
        <w:rPr>
          <w:rFonts w:ascii="Times New Roman" w:hAnsi="Times New Roman" w:cs="Times New Roman"/>
          <w:sz w:val="24"/>
          <w:szCs w:val="24"/>
          <w:lang w:val="en-GB" w:eastAsia="lt-LT"/>
        </w:rPr>
        <w:t>;</w:t>
      </w:r>
    </w:p>
    <w:p w14:paraId="3677D419" w14:textId="30960F1B"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sz w:val="24"/>
          <w:szCs w:val="24"/>
          <w:lang w:val="en-GB" w:eastAsia="lt-LT"/>
        </w:rPr>
        <w:t>demand payment of the default interest provided for in clauses 1</w:t>
      </w:r>
      <w:r w:rsidR="00A83AB4" w:rsidRPr="001C4043">
        <w:rPr>
          <w:rFonts w:ascii="Times New Roman" w:hAnsi="Times New Roman" w:cs="Times New Roman"/>
          <w:sz w:val="24"/>
          <w:szCs w:val="24"/>
          <w:lang w:val="en-GB" w:eastAsia="lt-LT"/>
        </w:rPr>
        <w:t>3</w:t>
      </w:r>
      <w:r w:rsidR="003D593E" w:rsidRPr="001C4043">
        <w:rPr>
          <w:rFonts w:ascii="Times New Roman" w:hAnsi="Times New Roman" w:cs="Times New Roman"/>
          <w:sz w:val="24"/>
          <w:szCs w:val="24"/>
          <w:lang w:val="en-GB" w:eastAsia="lt-LT"/>
        </w:rPr>
        <w:t xml:space="preserve"> and 1</w:t>
      </w:r>
      <w:r w:rsidR="00A83AB4" w:rsidRPr="001C4043">
        <w:rPr>
          <w:rFonts w:ascii="Times New Roman" w:hAnsi="Times New Roman" w:cs="Times New Roman"/>
          <w:sz w:val="24"/>
          <w:szCs w:val="24"/>
          <w:lang w:val="en-GB" w:eastAsia="lt-LT"/>
        </w:rPr>
        <w:t>4</w:t>
      </w:r>
      <w:r w:rsidR="003D593E" w:rsidRPr="001C4043">
        <w:rPr>
          <w:rFonts w:ascii="Times New Roman" w:hAnsi="Times New Roman" w:cs="Times New Roman"/>
          <w:sz w:val="24"/>
          <w:szCs w:val="24"/>
          <w:lang w:val="en-GB" w:eastAsia="lt-LT"/>
        </w:rPr>
        <w:t xml:space="preserve"> of the Contract</w:t>
      </w:r>
      <w:r w:rsidRPr="001C4043">
        <w:rPr>
          <w:rFonts w:ascii="Times New Roman" w:hAnsi="Times New Roman" w:cs="Times New Roman"/>
          <w:sz w:val="24"/>
          <w:szCs w:val="24"/>
          <w:lang w:val="en-GB" w:eastAsia="lt-LT"/>
        </w:rPr>
        <w:t>;</w:t>
      </w:r>
    </w:p>
    <w:p w14:paraId="2E10A53D" w14:textId="23EF042E"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terminate the Contract</w:t>
      </w:r>
      <w:r w:rsidRPr="001C4043">
        <w:rPr>
          <w:rFonts w:ascii="Times New Roman" w:hAnsi="Times New Roman" w:cs="Times New Roman"/>
          <w:sz w:val="24"/>
          <w:szCs w:val="24"/>
          <w:lang w:val="en-GB" w:eastAsia="lt-LT"/>
        </w:rPr>
        <w:t>;</w:t>
      </w:r>
    </w:p>
    <w:p w14:paraId="4F9FED0D" w14:textId="25918B9A"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sz w:val="24"/>
          <w:szCs w:val="24"/>
          <w:lang w:val="en-GB" w:eastAsia="lt-LT"/>
        </w:rPr>
        <w:t>apply other remedies provided for by the legislation of the Republic of Lithuania</w:t>
      </w:r>
      <w:r w:rsidRPr="001C4043">
        <w:rPr>
          <w:rFonts w:ascii="Times New Roman" w:hAnsi="Times New Roman" w:cs="Times New Roman"/>
          <w:sz w:val="24"/>
          <w:szCs w:val="24"/>
          <w:lang w:val="en-GB" w:eastAsia="lt-LT"/>
        </w:rPr>
        <w:t>.</w:t>
      </w:r>
    </w:p>
    <w:p w14:paraId="4555E809" w14:textId="4CFE68D9"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For the purposes of this Contract, the following shall be deemed to be material terms</w:t>
      </w:r>
      <w:r w:rsidR="00773561" w:rsidRPr="001C4043">
        <w:rPr>
          <w:rFonts w:ascii="Times New Roman" w:hAnsi="Times New Roman" w:cs="Times New Roman"/>
          <w:sz w:val="24"/>
          <w:szCs w:val="24"/>
          <w:lang w:val="en-GB" w:eastAsia="lt-LT"/>
        </w:rPr>
        <w:t>:</w:t>
      </w:r>
    </w:p>
    <w:p w14:paraId="0BB372B8" w14:textId="53306BB2"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object of the Contract</w:t>
      </w:r>
      <w:r w:rsidRPr="001C4043">
        <w:rPr>
          <w:rFonts w:ascii="Times New Roman" w:hAnsi="Times New Roman" w:cs="Times New Roman"/>
          <w:sz w:val="24"/>
          <w:szCs w:val="24"/>
          <w:lang w:val="en-GB" w:eastAsia="lt-LT"/>
        </w:rPr>
        <w:t>;</w:t>
      </w:r>
    </w:p>
    <w:p w14:paraId="7E44C153" w14:textId="232165D4"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sz w:val="24"/>
          <w:szCs w:val="24"/>
          <w:lang w:val="en-GB" w:eastAsia="lt-LT"/>
        </w:rPr>
        <w:t>Contract price and pricing rules</w:t>
      </w:r>
      <w:r w:rsidRPr="001C4043">
        <w:rPr>
          <w:rFonts w:ascii="Times New Roman" w:hAnsi="Times New Roman" w:cs="Times New Roman"/>
          <w:sz w:val="24"/>
          <w:szCs w:val="24"/>
          <w:lang w:val="en-GB" w:eastAsia="lt-LT"/>
        </w:rPr>
        <w:t>;</w:t>
      </w:r>
    </w:p>
    <w:p w14:paraId="2EB98E1B" w14:textId="10928F59"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payment terms and procedures</w:t>
      </w:r>
      <w:r w:rsidR="00236169" w:rsidRPr="001C4043">
        <w:rPr>
          <w:rFonts w:ascii="Times New Roman" w:hAnsi="Times New Roman" w:cs="Times New Roman"/>
          <w:sz w:val="24"/>
          <w:szCs w:val="24"/>
          <w:lang w:val="en-GB" w:eastAsia="lt-LT"/>
        </w:rPr>
        <w:t>;</w:t>
      </w:r>
    </w:p>
    <w:p w14:paraId="074D6A93" w14:textId="2EEF13DA" w:rsidR="00236169" w:rsidRPr="001C4043" w:rsidRDefault="000041DE"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 xml:space="preserve">procedures for replacing </w:t>
      </w:r>
      <w:r w:rsidR="00E81B81" w:rsidRPr="001C4043">
        <w:rPr>
          <w:rFonts w:ascii="Times New Roman" w:hAnsi="Times New Roman" w:cs="Times New Roman"/>
          <w:sz w:val="24"/>
          <w:szCs w:val="24"/>
          <w:lang w:val="en-GB" w:eastAsia="lt-LT"/>
        </w:rPr>
        <w:t>subcontractor</w:t>
      </w:r>
      <w:r w:rsidR="003D593E" w:rsidRPr="001C4043">
        <w:rPr>
          <w:rFonts w:ascii="Times New Roman" w:hAnsi="Times New Roman" w:cs="Times New Roman"/>
          <w:sz w:val="24"/>
          <w:szCs w:val="24"/>
          <w:lang w:val="en-GB" w:eastAsia="lt-LT"/>
        </w:rPr>
        <w:t>(s) and specialists</w:t>
      </w:r>
      <w:r w:rsidRPr="001C4043">
        <w:rPr>
          <w:rFonts w:ascii="Times New Roman" w:hAnsi="Times New Roman" w:cs="Times New Roman"/>
          <w:sz w:val="24"/>
          <w:szCs w:val="24"/>
          <w:lang w:val="en-GB" w:eastAsia="lt-LT"/>
        </w:rPr>
        <w:t>;</w:t>
      </w:r>
    </w:p>
    <w:p w14:paraId="7A68EA04" w14:textId="33A4A76C" w:rsidR="000041DE" w:rsidRPr="001C4043" w:rsidRDefault="00612698"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color w:val="000000"/>
          <w:sz w:val="24"/>
          <w:szCs w:val="24"/>
          <w:lang w:val="en-GB" w:eastAsia="lt-LT"/>
        </w:rPr>
        <w:t>Environmental requirements referred to in sub-clause 1</w:t>
      </w:r>
      <w:r w:rsidR="0058391C" w:rsidRPr="001C4043">
        <w:rPr>
          <w:rFonts w:ascii="Times New Roman" w:hAnsi="Times New Roman" w:cs="Times New Roman"/>
          <w:color w:val="000000"/>
          <w:sz w:val="24"/>
          <w:szCs w:val="24"/>
          <w:lang w:val="en-GB" w:eastAsia="lt-LT"/>
        </w:rPr>
        <w:t>0</w:t>
      </w:r>
      <w:r w:rsidR="003D593E" w:rsidRPr="001C4043">
        <w:rPr>
          <w:rFonts w:ascii="Times New Roman" w:hAnsi="Times New Roman" w:cs="Times New Roman"/>
          <w:color w:val="000000"/>
          <w:sz w:val="24"/>
          <w:szCs w:val="24"/>
          <w:lang w:val="en-GB" w:eastAsia="lt-LT"/>
        </w:rPr>
        <w:t>.</w:t>
      </w:r>
      <w:r w:rsidR="0058391C" w:rsidRPr="001C4043">
        <w:rPr>
          <w:rFonts w:ascii="Times New Roman" w:hAnsi="Times New Roman" w:cs="Times New Roman"/>
          <w:color w:val="000000"/>
          <w:sz w:val="24"/>
          <w:szCs w:val="24"/>
          <w:lang w:val="en-GB" w:eastAsia="lt-LT"/>
        </w:rPr>
        <w:t>9</w:t>
      </w:r>
      <w:r w:rsidR="003D593E" w:rsidRPr="001C4043">
        <w:rPr>
          <w:rFonts w:ascii="Times New Roman" w:hAnsi="Times New Roman" w:cs="Times New Roman"/>
          <w:color w:val="000000"/>
          <w:sz w:val="24"/>
          <w:szCs w:val="24"/>
          <w:lang w:val="en-GB" w:eastAsia="lt-LT"/>
        </w:rPr>
        <w:t xml:space="preserve"> of the Contract</w:t>
      </w:r>
      <w:r w:rsidR="00C00412" w:rsidRPr="001C4043">
        <w:rPr>
          <w:rFonts w:ascii="Times New Roman" w:hAnsi="Times New Roman" w:cs="Times New Roman"/>
          <w:color w:val="000000"/>
          <w:sz w:val="24"/>
          <w:szCs w:val="24"/>
          <w:lang w:val="en-GB" w:eastAsia="lt-LT"/>
        </w:rPr>
        <w:t>;</w:t>
      </w:r>
    </w:p>
    <w:p w14:paraId="6A3C285E" w14:textId="77777777" w:rsidR="006F6465" w:rsidRPr="001C4043" w:rsidRDefault="00544629"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 xml:space="preserve"> </w:t>
      </w:r>
      <w:r w:rsidR="003D593E" w:rsidRPr="001C4043">
        <w:rPr>
          <w:rFonts w:ascii="Times New Roman" w:hAnsi="Times New Roman" w:cs="Times New Roman"/>
          <w:color w:val="000000"/>
          <w:sz w:val="24"/>
          <w:szCs w:val="24"/>
          <w:lang w:val="en-GB" w:eastAsia="lt-LT"/>
        </w:rPr>
        <w:t>the quality of the services in accordance with the requirements set out in the Contract and its Annexes</w:t>
      </w:r>
      <w:r w:rsidR="00FC0E81" w:rsidRPr="001C4043">
        <w:rPr>
          <w:rFonts w:ascii="Times New Roman" w:hAnsi="Times New Roman" w:cs="Times New Roman"/>
          <w:color w:val="000000"/>
          <w:sz w:val="24"/>
          <w:szCs w:val="24"/>
          <w:lang w:val="en-GB" w:eastAsia="lt-LT"/>
        </w:rPr>
        <w:t>;</w:t>
      </w:r>
    </w:p>
    <w:p w14:paraId="19B704FD" w14:textId="6F4FFA24" w:rsidR="00617280" w:rsidRPr="001C4043" w:rsidRDefault="003D593E"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The Contractor’s obligation to comply with the provisions of clause 49 of the Code during the performance of the Contract, as provided for in clause 1</w:t>
      </w:r>
      <w:r w:rsidR="0058391C" w:rsidRPr="001C4043">
        <w:rPr>
          <w:rFonts w:ascii="Times New Roman" w:hAnsi="Times New Roman" w:cs="Times New Roman"/>
          <w:color w:val="000000"/>
          <w:sz w:val="24"/>
          <w:szCs w:val="24"/>
          <w:lang w:val="en-GB" w:eastAsia="lt-LT"/>
        </w:rPr>
        <w:t>0</w:t>
      </w:r>
      <w:r w:rsidRPr="001C4043">
        <w:rPr>
          <w:rFonts w:ascii="Times New Roman" w:hAnsi="Times New Roman" w:cs="Times New Roman"/>
          <w:color w:val="000000"/>
          <w:sz w:val="24"/>
          <w:szCs w:val="24"/>
          <w:lang w:val="en-GB" w:eastAsia="lt-LT"/>
        </w:rPr>
        <w:t>.</w:t>
      </w:r>
      <w:r w:rsidR="0058391C" w:rsidRPr="001C4043">
        <w:rPr>
          <w:rFonts w:ascii="Times New Roman" w:hAnsi="Times New Roman" w:cs="Times New Roman"/>
          <w:color w:val="000000"/>
          <w:sz w:val="24"/>
          <w:szCs w:val="24"/>
          <w:lang w:val="en-GB" w:eastAsia="lt-LT"/>
        </w:rPr>
        <w:t>10</w:t>
      </w:r>
      <w:r w:rsidRPr="001C4043">
        <w:rPr>
          <w:rFonts w:ascii="Times New Roman" w:hAnsi="Times New Roman" w:cs="Times New Roman"/>
          <w:color w:val="000000"/>
          <w:sz w:val="24"/>
          <w:szCs w:val="24"/>
          <w:lang w:val="en-GB" w:eastAsia="lt-LT"/>
        </w:rPr>
        <w:t xml:space="preserve"> of the Contract</w:t>
      </w:r>
      <w:r w:rsidR="00202D4E" w:rsidRPr="001C4043">
        <w:rPr>
          <w:rFonts w:ascii="Times New Roman" w:hAnsi="Times New Roman" w:cs="Times New Roman"/>
          <w:color w:val="000000"/>
          <w:sz w:val="24"/>
          <w:szCs w:val="24"/>
          <w:lang w:val="en-GB" w:eastAsia="lt-LT"/>
        </w:rPr>
        <w:t>.</w:t>
      </w:r>
    </w:p>
    <w:p w14:paraId="1F8D6C84" w14:textId="35A300CA"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sz w:val="24"/>
          <w:szCs w:val="24"/>
          <w:lang w:val="en-GB" w:eastAsia="lt-LT"/>
        </w:rPr>
        <w:t>Breach of the conditions set out in clause 2</w:t>
      </w:r>
      <w:r w:rsidR="00FA1B07" w:rsidRPr="001C4043">
        <w:rPr>
          <w:rFonts w:ascii="Times New Roman" w:hAnsi="Times New Roman" w:cs="Times New Roman"/>
          <w:sz w:val="24"/>
          <w:szCs w:val="24"/>
          <w:lang w:val="en-GB" w:eastAsia="lt-LT"/>
        </w:rPr>
        <w:t>8</w:t>
      </w:r>
      <w:r w:rsidRPr="001C4043">
        <w:rPr>
          <w:rFonts w:ascii="Times New Roman" w:hAnsi="Times New Roman" w:cs="Times New Roman"/>
          <w:sz w:val="24"/>
          <w:szCs w:val="24"/>
          <w:lang w:val="en-GB" w:eastAsia="lt-LT"/>
        </w:rPr>
        <w:t xml:space="preserve"> of the Contract shall be considered a material breach of the Contract.</w:t>
      </w:r>
    </w:p>
    <w:p w14:paraId="193AD6D9" w14:textId="237855C7" w:rsidR="009C48D5"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1C4043">
        <w:rPr>
          <w:rFonts w:ascii="Times New Roman" w:hAnsi="Times New Roman" w:cs="Times New Roman"/>
          <w:color w:val="000000"/>
          <w:sz w:val="24"/>
          <w:szCs w:val="24"/>
          <w:lang w:val="en-GB" w:eastAsia="lt-LT"/>
        </w:rPr>
        <w:t>If it is established that the Service Provider or its subcontractor(s) during the performance of the Contract meet at least one of the prohibited conditions provided for in Article 45, clause 2¹ d of the Public Procurement Law of the Republic of Lithuania, the Agreement shall be terminated by decision of the Purchaser, upon giving 10 days' notice to the Service Provider.</w:t>
      </w:r>
    </w:p>
    <w:p w14:paraId="0F88BB1B" w14:textId="77777777" w:rsidR="00773561" w:rsidRPr="001C4043"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5E4CFC62" w14:textId="77777777" w:rsidR="00246D57" w:rsidRPr="001C4043"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731FB19C" w14:textId="77777777" w:rsidR="00246D57" w:rsidRPr="001C4043"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365C7A50" w14:textId="77777777" w:rsidR="00246D57" w:rsidRPr="001C4043"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1BBB6DB5" w14:textId="77777777" w:rsidR="00246D57" w:rsidRPr="001C4043"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0B7EA24D" w14:textId="4076CC87" w:rsidR="00773561" w:rsidRPr="001C4043" w:rsidRDefault="003D593E" w:rsidP="00DC7E02">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sz w:val="24"/>
          <w:szCs w:val="24"/>
          <w:lang w:val="en-GB"/>
        </w:rPr>
        <w:t>CHAPTER X</w:t>
      </w:r>
    </w:p>
    <w:p w14:paraId="14250CE3" w14:textId="0389A454" w:rsidR="00773561" w:rsidRPr="001C4043" w:rsidRDefault="003D593E" w:rsidP="00DC7E02">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1C4043">
        <w:rPr>
          <w:rFonts w:ascii="Times New Roman" w:eastAsia="Times New Roman" w:hAnsi="Times New Roman" w:cs="Times New Roman"/>
          <w:b/>
          <w:color w:val="000000"/>
          <w:sz w:val="24"/>
          <w:szCs w:val="24"/>
          <w:lang w:val="en-GB"/>
        </w:rPr>
        <w:t>VALIDITY AND TERMINATION OF THE CONTRACT</w:t>
      </w:r>
    </w:p>
    <w:p w14:paraId="6C6C1AAF" w14:textId="77777777" w:rsidR="00773561" w:rsidRPr="001C4043" w:rsidRDefault="00773561" w:rsidP="00773561">
      <w:pPr>
        <w:tabs>
          <w:tab w:val="left" w:pos="1080"/>
          <w:tab w:val="left" w:pos="1260"/>
        </w:tabs>
        <w:rPr>
          <w:rFonts w:ascii="Times New Roman" w:eastAsia="Times New Roman" w:hAnsi="Times New Roman" w:cs="Times New Roman"/>
          <w:color w:val="000000"/>
          <w:sz w:val="24"/>
          <w:szCs w:val="24"/>
          <w:lang w:val="en-GB"/>
        </w:rPr>
      </w:pPr>
    </w:p>
    <w:p w14:paraId="6D880287" w14:textId="27EF8E4C" w:rsidR="00D43661" w:rsidRPr="001C4043" w:rsidRDefault="00D436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proofErr w:type="spellStart"/>
      <w:r w:rsidRPr="001C4043">
        <w:rPr>
          <w:rFonts w:ascii="Times New Roman" w:hAnsi="Times New Roman" w:cs="Times New Roman"/>
          <w:sz w:val="24"/>
          <w:szCs w:val="24"/>
        </w:rPr>
        <w:t>The</w:t>
      </w:r>
      <w:proofErr w:type="spellEnd"/>
      <w:r w:rsidRPr="001C4043">
        <w:rPr>
          <w:rFonts w:ascii="Times New Roman" w:hAnsi="Times New Roman" w:cs="Times New Roman"/>
          <w:sz w:val="24"/>
          <w:szCs w:val="24"/>
        </w:rPr>
        <w:t xml:space="preserve"> </w:t>
      </w:r>
      <w:proofErr w:type="spellStart"/>
      <w:r w:rsidRPr="001C4043">
        <w:rPr>
          <w:rFonts w:ascii="Times New Roman" w:hAnsi="Times New Roman" w:cs="Times New Roman"/>
          <w:sz w:val="24"/>
          <w:szCs w:val="24"/>
        </w:rPr>
        <w:t>Contract</w:t>
      </w:r>
      <w:proofErr w:type="spellEnd"/>
      <w:r w:rsidRPr="001C4043">
        <w:rPr>
          <w:rFonts w:ascii="Times New Roman" w:hAnsi="Times New Roman" w:cs="Times New Roman"/>
          <w:sz w:val="24"/>
          <w:szCs w:val="24"/>
        </w:rPr>
        <w:t xml:space="preserve"> </w:t>
      </w:r>
      <w:proofErr w:type="spellStart"/>
      <w:r w:rsidRPr="001C4043">
        <w:rPr>
          <w:rFonts w:ascii="Times New Roman" w:hAnsi="Times New Roman" w:cs="Times New Roman"/>
          <w:sz w:val="24"/>
          <w:szCs w:val="24"/>
        </w:rPr>
        <w:t>shall</w:t>
      </w:r>
      <w:proofErr w:type="spellEnd"/>
      <w:r w:rsidRPr="001C4043">
        <w:rPr>
          <w:rFonts w:ascii="Times New Roman" w:hAnsi="Times New Roman" w:cs="Times New Roman"/>
          <w:sz w:val="24"/>
          <w:szCs w:val="24"/>
        </w:rPr>
        <w:t xml:space="preserve"> </w:t>
      </w:r>
      <w:proofErr w:type="spellStart"/>
      <w:r w:rsidRPr="001C4043">
        <w:rPr>
          <w:rFonts w:ascii="Times New Roman" w:hAnsi="Times New Roman" w:cs="Times New Roman"/>
          <w:sz w:val="24"/>
          <w:szCs w:val="24"/>
        </w:rPr>
        <w:t>come</w:t>
      </w:r>
      <w:proofErr w:type="spellEnd"/>
      <w:r w:rsidRPr="001C4043">
        <w:rPr>
          <w:rFonts w:ascii="Times New Roman" w:hAnsi="Times New Roman" w:cs="Times New Roman"/>
          <w:sz w:val="24"/>
          <w:szCs w:val="24"/>
        </w:rPr>
        <w:t xml:space="preserve"> </w:t>
      </w:r>
      <w:proofErr w:type="spellStart"/>
      <w:r w:rsidRPr="001C4043">
        <w:rPr>
          <w:rFonts w:ascii="Times New Roman" w:hAnsi="Times New Roman" w:cs="Times New Roman"/>
          <w:sz w:val="24"/>
          <w:szCs w:val="24"/>
        </w:rPr>
        <w:t>into</w:t>
      </w:r>
      <w:proofErr w:type="spellEnd"/>
      <w:r w:rsidRPr="001C4043">
        <w:rPr>
          <w:rFonts w:ascii="Times New Roman" w:hAnsi="Times New Roman" w:cs="Times New Roman"/>
          <w:sz w:val="24"/>
          <w:szCs w:val="24"/>
        </w:rPr>
        <w:t xml:space="preserve"> force </w:t>
      </w:r>
      <w:proofErr w:type="spellStart"/>
      <w:r w:rsidRPr="001C4043">
        <w:rPr>
          <w:rFonts w:ascii="Times New Roman" w:hAnsi="Times New Roman" w:cs="Times New Roman"/>
          <w:sz w:val="24"/>
          <w:szCs w:val="24"/>
        </w:rPr>
        <w:t>from</w:t>
      </w:r>
      <w:proofErr w:type="spellEnd"/>
      <w:r w:rsidRPr="001C4043">
        <w:rPr>
          <w:rFonts w:ascii="Times New Roman" w:hAnsi="Times New Roman" w:cs="Times New Roman"/>
          <w:sz w:val="24"/>
          <w:szCs w:val="24"/>
        </w:rPr>
        <w:t xml:space="preserve"> 2025 </w:t>
      </w:r>
      <w:proofErr w:type="spellStart"/>
      <w:r w:rsidRPr="001C4043">
        <w:rPr>
          <w:rFonts w:ascii="Times New Roman" w:hAnsi="Times New Roman" w:cs="Times New Roman"/>
          <w:sz w:val="24"/>
          <w:szCs w:val="24"/>
        </w:rPr>
        <w:t>February</w:t>
      </w:r>
      <w:proofErr w:type="spellEnd"/>
      <w:r w:rsidRPr="001C4043">
        <w:rPr>
          <w:rFonts w:ascii="Times New Roman" w:hAnsi="Times New Roman" w:cs="Times New Roman"/>
          <w:sz w:val="24"/>
          <w:szCs w:val="24"/>
        </w:rPr>
        <w:t xml:space="preserve"> 14.</w:t>
      </w:r>
      <w:r w:rsidRPr="001C4043">
        <w:rPr>
          <w:rFonts w:ascii="Times New Roman" w:hAnsi="Times New Roman" w:cs="Times New Roman"/>
          <w:sz w:val="24"/>
          <w:szCs w:val="24"/>
          <w:lang w:val="sv-SE"/>
        </w:rPr>
        <w:t xml:space="preserve"> The Contract is valid for 12 months</w:t>
      </w:r>
      <w:r w:rsidRPr="001C4043">
        <w:rPr>
          <w:rFonts w:ascii="Times New Roman" w:hAnsi="Times New Roman" w:cs="Times New Roman"/>
          <w:sz w:val="24"/>
          <w:szCs w:val="24"/>
        </w:rPr>
        <w:t>.</w:t>
      </w:r>
    </w:p>
    <w:p w14:paraId="1BF95C42" w14:textId="7B00ECC4"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Contract may be terminated in the cases provided for in Article 90 of the Public Procurement Law of the Republic of Lithuania.</w:t>
      </w:r>
    </w:p>
    <w:p w14:paraId="4855198E" w14:textId="6FD44623"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Contract may be terminated by written agreement of the Parties</w:t>
      </w:r>
      <w:r w:rsidR="00773561" w:rsidRPr="001C4043">
        <w:rPr>
          <w:rFonts w:ascii="Times New Roman" w:hAnsi="Times New Roman" w:cs="Times New Roman"/>
          <w:sz w:val="24"/>
          <w:szCs w:val="24"/>
          <w:lang w:val="en-GB" w:eastAsia="lt-LT"/>
        </w:rPr>
        <w:t>.</w:t>
      </w:r>
    </w:p>
    <w:p w14:paraId="03C244AA" w14:textId="22D2C6CD" w:rsidR="00773561" w:rsidRPr="001C4043"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Buyer may terminate the Contract by giving the Service Provider 14 (fourteen) calendar days’ notice in the following cases:</w:t>
      </w:r>
    </w:p>
    <w:p w14:paraId="4ED0ECB2" w14:textId="48DE96C9" w:rsidR="00773561" w:rsidRPr="001C4043"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when the Service Provider fails to fulfil its contractual obligations</w:t>
      </w:r>
      <w:r w:rsidRPr="001C4043">
        <w:rPr>
          <w:rFonts w:ascii="Times New Roman" w:hAnsi="Times New Roman" w:cs="Times New Roman"/>
          <w:sz w:val="24"/>
          <w:szCs w:val="24"/>
          <w:lang w:val="en-GB" w:eastAsia="lt-LT"/>
        </w:rPr>
        <w:t>;</w:t>
      </w:r>
    </w:p>
    <w:p w14:paraId="401558AF" w14:textId="5532FC62" w:rsidR="00773561" w:rsidRPr="001C4043"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when the Service Provider provides services of inadequate quality and fails to comply with the Buyer’s order to remedy the inadequate or non-performed contractual obligations within a reasonable period of time;</w:t>
      </w:r>
    </w:p>
    <w:p w14:paraId="0DF7FA42" w14:textId="181AD918" w:rsidR="00773561" w:rsidRPr="001C4043"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lastRenderedPageBreak/>
        <w:t xml:space="preserve"> </w:t>
      </w:r>
      <w:r w:rsidR="003D593E" w:rsidRPr="001C4043">
        <w:rPr>
          <w:rFonts w:ascii="Times New Roman" w:hAnsi="Times New Roman" w:cs="Times New Roman"/>
          <w:sz w:val="24"/>
          <w:szCs w:val="24"/>
          <w:lang w:val="en-GB" w:eastAsia="lt-LT"/>
        </w:rPr>
        <w:t>when the Service Provider goes bankrupt or is wound up, ceases its business activities, or when a similar situation arises in accordance with the procedure provided for by law or other legal acts;</w:t>
      </w:r>
    </w:p>
    <w:p w14:paraId="7D4870CB" w14:textId="75FE731E" w:rsidR="00773561" w:rsidRPr="001C4043"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 xml:space="preserve"> </w:t>
      </w:r>
      <w:r w:rsidR="003D593E" w:rsidRPr="001C4043">
        <w:rPr>
          <w:rFonts w:ascii="Times New Roman" w:hAnsi="Times New Roman" w:cs="Times New Roman"/>
          <w:sz w:val="24"/>
          <w:szCs w:val="24"/>
          <w:lang w:val="en-GB" w:eastAsia="lt-LT"/>
        </w:rPr>
        <w:t>when services are no longer needed</w:t>
      </w:r>
      <w:r w:rsidRPr="001C4043">
        <w:rPr>
          <w:rFonts w:ascii="Times New Roman" w:hAnsi="Times New Roman" w:cs="Times New Roman"/>
          <w:sz w:val="24"/>
          <w:szCs w:val="24"/>
          <w:lang w:val="en-GB" w:eastAsia="lt-LT"/>
        </w:rPr>
        <w:t>.</w:t>
      </w:r>
    </w:p>
    <w:p w14:paraId="5F1C0C23" w14:textId="0EE2E341"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rPr>
        <w:t>The Service Provider may terminate the Contract by giving 14 (fourteen) calendar days’ notice to the Buyer if the Buyer, through no fault of its own, fails to fulfil its contractual obligations.</w:t>
      </w:r>
    </w:p>
    <w:p w14:paraId="520A863C" w14:textId="0652D5DD"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If the Contract is terminated through no fault of the Service Provider, in the event of termination, the Buyer shall pay the Service Provider for the services actually rendered in accordance with the rates specified by the Service Provider.</w:t>
      </w:r>
    </w:p>
    <w:p w14:paraId="5DBF3EC4" w14:textId="2388C04A"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In the event of termination or expiration of the Contract, the provisions of this Contract relating to liability and settlements between the Parties under this Contract shall survive the termination or expiration of the Contract for the purpose of the full performance of the Contract.</w:t>
      </w:r>
    </w:p>
    <w:p w14:paraId="0CD7D06E" w14:textId="77777777" w:rsidR="00773561" w:rsidRPr="001C4043" w:rsidRDefault="00773561" w:rsidP="00773561">
      <w:pPr>
        <w:tabs>
          <w:tab w:val="left" w:pos="1080"/>
          <w:tab w:val="left" w:pos="1260"/>
        </w:tabs>
        <w:rPr>
          <w:rFonts w:ascii="Times New Roman" w:eastAsia="Times New Roman" w:hAnsi="Times New Roman" w:cs="Times New Roman"/>
          <w:b/>
          <w:bCs/>
          <w:sz w:val="24"/>
          <w:szCs w:val="24"/>
          <w:lang w:val="en-GB"/>
        </w:rPr>
      </w:pPr>
    </w:p>
    <w:p w14:paraId="4E63BCAA" w14:textId="78F6F8B7" w:rsidR="00773561" w:rsidRPr="001C4043"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bCs/>
          <w:sz w:val="24"/>
          <w:szCs w:val="24"/>
          <w:lang w:val="en-GB"/>
        </w:rPr>
        <w:t>CHAPTER XI</w:t>
      </w:r>
    </w:p>
    <w:p w14:paraId="6349A224" w14:textId="40C5D029" w:rsidR="00773561" w:rsidRPr="001C4043"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rPr>
      </w:pPr>
      <w:r w:rsidRPr="001C4043">
        <w:rPr>
          <w:rFonts w:ascii="Times New Roman" w:eastAsia="Times New Roman" w:hAnsi="Times New Roman" w:cs="Times New Roman"/>
          <w:b/>
          <w:sz w:val="24"/>
          <w:szCs w:val="24"/>
          <w:lang w:val="en-GB"/>
        </w:rPr>
        <w:t>DISPUTE RESOLUTION PROCEDURE</w:t>
      </w:r>
      <w:r w:rsidR="00773561" w:rsidRPr="001C4043">
        <w:rPr>
          <w:rFonts w:ascii="Times New Roman" w:eastAsia="Times New Roman" w:hAnsi="Times New Roman" w:cs="Times New Roman"/>
          <w:b/>
          <w:bCs/>
          <w:sz w:val="24"/>
          <w:szCs w:val="24"/>
          <w:lang w:val="en-GB"/>
        </w:rPr>
        <w:t xml:space="preserve"> </w:t>
      </w:r>
    </w:p>
    <w:p w14:paraId="1ADE3DDC" w14:textId="77777777" w:rsidR="00773561" w:rsidRPr="001C4043"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5AF7E149" w14:textId="25DBA8E6"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1C4043">
        <w:rPr>
          <w:rFonts w:ascii="Times New Roman" w:hAnsi="Times New Roman" w:cs="Times New Roman"/>
          <w:sz w:val="24"/>
          <w:szCs w:val="24"/>
          <w:lang w:val="en-GB" w:eastAsia="lt-LT"/>
        </w:rPr>
        <w:t>The Contract and all rights and obligations arising from the Contract shall be subject to the laws and regulations of the Republic of Lithuania and other normative legal acts. The Contract is governed by and shall be interpreted in accordance with the law of the Republic of Lithuania.</w:t>
      </w:r>
    </w:p>
    <w:p w14:paraId="728A887B" w14:textId="26FAEC51"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1C4043">
        <w:rPr>
          <w:rFonts w:ascii="Times New Roman" w:hAnsi="Times New Roman" w:cs="Times New Roman"/>
          <w:sz w:val="24"/>
          <w:szCs w:val="24"/>
          <w:lang w:val="en-GB"/>
        </w:rPr>
        <w:t xml:space="preserve">Any differences or disputes arising between the Parties in connection with the Contract shall be settled by mutual agreement. In the event of failure to resolve the dispute by negotiation within 30 (thirty) days of the commencement of negotiations, any dispute, controversy or claim arising out of or in connection with this Contract, its breach, termination or validity shall be settled by the competent courts of the Republic of Lithuania. Negotiations shall commence on the date on which one of the Parties to the Contract has made a request in writing to the other Party to commence negotiations. </w:t>
      </w:r>
    </w:p>
    <w:p w14:paraId="47A2C427" w14:textId="77777777" w:rsidR="00773561" w:rsidRPr="001C4043"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1DA2A603" w14:textId="77777777" w:rsidR="00C15682" w:rsidRPr="001C4043"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4A4BF48B" w14:textId="470F3548" w:rsidR="00773561" w:rsidRPr="001C4043" w:rsidRDefault="002A4EFF" w:rsidP="00995C7B">
      <w:pPr>
        <w:tabs>
          <w:tab w:val="left" w:pos="1080"/>
          <w:tab w:val="left" w:pos="1260"/>
        </w:tabs>
        <w:ind w:firstLine="810"/>
        <w:contextualSpacing/>
        <w:jc w:val="center"/>
        <w:rPr>
          <w:rFonts w:ascii="Times New Roman" w:eastAsia="Times New Roman" w:hAnsi="Times New Roman" w:cs="Times New Roman"/>
          <w:b/>
          <w:bCs/>
          <w:sz w:val="24"/>
          <w:szCs w:val="24"/>
          <w:lang w:val="en-GB" w:eastAsia="lt-LT"/>
        </w:rPr>
      </w:pPr>
      <w:r w:rsidRPr="001C4043">
        <w:rPr>
          <w:rFonts w:ascii="Times New Roman" w:eastAsia="Times New Roman" w:hAnsi="Times New Roman" w:cs="Times New Roman"/>
          <w:b/>
          <w:bCs/>
          <w:sz w:val="24"/>
          <w:szCs w:val="24"/>
          <w:lang w:val="en-GB"/>
        </w:rPr>
        <w:t>CHAPTER XII</w:t>
      </w:r>
    </w:p>
    <w:p w14:paraId="531C456C" w14:textId="77777777" w:rsidR="002A4EFF" w:rsidRPr="001C4043"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lang w:val="en-GB"/>
        </w:rPr>
      </w:pPr>
      <w:r w:rsidRPr="001C4043">
        <w:rPr>
          <w:rFonts w:ascii="Times New Roman" w:eastAsia="Times New Roman" w:hAnsi="Times New Roman" w:cs="Times New Roman"/>
          <w:b/>
          <w:bCs/>
          <w:sz w:val="24"/>
          <w:szCs w:val="24"/>
          <w:lang w:val="en-GB"/>
        </w:rPr>
        <w:t xml:space="preserve">PERSONS RESPONSIBLE FOR THE PERFORMANCE OF THE CONTRACT </w:t>
      </w:r>
    </w:p>
    <w:p w14:paraId="6B15DD3B" w14:textId="5778DF53" w:rsidR="00773561" w:rsidRPr="001C4043"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lang w:val="en-GB"/>
        </w:rPr>
      </w:pPr>
      <w:r w:rsidRPr="001C4043">
        <w:rPr>
          <w:rFonts w:ascii="Times New Roman" w:eastAsia="Times New Roman" w:hAnsi="Times New Roman" w:cs="Times New Roman"/>
          <w:b/>
          <w:bCs/>
          <w:sz w:val="24"/>
          <w:szCs w:val="24"/>
          <w:lang w:val="en-GB"/>
        </w:rPr>
        <w:t>AND OTHER FINAL PROVISIONS</w:t>
      </w:r>
    </w:p>
    <w:p w14:paraId="40D510FA" w14:textId="77777777" w:rsidR="00773561" w:rsidRPr="001C4043"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48F91A11" w14:textId="20EB1D74" w:rsidR="00773561" w:rsidRPr="001C4043" w:rsidRDefault="002A4EFF" w:rsidP="00EB1852">
      <w:pPr>
        <w:numPr>
          <w:ilvl w:val="0"/>
          <w:numId w:val="16"/>
        </w:numPr>
        <w:suppressAutoHyphens w:val="0"/>
        <w:spacing w:after="0" w:line="240" w:lineRule="auto"/>
        <w:ind w:firstLine="131"/>
        <w:rPr>
          <w:rFonts w:ascii="Times New Roman" w:eastAsia="Times New Roman" w:hAnsi="Times New Roman" w:cs="Times New Roman"/>
          <w:sz w:val="24"/>
          <w:szCs w:val="24"/>
          <w:lang w:val="en-GB"/>
        </w:rPr>
      </w:pPr>
      <w:r w:rsidRPr="001C4043">
        <w:rPr>
          <w:rFonts w:ascii="Times New Roman" w:eastAsia="Times New Roman" w:hAnsi="Times New Roman" w:cs="Times New Roman"/>
          <w:sz w:val="24"/>
          <w:szCs w:val="24"/>
          <w:lang w:val="en-GB"/>
        </w:rPr>
        <w:t>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1C4043" w14:paraId="6A31EF32" w14:textId="77777777" w:rsidTr="006A0977">
        <w:tc>
          <w:tcPr>
            <w:tcW w:w="1169" w:type="pct"/>
          </w:tcPr>
          <w:p w14:paraId="1769D073" w14:textId="77777777" w:rsidR="00773561" w:rsidRPr="001C4043" w:rsidRDefault="00773561" w:rsidP="006A0977">
            <w:pPr>
              <w:ind w:firstLine="635"/>
              <w:jc w:val="center"/>
              <w:rPr>
                <w:rFonts w:ascii="Times New Roman" w:eastAsia="Times New Roman" w:hAnsi="Times New Roman" w:cs="Times New Roman"/>
                <w:b/>
                <w:sz w:val="24"/>
                <w:szCs w:val="24"/>
                <w:lang w:val="en-GB"/>
              </w:rPr>
            </w:pPr>
          </w:p>
        </w:tc>
        <w:tc>
          <w:tcPr>
            <w:tcW w:w="1906" w:type="pct"/>
          </w:tcPr>
          <w:p w14:paraId="516E9030" w14:textId="509C2518" w:rsidR="00773561" w:rsidRPr="001C4043" w:rsidRDefault="002A4EFF" w:rsidP="006A0977">
            <w:pPr>
              <w:ind w:firstLine="635"/>
              <w:jc w:val="center"/>
              <w:rPr>
                <w:rFonts w:ascii="Times New Roman" w:eastAsia="Times New Roman" w:hAnsi="Times New Roman" w:cs="Times New Roman"/>
                <w:b/>
                <w:sz w:val="24"/>
                <w:szCs w:val="24"/>
                <w:lang w:val="en-GB"/>
              </w:rPr>
            </w:pPr>
            <w:r w:rsidRPr="001C4043">
              <w:rPr>
                <w:rFonts w:ascii="Times New Roman" w:eastAsia="Times New Roman" w:hAnsi="Times New Roman" w:cs="Times New Roman"/>
                <w:b/>
                <w:sz w:val="24"/>
                <w:szCs w:val="24"/>
                <w:lang w:val="en-GB"/>
              </w:rPr>
              <w:t>Buyer representatives</w:t>
            </w:r>
          </w:p>
        </w:tc>
        <w:tc>
          <w:tcPr>
            <w:tcW w:w="1925" w:type="pct"/>
            <w:shd w:val="clear" w:color="auto" w:fill="auto"/>
          </w:tcPr>
          <w:p w14:paraId="199E550F" w14:textId="6C16AC78" w:rsidR="00773561" w:rsidRPr="001C4043" w:rsidRDefault="002A4EFF" w:rsidP="006A0977">
            <w:pPr>
              <w:ind w:firstLine="635"/>
              <w:jc w:val="center"/>
              <w:rPr>
                <w:rFonts w:ascii="Times New Roman" w:eastAsia="Times New Roman" w:hAnsi="Times New Roman" w:cs="Times New Roman"/>
                <w:b/>
                <w:sz w:val="24"/>
                <w:szCs w:val="24"/>
                <w:lang w:val="en-GB"/>
              </w:rPr>
            </w:pPr>
            <w:r w:rsidRPr="001C4043">
              <w:rPr>
                <w:rFonts w:ascii="Times New Roman" w:eastAsia="Times New Roman" w:hAnsi="Times New Roman" w:cs="Times New Roman"/>
                <w:b/>
                <w:sz w:val="24"/>
                <w:szCs w:val="24"/>
                <w:lang w:val="en-GB"/>
              </w:rPr>
              <w:t>Service provider representatives</w:t>
            </w:r>
          </w:p>
        </w:tc>
      </w:tr>
      <w:tr w:rsidR="00773561" w:rsidRPr="001C4043" w14:paraId="7818E87F" w14:textId="77777777" w:rsidTr="006A0977">
        <w:tc>
          <w:tcPr>
            <w:tcW w:w="1169" w:type="pct"/>
            <w:shd w:val="clear" w:color="auto" w:fill="auto"/>
          </w:tcPr>
          <w:p w14:paraId="18B24DB3" w14:textId="53D1F945" w:rsidR="00773561" w:rsidRPr="001C4043" w:rsidRDefault="002A4EFF" w:rsidP="001C4043">
            <w:pPr>
              <w:rPr>
                <w:rFonts w:ascii="Times New Roman" w:eastAsia="Times New Roman" w:hAnsi="Times New Roman" w:cs="Times New Roman"/>
                <w:sz w:val="24"/>
                <w:szCs w:val="24"/>
                <w:lang w:val="en-GB"/>
              </w:rPr>
            </w:pPr>
            <w:r w:rsidRPr="001C4043">
              <w:rPr>
                <w:rFonts w:ascii="Times New Roman" w:eastAsia="Times New Roman" w:hAnsi="Times New Roman" w:cs="Times New Roman"/>
                <w:sz w:val="24"/>
                <w:szCs w:val="24"/>
                <w:lang w:val="en-GB"/>
              </w:rPr>
              <w:t>Name, surname</w:t>
            </w:r>
          </w:p>
        </w:tc>
        <w:tc>
          <w:tcPr>
            <w:tcW w:w="1906" w:type="pct"/>
            <w:shd w:val="clear" w:color="auto" w:fill="auto"/>
          </w:tcPr>
          <w:p w14:paraId="0B5B7B29" w14:textId="77777777" w:rsidR="00773561" w:rsidRPr="001C4043"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4F909109" w14:textId="77777777" w:rsidR="00773561" w:rsidRPr="001C4043" w:rsidRDefault="00773561" w:rsidP="006A0977">
            <w:pPr>
              <w:ind w:firstLine="635"/>
              <w:rPr>
                <w:rFonts w:ascii="Times New Roman" w:eastAsia="Times New Roman" w:hAnsi="Times New Roman" w:cs="Times New Roman"/>
                <w:sz w:val="24"/>
                <w:szCs w:val="24"/>
                <w:lang w:val="en-GB"/>
              </w:rPr>
            </w:pPr>
          </w:p>
        </w:tc>
      </w:tr>
      <w:tr w:rsidR="00773561" w:rsidRPr="001C4043" w14:paraId="233C769D" w14:textId="77777777" w:rsidTr="006A0977">
        <w:tc>
          <w:tcPr>
            <w:tcW w:w="1169" w:type="pct"/>
            <w:shd w:val="clear" w:color="auto" w:fill="auto"/>
          </w:tcPr>
          <w:p w14:paraId="6E9C555B" w14:textId="600EC994" w:rsidR="00773561" w:rsidRPr="001C4043" w:rsidRDefault="002A4EFF" w:rsidP="001C4043">
            <w:pPr>
              <w:rPr>
                <w:rFonts w:ascii="Times New Roman" w:eastAsia="Times New Roman" w:hAnsi="Times New Roman" w:cs="Times New Roman"/>
                <w:sz w:val="24"/>
                <w:szCs w:val="24"/>
                <w:lang w:val="en-GB"/>
              </w:rPr>
            </w:pPr>
            <w:r w:rsidRPr="001C4043">
              <w:rPr>
                <w:rFonts w:ascii="Times New Roman" w:eastAsia="Times New Roman" w:hAnsi="Times New Roman" w:cs="Times New Roman"/>
                <w:sz w:val="24"/>
                <w:szCs w:val="24"/>
                <w:lang w:val="en-GB"/>
              </w:rPr>
              <w:t>Address</w:t>
            </w:r>
          </w:p>
        </w:tc>
        <w:tc>
          <w:tcPr>
            <w:tcW w:w="1906" w:type="pct"/>
            <w:shd w:val="clear" w:color="auto" w:fill="auto"/>
          </w:tcPr>
          <w:p w14:paraId="7E8382C2" w14:textId="77777777" w:rsidR="00773561" w:rsidRPr="001C4043"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163C52AD" w14:textId="77777777" w:rsidR="00773561" w:rsidRPr="001C4043" w:rsidRDefault="00773561" w:rsidP="006A0977">
            <w:pPr>
              <w:ind w:firstLine="635"/>
              <w:rPr>
                <w:rFonts w:ascii="Times New Roman" w:eastAsia="Times New Roman" w:hAnsi="Times New Roman" w:cs="Times New Roman"/>
                <w:iCs/>
                <w:sz w:val="24"/>
                <w:szCs w:val="24"/>
                <w:lang w:val="en-GB"/>
              </w:rPr>
            </w:pPr>
          </w:p>
        </w:tc>
      </w:tr>
      <w:tr w:rsidR="00773561" w:rsidRPr="001C4043" w14:paraId="2E5879FA" w14:textId="77777777" w:rsidTr="006A0977">
        <w:tc>
          <w:tcPr>
            <w:tcW w:w="1169" w:type="pct"/>
            <w:shd w:val="clear" w:color="auto" w:fill="auto"/>
          </w:tcPr>
          <w:p w14:paraId="619F2E9D" w14:textId="4EA36850" w:rsidR="00773561" w:rsidRPr="001C4043" w:rsidRDefault="002A4EFF" w:rsidP="001C4043">
            <w:pPr>
              <w:rPr>
                <w:rFonts w:ascii="Times New Roman" w:eastAsia="Times New Roman" w:hAnsi="Times New Roman" w:cs="Times New Roman"/>
                <w:sz w:val="24"/>
                <w:szCs w:val="24"/>
                <w:lang w:val="en-GB"/>
              </w:rPr>
            </w:pPr>
            <w:r w:rsidRPr="001C4043">
              <w:rPr>
                <w:rFonts w:ascii="Times New Roman" w:eastAsia="Times New Roman" w:hAnsi="Times New Roman" w:cs="Times New Roman"/>
                <w:sz w:val="24"/>
                <w:szCs w:val="24"/>
                <w:lang w:val="en-GB"/>
              </w:rPr>
              <w:t>Telephone</w:t>
            </w:r>
          </w:p>
        </w:tc>
        <w:tc>
          <w:tcPr>
            <w:tcW w:w="1906" w:type="pct"/>
            <w:shd w:val="clear" w:color="auto" w:fill="auto"/>
          </w:tcPr>
          <w:p w14:paraId="32CC251D" w14:textId="77777777" w:rsidR="00773561" w:rsidRPr="001C4043"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5CB88879" w14:textId="77777777" w:rsidR="00773561" w:rsidRPr="001C4043" w:rsidRDefault="00773561" w:rsidP="006A0977">
            <w:pPr>
              <w:ind w:firstLine="635"/>
              <w:rPr>
                <w:rFonts w:ascii="Times New Roman" w:eastAsia="Times New Roman" w:hAnsi="Times New Roman" w:cs="Times New Roman"/>
                <w:sz w:val="24"/>
                <w:szCs w:val="24"/>
                <w:lang w:val="en-GB"/>
              </w:rPr>
            </w:pPr>
          </w:p>
        </w:tc>
      </w:tr>
      <w:tr w:rsidR="00773561" w:rsidRPr="001C4043" w14:paraId="3C77AC15" w14:textId="77777777" w:rsidTr="006A0977">
        <w:tc>
          <w:tcPr>
            <w:tcW w:w="1169" w:type="pct"/>
            <w:shd w:val="clear" w:color="auto" w:fill="auto"/>
          </w:tcPr>
          <w:p w14:paraId="055F8540" w14:textId="0AA15424" w:rsidR="00773561" w:rsidRPr="001C4043" w:rsidRDefault="002A4EFF" w:rsidP="001C4043">
            <w:pPr>
              <w:rPr>
                <w:rFonts w:ascii="Times New Roman" w:eastAsia="Times New Roman" w:hAnsi="Times New Roman" w:cs="Times New Roman"/>
                <w:sz w:val="24"/>
                <w:szCs w:val="24"/>
                <w:lang w:val="en-GB"/>
              </w:rPr>
            </w:pPr>
            <w:r w:rsidRPr="001C4043">
              <w:rPr>
                <w:rFonts w:ascii="Times New Roman" w:eastAsia="Times New Roman" w:hAnsi="Times New Roman" w:cs="Times New Roman"/>
                <w:sz w:val="24"/>
                <w:szCs w:val="24"/>
                <w:lang w:val="en-GB"/>
              </w:rPr>
              <w:t>Email</w:t>
            </w:r>
          </w:p>
        </w:tc>
        <w:tc>
          <w:tcPr>
            <w:tcW w:w="1906" w:type="pct"/>
            <w:shd w:val="clear" w:color="auto" w:fill="auto"/>
          </w:tcPr>
          <w:p w14:paraId="3C8794C2" w14:textId="77777777" w:rsidR="00773561" w:rsidRPr="001C4043"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3862AC45" w14:textId="77777777" w:rsidR="00773561" w:rsidRPr="001C4043" w:rsidRDefault="00773561" w:rsidP="006A0977">
            <w:pPr>
              <w:ind w:firstLine="635"/>
              <w:rPr>
                <w:rFonts w:ascii="Times New Roman" w:eastAsia="Times New Roman" w:hAnsi="Times New Roman" w:cs="Times New Roman"/>
                <w:sz w:val="24"/>
                <w:szCs w:val="24"/>
                <w:lang w:val="en-GB"/>
              </w:rPr>
            </w:pPr>
          </w:p>
        </w:tc>
      </w:tr>
    </w:tbl>
    <w:p w14:paraId="56117360" w14:textId="1728BBD8"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In the event of a change in the address and/or other details of a Party, such Party shall inform the other Party by giving notice no later than 2 (two) Business Days. If a Party fails to comply with these requirements, it shall not be entitled to a claim or defence if the other Party’s actions taken on the basis of the last known data are contrary to the terms of the Contract or if it has not received any notice sent on the basis of those data.</w:t>
      </w:r>
    </w:p>
    <w:p w14:paraId="76840A3B" w14:textId="61985CD9"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If any provision of the Contract becomes or is declared wholly or partially invalid by law, the validity of the other provisions of the Contract shall not be affected.</w:t>
      </w:r>
    </w:p>
    <w:p w14:paraId="428969E7" w14:textId="4F0FD786"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lastRenderedPageBreak/>
        <w:t>The Contract has been read and understood by the Parties to the Contract and is authenticated by the signatures of persons duly authorised by the Parties.</w:t>
      </w:r>
    </w:p>
    <w:p w14:paraId="2CB08F1F" w14:textId="1B926AF9" w:rsidR="00773561" w:rsidRPr="001C4043"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1C4043">
        <w:rPr>
          <w:rFonts w:ascii="Times New Roman" w:hAnsi="Times New Roman" w:cs="Times New Roman"/>
          <w:sz w:val="24"/>
          <w:szCs w:val="24"/>
          <w:lang w:val="en-GB" w:eastAsia="lt-LT"/>
        </w:rPr>
        <w:t>The Contract will be published in the Central Public Procurement Information System in accordance with the procedures and deadlines established by law.</w:t>
      </w:r>
    </w:p>
    <w:p w14:paraId="0C6F67B0" w14:textId="47128DD1" w:rsidR="00773561" w:rsidRPr="001C4043"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1C4043">
        <w:rPr>
          <w:rFonts w:ascii="Times New Roman" w:eastAsia="Times New Roman" w:hAnsi="Times New Roman" w:cs="Times New Roman"/>
          <w:sz w:val="24"/>
          <w:szCs w:val="24"/>
          <w:lang w:val="en-GB"/>
        </w:rPr>
        <w:t>This Contract shall be executed in duplicate, one for each Party, each of which shall have equal legal force.</w:t>
      </w:r>
    </w:p>
    <w:p w14:paraId="28E99318" w14:textId="1CDAE802" w:rsidR="00773561" w:rsidRPr="001C4043"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1C4043">
        <w:rPr>
          <w:rFonts w:ascii="Times New Roman" w:eastAsia="Times New Roman" w:hAnsi="Times New Roman" w:cs="Times New Roman"/>
          <w:sz w:val="24"/>
          <w:szCs w:val="24"/>
          <w:lang w:val="en-GB"/>
        </w:rPr>
        <w:t>The Annexes to the Contract shall form an integral part of the Contract:</w:t>
      </w:r>
    </w:p>
    <w:p w14:paraId="23BCD67D" w14:textId="73636FF9" w:rsidR="00773561" w:rsidRPr="001C4043"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val="en-GB" w:eastAsia="lt-LT"/>
        </w:rPr>
      </w:pPr>
      <w:r w:rsidRPr="001C4043">
        <w:rPr>
          <w:rFonts w:ascii="Times New Roman" w:eastAsia="Times New Roman" w:hAnsi="Times New Roman" w:cs="Times New Roman"/>
          <w:sz w:val="24"/>
          <w:szCs w:val="24"/>
          <w:lang w:val="en-GB" w:eastAsia="lt-LT"/>
        </w:rPr>
        <w:t>4</w:t>
      </w:r>
      <w:r w:rsidR="00C15682" w:rsidRPr="001C4043">
        <w:rPr>
          <w:rFonts w:ascii="Times New Roman" w:eastAsia="Times New Roman" w:hAnsi="Times New Roman" w:cs="Times New Roman"/>
          <w:sz w:val="24"/>
          <w:szCs w:val="24"/>
          <w:lang w:val="en-US" w:eastAsia="lt-LT"/>
        </w:rPr>
        <w:t>6</w:t>
      </w:r>
      <w:r w:rsidRPr="001C4043">
        <w:rPr>
          <w:rFonts w:ascii="Times New Roman" w:eastAsia="Times New Roman" w:hAnsi="Times New Roman" w:cs="Times New Roman"/>
          <w:sz w:val="24"/>
          <w:szCs w:val="24"/>
          <w:lang w:val="en-GB" w:eastAsia="lt-LT"/>
        </w:rPr>
        <w:t xml:space="preserve">.1. </w:t>
      </w:r>
      <w:r w:rsidR="002A4EFF" w:rsidRPr="001C4043">
        <w:rPr>
          <w:rFonts w:ascii="Times New Roman" w:eastAsia="Times New Roman" w:hAnsi="Times New Roman" w:cs="Times New Roman"/>
          <w:sz w:val="24"/>
          <w:szCs w:val="24"/>
          <w:lang w:val="en-GB" w:eastAsia="lt-LT"/>
        </w:rPr>
        <w:t>Annex 1 - Technical Specification</w:t>
      </w:r>
      <w:r w:rsidR="00BA139C" w:rsidRPr="001C4043">
        <w:rPr>
          <w:rFonts w:ascii="Times New Roman" w:eastAsia="Times New Roman" w:hAnsi="Times New Roman" w:cs="Times New Roman"/>
          <w:sz w:val="24"/>
          <w:szCs w:val="24"/>
          <w:lang w:val="en-GB" w:eastAsia="lt-LT"/>
        </w:rPr>
        <w:t xml:space="preserve"> with annex</w:t>
      </w:r>
      <w:r w:rsidR="002A4EFF" w:rsidRPr="001C4043">
        <w:rPr>
          <w:rFonts w:ascii="Times New Roman" w:eastAsia="Times New Roman" w:hAnsi="Times New Roman" w:cs="Times New Roman"/>
          <w:sz w:val="24"/>
          <w:szCs w:val="24"/>
          <w:lang w:val="en-GB" w:eastAsia="lt-LT"/>
        </w:rPr>
        <w:t>;</w:t>
      </w:r>
    </w:p>
    <w:p w14:paraId="1E7D39ED" w14:textId="07C88FAE" w:rsidR="00773561" w:rsidRPr="001C4043"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val="en-GB" w:eastAsia="lt-LT"/>
        </w:rPr>
      </w:pPr>
      <w:r w:rsidRPr="001C4043">
        <w:rPr>
          <w:rFonts w:ascii="Times New Roman" w:eastAsia="Times New Roman" w:hAnsi="Times New Roman" w:cs="Times New Roman"/>
          <w:sz w:val="24"/>
          <w:szCs w:val="24"/>
          <w:lang w:val="en-GB" w:eastAsia="lt-LT"/>
        </w:rPr>
        <w:t>4</w:t>
      </w:r>
      <w:r w:rsidR="00C15682" w:rsidRPr="001C4043">
        <w:rPr>
          <w:rFonts w:ascii="Times New Roman" w:eastAsia="Times New Roman" w:hAnsi="Times New Roman" w:cs="Times New Roman"/>
          <w:sz w:val="24"/>
          <w:szCs w:val="24"/>
          <w:lang w:val="en-GB" w:eastAsia="lt-LT"/>
        </w:rPr>
        <w:t>6</w:t>
      </w:r>
      <w:r w:rsidRPr="001C4043">
        <w:rPr>
          <w:rFonts w:ascii="Times New Roman" w:eastAsia="Times New Roman" w:hAnsi="Times New Roman" w:cs="Times New Roman"/>
          <w:sz w:val="24"/>
          <w:szCs w:val="24"/>
          <w:lang w:val="en-GB" w:eastAsia="lt-LT"/>
        </w:rPr>
        <w:t xml:space="preserve">.2. </w:t>
      </w:r>
      <w:r w:rsidR="002A4EFF" w:rsidRPr="001C4043">
        <w:rPr>
          <w:rFonts w:ascii="Times New Roman" w:eastAsia="Times New Roman" w:hAnsi="Times New Roman" w:cs="Times New Roman"/>
          <w:sz w:val="24"/>
          <w:szCs w:val="24"/>
          <w:lang w:val="en-GB" w:eastAsia="lt-LT"/>
        </w:rPr>
        <w:t>Annex 2 - Service Provider’s Tender.</w:t>
      </w:r>
    </w:p>
    <w:p w14:paraId="5498719C" w14:textId="77777777" w:rsidR="0087132E" w:rsidRPr="001C4043" w:rsidRDefault="0087132E" w:rsidP="001F030B">
      <w:pPr>
        <w:spacing w:after="0" w:line="240" w:lineRule="auto"/>
        <w:ind w:firstLine="851"/>
        <w:jc w:val="both"/>
        <w:rPr>
          <w:rFonts w:ascii="Times New Roman" w:eastAsia="Times New Roman" w:hAnsi="Times New Roman" w:cs="Times New Roman"/>
          <w:sz w:val="24"/>
          <w:szCs w:val="24"/>
          <w:lang w:val="en-GB"/>
        </w:rPr>
      </w:pPr>
    </w:p>
    <w:p w14:paraId="774B603C" w14:textId="6903D29E" w:rsidR="0087132E" w:rsidRPr="001C4043" w:rsidRDefault="002A4EFF" w:rsidP="0087132E">
      <w:pPr>
        <w:spacing w:after="0" w:line="240" w:lineRule="auto"/>
        <w:ind w:firstLine="851"/>
        <w:jc w:val="center"/>
        <w:rPr>
          <w:rFonts w:ascii="Times New Roman" w:hAnsi="Times New Roman" w:cs="Times New Roman"/>
          <w:b/>
          <w:sz w:val="24"/>
          <w:szCs w:val="24"/>
          <w:lang w:val="en-GB"/>
        </w:rPr>
      </w:pPr>
      <w:r w:rsidRPr="001C4043">
        <w:rPr>
          <w:rFonts w:ascii="Times New Roman" w:hAnsi="Times New Roman" w:cs="Times New Roman"/>
          <w:b/>
          <w:sz w:val="24"/>
          <w:szCs w:val="24"/>
          <w:lang w:val="en-GB"/>
        </w:rPr>
        <w:t>CHAPTER XIV</w:t>
      </w:r>
    </w:p>
    <w:p w14:paraId="21B7D396" w14:textId="463BEA45" w:rsidR="0087132E" w:rsidRPr="001C4043" w:rsidRDefault="002A4EFF" w:rsidP="0087132E">
      <w:pPr>
        <w:spacing w:after="0" w:line="240" w:lineRule="auto"/>
        <w:ind w:firstLine="851"/>
        <w:jc w:val="center"/>
        <w:rPr>
          <w:rFonts w:ascii="Times New Roman" w:hAnsi="Times New Roman" w:cs="Times New Roman"/>
          <w:b/>
          <w:sz w:val="24"/>
          <w:szCs w:val="24"/>
          <w:lang w:val="en-GB"/>
        </w:rPr>
      </w:pPr>
      <w:r w:rsidRPr="001C4043">
        <w:rPr>
          <w:rFonts w:ascii="Times New Roman" w:hAnsi="Times New Roman" w:cs="Times New Roman"/>
          <w:b/>
          <w:sz w:val="24"/>
          <w:szCs w:val="24"/>
          <w:lang w:val="en-GB"/>
        </w:rPr>
        <w:t>ADDRESSES AND DETAILS OF THE PARTIES</w:t>
      </w:r>
    </w:p>
    <w:tbl>
      <w:tblPr>
        <w:tblW w:w="10071" w:type="dxa"/>
        <w:tblLayout w:type="fixed"/>
        <w:tblLook w:val="01E0" w:firstRow="1" w:lastRow="1" w:firstColumn="1" w:lastColumn="1" w:noHBand="0" w:noVBand="0"/>
      </w:tblPr>
      <w:tblGrid>
        <w:gridCol w:w="4962"/>
        <w:gridCol w:w="77"/>
        <w:gridCol w:w="5026"/>
        <w:gridCol w:w="6"/>
      </w:tblGrid>
      <w:tr w:rsidR="0087132E" w:rsidRPr="001C4043" w14:paraId="5CE360C6" w14:textId="77777777" w:rsidTr="002A4EFF">
        <w:trPr>
          <w:trHeight w:val="697"/>
        </w:trPr>
        <w:tc>
          <w:tcPr>
            <w:tcW w:w="5039" w:type="dxa"/>
            <w:gridSpan w:val="2"/>
            <w:shd w:val="clear" w:color="auto" w:fill="auto"/>
          </w:tcPr>
          <w:p w14:paraId="243CE9A6" w14:textId="77777777" w:rsidR="0087132E" w:rsidRPr="001C4043" w:rsidRDefault="0087132E" w:rsidP="0009103A">
            <w:pPr>
              <w:tabs>
                <w:tab w:val="left" w:pos="720"/>
                <w:tab w:val="right" w:pos="10065"/>
              </w:tabs>
              <w:spacing w:after="0" w:line="240" w:lineRule="auto"/>
              <w:ind w:firstLine="34"/>
              <w:jc w:val="both"/>
              <w:rPr>
                <w:rFonts w:ascii="Times New Roman" w:hAnsi="Times New Roman" w:cs="Times New Roman"/>
                <w:b/>
                <w:sz w:val="24"/>
                <w:szCs w:val="24"/>
                <w:lang w:val="en-GB"/>
              </w:rPr>
            </w:pPr>
          </w:p>
          <w:p w14:paraId="53C5056A" w14:textId="7E16DADB" w:rsidR="0087132E" w:rsidRPr="001C4043" w:rsidRDefault="002A4EFF" w:rsidP="00053C08">
            <w:pPr>
              <w:tabs>
                <w:tab w:val="right" w:pos="10065"/>
              </w:tabs>
              <w:spacing w:after="0" w:line="240" w:lineRule="auto"/>
              <w:ind w:firstLine="34"/>
              <w:jc w:val="both"/>
              <w:rPr>
                <w:rFonts w:ascii="Times New Roman" w:hAnsi="Times New Roman" w:cs="Times New Roman"/>
                <w:b/>
                <w:snapToGrid w:val="0"/>
                <w:sz w:val="24"/>
                <w:szCs w:val="24"/>
                <w:lang w:val="en-GB"/>
              </w:rPr>
            </w:pPr>
            <w:r w:rsidRPr="001C4043">
              <w:rPr>
                <w:rFonts w:ascii="Times New Roman" w:hAnsi="Times New Roman" w:cs="Times New Roman"/>
                <w:b/>
                <w:snapToGrid w:val="0"/>
                <w:sz w:val="24"/>
                <w:szCs w:val="24"/>
                <w:lang w:val="en-GB"/>
              </w:rPr>
              <w:t>BUYER</w:t>
            </w:r>
          </w:p>
        </w:tc>
        <w:tc>
          <w:tcPr>
            <w:tcW w:w="5032" w:type="dxa"/>
            <w:gridSpan w:val="2"/>
            <w:shd w:val="clear" w:color="auto" w:fill="auto"/>
          </w:tcPr>
          <w:p w14:paraId="486D9C68" w14:textId="77777777" w:rsidR="0087132E" w:rsidRPr="001C4043" w:rsidRDefault="0087132E" w:rsidP="0009103A">
            <w:pPr>
              <w:tabs>
                <w:tab w:val="right" w:pos="10065"/>
              </w:tabs>
              <w:spacing w:after="0" w:line="240" w:lineRule="auto"/>
              <w:ind w:firstLine="34"/>
              <w:jc w:val="both"/>
              <w:rPr>
                <w:rFonts w:ascii="Times New Roman" w:hAnsi="Times New Roman" w:cs="Times New Roman"/>
                <w:b/>
                <w:snapToGrid w:val="0"/>
                <w:sz w:val="24"/>
                <w:szCs w:val="24"/>
                <w:lang w:val="en-GB"/>
              </w:rPr>
            </w:pPr>
          </w:p>
          <w:p w14:paraId="30162703" w14:textId="344864B3" w:rsidR="0087132E" w:rsidRPr="001C4043" w:rsidRDefault="0087132E" w:rsidP="0009103A">
            <w:pPr>
              <w:tabs>
                <w:tab w:val="right" w:pos="10065"/>
              </w:tabs>
              <w:spacing w:after="0" w:line="240" w:lineRule="auto"/>
              <w:ind w:firstLine="34"/>
              <w:jc w:val="both"/>
              <w:rPr>
                <w:rFonts w:ascii="Times New Roman" w:hAnsi="Times New Roman" w:cs="Times New Roman"/>
                <w:b/>
                <w:sz w:val="24"/>
                <w:szCs w:val="24"/>
                <w:lang w:val="en-GB"/>
              </w:rPr>
            </w:pPr>
            <w:r w:rsidRPr="001C4043">
              <w:rPr>
                <w:rFonts w:ascii="Times New Roman" w:hAnsi="Times New Roman" w:cs="Times New Roman"/>
                <w:b/>
                <w:sz w:val="24"/>
                <w:szCs w:val="24"/>
                <w:lang w:val="en-GB"/>
              </w:rPr>
              <w:t xml:space="preserve">                  </w:t>
            </w:r>
            <w:r w:rsidR="002A4EFF" w:rsidRPr="001C4043">
              <w:rPr>
                <w:rFonts w:ascii="Times New Roman" w:hAnsi="Times New Roman" w:cs="Times New Roman"/>
                <w:b/>
                <w:sz w:val="24"/>
                <w:szCs w:val="24"/>
                <w:lang w:val="en-GB"/>
              </w:rPr>
              <w:t>SERVICE PROVIDER</w:t>
            </w:r>
          </w:p>
        </w:tc>
      </w:tr>
      <w:tr w:rsidR="0087132E" w:rsidRPr="001C4043" w14:paraId="56E9D66E" w14:textId="77777777" w:rsidTr="002A4EFF">
        <w:trPr>
          <w:gridAfter w:val="1"/>
          <w:wAfter w:w="6" w:type="dxa"/>
        </w:trPr>
        <w:tc>
          <w:tcPr>
            <w:tcW w:w="4962" w:type="dxa"/>
            <w:shd w:val="clear" w:color="auto" w:fill="auto"/>
          </w:tcPr>
          <w:p w14:paraId="09812DCF" w14:textId="77777777" w:rsidR="002A4EFF" w:rsidRPr="001C4043" w:rsidRDefault="002A4EFF" w:rsidP="0009103A">
            <w:pPr>
              <w:spacing w:after="0" w:line="240" w:lineRule="auto"/>
              <w:ind w:firstLine="34"/>
              <w:jc w:val="both"/>
              <w:rPr>
                <w:rFonts w:ascii="Times New Roman" w:hAnsi="Times New Roman" w:cs="Times New Roman"/>
                <w:snapToGrid w:val="0"/>
                <w:sz w:val="24"/>
                <w:szCs w:val="24"/>
                <w:lang w:val="en-GB"/>
              </w:rPr>
            </w:pPr>
            <w:r w:rsidRPr="001C4043">
              <w:rPr>
                <w:rFonts w:ascii="Times New Roman" w:hAnsi="Times New Roman" w:cs="Times New Roman"/>
                <w:snapToGrid w:val="0"/>
                <w:sz w:val="24"/>
                <w:szCs w:val="24"/>
                <w:lang w:val="en-GB"/>
              </w:rPr>
              <w:t xml:space="preserve">State Border Guard Service </w:t>
            </w:r>
          </w:p>
          <w:p w14:paraId="5F9EE447" w14:textId="77777777" w:rsidR="002A4EFF" w:rsidRPr="001C4043" w:rsidRDefault="002A4EFF" w:rsidP="0009103A">
            <w:pPr>
              <w:spacing w:after="0" w:line="240" w:lineRule="auto"/>
              <w:ind w:firstLine="34"/>
              <w:jc w:val="both"/>
              <w:rPr>
                <w:rFonts w:ascii="Times New Roman" w:hAnsi="Times New Roman" w:cs="Times New Roman"/>
                <w:snapToGrid w:val="0"/>
                <w:sz w:val="24"/>
                <w:szCs w:val="24"/>
                <w:lang w:val="en-GB"/>
              </w:rPr>
            </w:pPr>
            <w:r w:rsidRPr="001C4043">
              <w:rPr>
                <w:rFonts w:ascii="Times New Roman" w:hAnsi="Times New Roman" w:cs="Times New Roman"/>
                <w:snapToGrid w:val="0"/>
                <w:sz w:val="24"/>
                <w:szCs w:val="24"/>
                <w:lang w:val="en-GB"/>
              </w:rPr>
              <w:t xml:space="preserve">under the Ministry of the Interior </w:t>
            </w:r>
          </w:p>
          <w:p w14:paraId="625DB498" w14:textId="3BC715DF" w:rsidR="0087132E" w:rsidRPr="001C4043" w:rsidRDefault="002A4EFF" w:rsidP="0009103A">
            <w:pPr>
              <w:spacing w:after="0" w:line="240" w:lineRule="auto"/>
              <w:ind w:firstLine="34"/>
              <w:jc w:val="both"/>
              <w:rPr>
                <w:rFonts w:ascii="Times New Roman" w:hAnsi="Times New Roman" w:cs="Times New Roman"/>
                <w:snapToGrid w:val="0"/>
                <w:sz w:val="24"/>
                <w:szCs w:val="24"/>
                <w:lang w:val="en-GB"/>
              </w:rPr>
            </w:pPr>
            <w:r w:rsidRPr="001C4043">
              <w:rPr>
                <w:rFonts w:ascii="Times New Roman" w:hAnsi="Times New Roman" w:cs="Times New Roman"/>
                <w:snapToGrid w:val="0"/>
                <w:sz w:val="24"/>
                <w:szCs w:val="24"/>
                <w:lang w:val="en-GB"/>
              </w:rPr>
              <w:t>of the Republic of Lithuania</w:t>
            </w:r>
            <w:r w:rsidR="0087132E" w:rsidRPr="001C4043">
              <w:rPr>
                <w:rFonts w:ascii="Times New Roman" w:hAnsi="Times New Roman" w:cs="Times New Roman"/>
                <w:snapToGrid w:val="0"/>
                <w:sz w:val="24"/>
                <w:szCs w:val="24"/>
                <w:lang w:val="en-GB"/>
              </w:rPr>
              <w:t xml:space="preserve"> </w:t>
            </w:r>
          </w:p>
          <w:p w14:paraId="20C2A6B1" w14:textId="77777777" w:rsidR="002A4EFF" w:rsidRPr="001C4043" w:rsidRDefault="002A4EFF" w:rsidP="002A4EFF">
            <w:pPr>
              <w:spacing w:after="0" w:line="240" w:lineRule="auto"/>
              <w:ind w:firstLine="34"/>
              <w:jc w:val="both"/>
              <w:rPr>
                <w:rFonts w:ascii="Times New Roman" w:hAnsi="Times New Roman" w:cs="Times New Roman"/>
                <w:snapToGrid w:val="0"/>
                <w:sz w:val="24"/>
                <w:szCs w:val="24"/>
                <w:lang w:val="en-GB"/>
              </w:rPr>
            </w:pPr>
            <w:r w:rsidRPr="001C4043">
              <w:rPr>
                <w:rFonts w:ascii="Times New Roman" w:hAnsi="Times New Roman" w:cs="Times New Roman"/>
                <w:snapToGrid w:val="0"/>
                <w:sz w:val="24"/>
                <w:szCs w:val="24"/>
                <w:lang w:val="en-GB"/>
              </w:rPr>
              <w:t xml:space="preserve">Company code </w:t>
            </w:r>
            <w:r w:rsidR="0087132E" w:rsidRPr="001C4043">
              <w:rPr>
                <w:rFonts w:ascii="Times New Roman" w:hAnsi="Times New Roman" w:cs="Times New Roman"/>
                <w:snapToGrid w:val="0"/>
                <w:sz w:val="24"/>
                <w:szCs w:val="24"/>
                <w:lang w:val="en-GB"/>
              </w:rPr>
              <w:t>188608252</w:t>
            </w:r>
            <w:r w:rsidR="0087132E" w:rsidRPr="001C4043">
              <w:rPr>
                <w:rFonts w:ascii="Times New Roman" w:hAnsi="Times New Roman" w:cs="Times New Roman"/>
                <w:snapToGrid w:val="0"/>
                <w:sz w:val="24"/>
                <w:szCs w:val="24"/>
                <w:lang w:val="en-GB"/>
              </w:rPr>
              <w:tab/>
            </w:r>
          </w:p>
          <w:p w14:paraId="765A023F" w14:textId="150C4B17" w:rsidR="0087132E" w:rsidRPr="001C4043" w:rsidRDefault="002A4EFF" w:rsidP="002A4EFF">
            <w:pPr>
              <w:spacing w:after="0" w:line="240" w:lineRule="auto"/>
              <w:ind w:firstLine="34"/>
              <w:jc w:val="both"/>
              <w:rPr>
                <w:rFonts w:ascii="Times New Roman" w:hAnsi="Times New Roman" w:cs="Times New Roman"/>
                <w:snapToGrid w:val="0"/>
                <w:sz w:val="24"/>
                <w:szCs w:val="24"/>
                <w:lang w:val="fr-FR"/>
              </w:rPr>
            </w:pPr>
            <w:r w:rsidRPr="001C4043">
              <w:rPr>
                <w:rFonts w:ascii="Times New Roman" w:hAnsi="Times New Roman" w:cs="Times New Roman"/>
                <w:snapToGrid w:val="0"/>
                <w:sz w:val="24"/>
                <w:szCs w:val="24"/>
                <w:lang w:val="fr-FR"/>
              </w:rPr>
              <w:t xml:space="preserve">VAT payer code </w:t>
            </w:r>
            <w:r w:rsidR="0087132E" w:rsidRPr="001C4043">
              <w:rPr>
                <w:rFonts w:ascii="Times New Roman" w:hAnsi="Times New Roman" w:cs="Times New Roman"/>
                <w:snapToGrid w:val="0"/>
                <w:sz w:val="24"/>
                <w:szCs w:val="24"/>
                <w:lang w:val="fr-FR"/>
              </w:rPr>
              <w:t xml:space="preserve">LT 886082515 </w:t>
            </w:r>
          </w:p>
          <w:p w14:paraId="76152EC2" w14:textId="77777777" w:rsidR="0087132E" w:rsidRPr="001C4043" w:rsidRDefault="0087132E" w:rsidP="0009103A">
            <w:pPr>
              <w:tabs>
                <w:tab w:val="left" w:pos="5220"/>
              </w:tabs>
              <w:spacing w:after="0" w:line="240" w:lineRule="auto"/>
              <w:ind w:firstLine="34"/>
              <w:jc w:val="both"/>
              <w:rPr>
                <w:rFonts w:ascii="Times New Roman" w:hAnsi="Times New Roman" w:cs="Times New Roman"/>
                <w:snapToGrid w:val="0"/>
                <w:sz w:val="24"/>
                <w:szCs w:val="24"/>
                <w:lang w:val="fr-FR"/>
              </w:rPr>
            </w:pPr>
            <w:r w:rsidRPr="001C4043">
              <w:rPr>
                <w:rFonts w:ascii="Times New Roman" w:hAnsi="Times New Roman" w:cs="Times New Roman"/>
                <w:snapToGrid w:val="0"/>
                <w:sz w:val="24"/>
                <w:szCs w:val="24"/>
                <w:lang w:val="fr-FR"/>
              </w:rPr>
              <w:t xml:space="preserve">Savanorių pr. 2, LT-03116 Vilnius </w:t>
            </w:r>
          </w:p>
          <w:p w14:paraId="25AFBCB1" w14:textId="61BD2AEE" w:rsidR="0087132E" w:rsidRPr="001C4043" w:rsidRDefault="0087132E" w:rsidP="0009103A">
            <w:pPr>
              <w:tabs>
                <w:tab w:val="left" w:pos="5220"/>
              </w:tabs>
              <w:spacing w:after="0" w:line="240" w:lineRule="auto"/>
              <w:ind w:firstLine="34"/>
              <w:jc w:val="both"/>
              <w:rPr>
                <w:rFonts w:ascii="Times New Roman" w:hAnsi="Times New Roman" w:cs="Times New Roman"/>
                <w:sz w:val="24"/>
                <w:szCs w:val="24"/>
                <w:lang w:val="en-GB"/>
              </w:rPr>
            </w:pPr>
            <w:r w:rsidRPr="001C4043">
              <w:rPr>
                <w:rFonts w:ascii="Times New Roman" w:hAnsi="Times New Roman" w:cs="Times New Roman"/>
                <w:sz w:val="24"/>
                <w:szCs w:val="24"/>
                <w:lang w:val="en-GB"/>
              </w:rPr>
              <w:t xml:space="preserve">Tel.: </w:t>
            </w:r>
            <w:r w:rsidR="00966DAE" w:rsidRPr="001C4043">
              <w:rPr>
                <w:rFonts w:ascii="Times New Roman" w:hAnsi="Times New Roman" w:cs="Times New Roman"/>
                <w:sz w:val="24"/>
                <w:szCs w:val="24"/>
                <w:lang w:val="en-GB"/>
              </w:rPr>
              <w:t>(</w:t>
            </w:r>
            <w:r w:rsidRPr="001C4043">
              <w:rPr>
                <w:rFonts w:ascii="Times New Roman" w:hAnsi="Times New Roman" w:cs="Times New Roman"/>
                <w:sz w:val="24"/>
                <w:szCs w:val="24"/>
                <w:lang w:val="en-GB"/>
              </w:rPr>
              <w:t>+370</w:t>
            </w:r>
            <w:r w:rsidR="00966DAE" w:rsidRPr="001C4043">
              <w:rPr>
                <w:rFonts w:ascii="Times New Roman" w:hAnsi="Times New Roman" w:cs="Times New Roman"/>
                <w:sz w:val="24"/>
                <w:szCs w:val="24"/>
                <w:lang w:val="en-GB"/>
              </w:rPr>
              <w:t>)</w:t>
            </w:r>
            <w:r w:rsidRPr="001C4043">
              <w:rPr>
                <w:rFonts w:ascii="Times New Roman" w:hAnsi="Times New Roman" w:cs="Times New Roman"/>
                <w:sz w:val="24"/>
                <w:szCs w:val="24"/>
                <w:lang w:val="en-GB"/>
              </w:rPr>
              <w:t xml:space="preserve"> 5 2719305</w:t>
            </w:r>
          </w:p>
          <w:p w14:paraId="61E6A1A6" w14:textId="4704AE00" w:rsidR="0087132E" w:rsidRPr="001C4043" w:rsidRDefault="0087132E" w:rsidP="0009103A">
            <w:pPr>
              <w:spacing w:after="0" w:line="276" w:lineRule="auto"/>
              <w:outlineLvl w:val="0"/>
              <w:rPr>
                <w:rFonts w:ascii="Times New Roman" w:hAnsi="Times New Roman" w:cs="Times New Roman"/>
                <w:color w:val="000000"/>
                <w:sz w:val="24"/>
                <w:szCs w:val="24"/>
                <w:lang w:val="en-GB"/>
              </w:rPr>
            </w:pPr>
            <w:r w:rsidRPr="001C4043">
              <w:rPr>
                <w:rFonts w:ascii="Times New Roman" w:hAnsi="Times New Roman" w:cs="Times New Roman"/>
                <w:color w:val="000000"/>
                <w:sz w:val="24"/>
                <w:szCs w:val="24"/>
                <w:lang w:val="en-GB"/>
              </w:rPr>
              <w:t xml:space="preserve"> Tel. (</w:t>
            </w:r>
            <w:r w:rsidR="00966DAE" w:rsidRPr="001C4043">
              <w:rPr>
                <w:rFonts w:ascii="Times New Roman" w:hAnsi="Times New Roman" w:cs="Times New Roman"/>
                <w:color w:val="000000"/>
                <w:sz w:val="24"/>
                <w:szCs w:val="24"/>
                <w:lang w:val="en-GB"/>
              </w:rPr>
              <w:t>+370</w:t>
            </w:r>
            <w:r w:rsidRPr="001C4043">
              <w:rPr>
                <w:rFonts w:ascii="Times New Roman" w:hAnsi="Times New Roman" w:cs="Times New Roman"/>
                <w:color w:val="000000"/>
                <w:sz w:val="24"/>
                <w:szCs w:val="24"/>
                <w:lang w:val="en-GB"/>
              </w:rPr>
              <w:t xml:space="preserve">) 707 59305 </w:t>
            </w:r>
          </w:p>
          <w:p w14:paraId="55626072" w14:textId="7B70002E" w:rsidR="0087132E" w:rsidRPr="001C4043" w:rsidRDefault="002A4EFF" w:rsidP="002A4EFF">
            <w:pPr>
              <w:widowControl w:val="0"/>
              <w:suppressAutoHyphens w:val="0"/>
              <w:autoSpaceDE w:val="0"/>
              <w:autoSpaceDN w:val="0"/>
              <w:adjustRightInd w:val="0"/>
              <w:spacing w:after="0" w:line="240" w:lineRule="auto"/>
              <w:ind w:right="-111"/>
              <w:jc w:val="both"/>
              <w:rPr>
                <w:rFonts w:ascii="Times New Roman" w:eastAsia="Times New Roman" w:hAnsi="Times New Roman" w:cs="Times New Roman"/>
                <w:color w:val="auto"/>
                <w:kern w:val="0"/>
                <w:sz w:val="24"/>
                <w:szCs w:val="24"/>
                <w:lang w:val="en-GB" w:eastAsia="lt-LT"/>
              </w:rPr>
            </w:pPr>
            <w:r w:rsidRPr="001C4043">
              <w:rPr>
                <w:rFonts w:ascii="Times New Roman" w:eastAsia="Times New Roman" w:hAnsi="Times New Roman" w:cs="Times New Roman"/>
                <w:color w:val="auto"/>
                <w:kern w:val="0"/>
                <w:sz w:val="24"/>
                <w:szCs w:val="24"/>
                <w:lang w:val="en-GB" w:eastAsia="lt-LT"/>
              </w:rPr>
              <w:t xml:space="preserve">Settlement account No. </w:t>
            </w:r>
            <w:r w:rsidR="0087132E" w:rsidRPr="001C4043">
              <w:rPr>
                <w:rFonts w:ascii="Times New Roman" w:eastAsia="Times New Roman" w:hAnsi="Times New Roman" w:cs="Times New Roman"/>
                <w:color w:val="auto"/>
                <w:kern w:val="0"/>
                <w:sz w:val="24"/>
                <w:szCs w:val="24"/>
                <w:lang w:val="en-GB" w:eastAsia="lt-LT"/>
              </w:rPr>
              <w:t>LT614040063610001096</w:t>
            </w:r>
          </w:p>
          <w:p w14:paraId="3A1ADBEB" w14:textId="42EC373E" w:rsidR="0087132E" w:rsidRPr="001C4043" w:rsidRDefault="002A4EFF"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val="en-GB" w:eastAsia="lt-LT"/>
              </w:rPr>
            </w:pPr>
            <w:r w:rsidRPr="001C4043">
              <w:rPr>
                <w:rFonts w:ascii="Times New Roman" w:eastAsia="Times New Roman" w:hAnsi="Times New Roman" w:cs="Times New Roman"/>
                <w:color w:val="auto"/>
                <w:kern w:val="0"/>
                <w:sz w:val="24"/>
                <w:szCs w:val="24"/>
                <w:lang w:val="en-GB" w:eastAsia="lt-LT"/>
              </w:rPr>
              <w:t>Ministry of Finance of the Republic of Lithuania</w:t>
            </w:r>
          </w:p>
          <w:p w14:paraId="33738C6E" w14:textId="20D21EFA" w:rsidR="0087132E" w:rsidRPr="001C4043" w:rsidRDefault="002A4EFF"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val="en-GB" w:eastAsia="lt-LT"/>
              </w:rPr>
            </w:pPr>
            <w:r w:rsidRPr="001C4043">
              <w:rPr>
                <w:rFonts w:ascii="Times New Roman" w:eastAsia="Times New Roman" w:hAnsi="Times New Roman" w:cs="Times New Roman"/>
                <w:color w:val="auto"/>
                <w:kern w:val="0"/>
                <w:sz w:val="24"/>
                <w:szCs w:val="24"/>
                <w:lang w:val="en-GB" w:eastAsia="lt-LT"/>
              </w:rPr>
              <w:t xml:space="preserve">Financial institution code </w:t>
            </w:r>
            <w:r w:rsidR="0087132E" w:rsidRPr="001C4043">
              <w:rPr>
                <w:rFonts w:ascii="Times New Roman" w:eastAsia="Times New Roman" w:hAnsi="Times New Roman" w:cs="Times New Roman"/>
                <w:color w:val="auto"/>
                <w:kern w:val="0"/>
                <w:sz w:val="24"/>
                <w:szCs w:val="24"/>
                <w:lang w:val="en-GB" w:eastAsia="lt-LT"/>
              </w:rPr>
              <w:t>40400</w:t>
            </w:r>
          </w:p>
          <w:p w14:paraId="72DF2B6E" w14:textId="77777777" w:rsidR="0087132E" w:rsidRPr="001C4043"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val="en-GB" w:eastAsia="en-US" w:bidi="en-US"/>
              </w:rPr>
            </w:pPr>
          </w:p>
          <w:p w14:paraId="11B0D86D" w14:textId="77777777" w:rsidR="0032027A" w:rsidRPr="001C4043"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val="en-GB" w:eastAsia="en-US" w:bidi="en-US"/>
              </w:rPr>
            </w:pPr>
          </w:p>
          <w:p w14:paraId="628DC1AE" w14:textId="77777777" w:rsidR="0032027A" w:rsidRPr="001C4043"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val="en-GB" w:eastAsia="en-US" w:bidi="en-US"/>
              </w:rPr>
            </w:pPr>
          </w:p>
          <w:p w14:paraId="76920222" w14:textId="4B2F850A" w:rsidR="0087132E" w:rsidRPr="001C4043" w:rsidRDefault="002A4EFF" w:rsidP="0009103A">
            <w:pPr>
              <w:spacing w:after="0" w:line="240" w:lineRule="auto"/>
              <w:ind w:firstLine="34"/>
              <w:jc w:val="both"/>
              <w:rPr>
                <w:rFonts w:ascii="Times New Roman" w:hAnsi="Times New Roman" w:cs="Times New Roman"/>
                <w:bCs/>
                <w:sz w:val="24"/>
                <w:szCs w:val="24"/>
                <w:lang w:val="en-GB"/>
              </w:rPr>
            </w:pPr>
            <w:r w:rsidRPr="001C4043">
              <w:rPr>
                <w:rFonts w:ascii="Times New Roman" w:hAnsi="Times New Roman" w:cs="Times New Roman"/>
                <w:bCs/>
                <w:sz w:val="24"/>
                <w:szCs w:val="24"/>
                <w:lang w:val="en-GB"/>
              </w:rPr>
              <w:t>Deputy Head of the Service</w:t>
            </w:r>
            <w:r w:rsidR="0087132E" w:rsidRPr="001C4043">
              <w:rPr>
                <w:rFonts w:ascii="Times New Roman" w:hAnsi="Times New Roman" w:cs="Times New Roman"/>
                <w:bCs/>
                <w:sz w:val="24"/>
                <w:szCs w:val="24"/>
                <w:lang w:val="en-GB"/>
              </w:rPr>
              <w:tab/>
              <w:t xml:space="preserve"> </w:t>
            </w:r>
          </w:p>
          <w:p w14:paraId="5A68D733" w14:textId="77777777" w:rsidR="0087132E" w:rsidRPr="001C4043" w:rsidRDefault="0087132E" w:rsidP="0009103A">
            <w:pPr>
              <w:spacing w:after="0" w:line="240" w:lineRule="auto"/>
              <w:ind w:firstLine="34"/>
              <w:jc w:val="both"/>
              <w:rPr>
                <w:rFonts w:ascii="Times New Roman" w:hAnsi="Times New Roman" w:cs="Times New Roman"/>
                <w:sz w:val="24"/>
                <w:szCs w:val="24"/>
                <w:lang w:val="en-GB"/>
              </w:rPr>
            </w:pPr>
          </w:p>
          <w:p w14:paraId="48973975" w14:textId="77777777" w:rsidR="0087132E" w:rsidRPr="001C4043" w:rsidRDefault="0087132E" w:rsidP="0009103A">
            <w:pPr>
              <w:spacing w:after="0" w:line="240" w:lineRule="auto"/>
              <w:ind w:firstLine="34"/>
              <w:jc w:val="both"/>
              <w:rPr>
                <w:rFonts w:ascii="Times New Roman" w:hAnsi="Times New Roman" w:cs="Times New Roman"/>
                <w:bCs/>
                <w:sz w:val="24"/>
                <w:szCs w:val="24"/>
                <w:lang w:val="en-GB"/>
              </w:rPr>
            </w:pPr>
            <w:r w:rsidRPr="001C4043">
              <w:rPr>
                <w:rFonts w:ascii="Times New Roman" w:hAnsi="Times New Roman" w:cs="Times New Roman"/>
                <w:bCs/>
                <w:sz w:val="24"/>
                <w:szCs w:val="24"/>
                <w:lang w:val="en-GB"/>
              </w:rPr>
              <w:t xml:space="preserve">Saulius </w:t>
            </w:r>
            <w:proofErr w:type="spellStart"/>
            <w:r w:rsidRPr="001C4043">
              <w:rPr>
                <w:rFonts w:ascii="Times New Roman" w:hAnsi="Times New Roman" w:cs="Times New Roman"/>
                <w:bCs/>
                <w:sz w:val="24"/>
                <w:szCs w:val="24"/>
                <w:lang w:val="en-GB"/>
              </w:rPr>
              <w:t>Nekraševičius</w:t>
            </w:r>
            <w:proofErr w:type="spellEnd"/>
          </w:p>
        </w:tc>
        <w:tc>
          <w:tcPr>
            <w:tcW w:w="5103" w:type="dxa"/>
            <w:gridSpan w:val="2"/>
            <w:shd w:val="clear" w:color="auto" w:fill="auto"/>
          </w:tcPr>
          <w:p w14:paraId="6C841ED6" w14:textId="77777777" w:rsidR="0087132E" w:rsidRPr="001C4043"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39FE6B7" w14:textId="77777777" w:rsidR="0087132E" w:rsidRPr="001C4043"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4862AE68" w14:textId="77777777" w:rsidR="0087132E" w:rsidRPr="001C4043"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0CC9A0E7" w14:textId="77777777" w:rsidR="0087132E" w:rsidRPr="001C4043"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E2E7E95"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8BAEA9A"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5C6F2EE"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7C627E42"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9929619"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37951B1E"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E3E2629"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14AF20C" w14:textId="77777777" w:rsidR="0087132E" w:rsidRPr="001C4043"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133499A4" w14:textId="77777777" w:rsidR="0087132E" w:rsidRPr="001C4043" w:rsidRDefault="0087132E" w:rsidP="0009103A">
            <w:pPr>
              <w:tabs>
                <w:tab w:val="left" w:pos="720"/>
              </w:tabs>
              <w:spacing w:after="0" w:line="240" w:lineRule="auto"/>
              <w:jc w:val="both"/>
              <w:rPr>
                <w:rFonts w:ascii="Times New Roman" w:hAnsi="Times New Roman" w:cs="Times New Roman"/>
                <w:b/>
                <w:iCs/>
                <w:sz w:val="24"/>
                <w:szCs w:val="24"/>
                <w:lang w:val="en-GB"/>
              </w:rPr>
            </w:pPr>
          </w:p>
          <w:p w14:paraId="1F4C8DD5" w14:textId="1B6D96E6" w:rsidR="0087132E" w:rsidRPr="001C4043" w:rsidRDefault="0087132E" w:rsidP="00053C08">
            <w:pPr>
              <w:tabs>
                <w:tab w:val="left" w:pos="720"/>
              </w:tabs>
              <w:spacing w:after="0" w:line="240" w:lineRule="auto"/>
              <w:jc w:val="both"/>
              <w:rPr>
                <w:rFonts w:ascii="Times New Roman" w:hAnsi="Times New Roman" w:cs="Times New Roman"/>
                <w:bCs/>
                <w:iCs/>
                <w:sz w:val="24"/>
                <w:szCs w:val="24"/>
                <w:lang w:val="en-GB"/>
              </w:rPr>
            </w:pPr>
            <w:r w:rsidRPr="001C4043">
              <w:rPr>
                <w:rFonts w:ascii="Times New Roman" w:hAnsi="Times New Roman" w:cs="Times New Roman"/>
                <w:b/>
                <w:iCs/>
                <w:sz w:val="24"/>
                <w:szCs w:val="24"/>
                <w:lang w:val="en-GB"/>
              </w:rPr>
              <w:t xml:space="preserve">                </w:t>
            </w:r>
          </w:p>
        </w:tc>
      </w:tr>
    </w:tbl>
    <w:p w14:paraId="6CFE340F" w14:textId="77777777" w:rsidR="00D314AC" w:rsidRPr="001C4043" w:rsidRDefault="00D314AC" w:rsidP="00053C08">
      <w:pPr>
        <w:rPr>
          <w:rFonts w:ascii="Times New Roman" w:hAnsi="Times New Roman" w:cs="Times New Roman"/>
          <w:sz w:val="24"/>
          <w:szCs w:val="24"/>
          <w:lang w:val="en-GB"/>
        </w:rPr>
      </w:pPr>
    </w:p>
    <w:p w14:paraId="016093EF" w14:textId="77777777" w:rsidR="00BE2EF4" w:rsidRPr="001C4043" w:rsidRDefault="00BE2EF4" w:rsidP="00053C08">
      <w:pPr>
        <w:rPr>
          <w:rFonts w:ascii="Times New Roman" w:hAnsi="Times New Roman" w:cs="Times New Roman"/>
          <w:sz w:val="24"/>
          <w:szCs w:val="24"/>
          <w:lang w:val="en-GB"/>
        </w:rPr>
      </w:pPr>
    </w:p>
    <w:p w14:paraId="54630B8A" w14:textId="77777777" w:rsidR="00BE2EF4" w:rsidRPr="001C4043" w:rsidRDefault="00BE2EF4" w:rsidP="00053C08">
      <w:pPr>
        <w:rPr>
          <w:rFonts w:ascii="Times New Roman" w:hAnsi="Times New Roman" w:cs="Times New Roman"/>
          <w:sz w:val="24"/>
          <w:szCs w:val="24"/>
          <w:lang w:val="en-GB"/>
        </w:rPr>
      </w:pPr>
    </w:p>
    <w:p w14:paraId="05051EE0" w14:textId="77777777" w:rsidR="00BE2EF4" w:rsidRPr="001C4043" w:rsidRDefault="00BE2EF4" w:rsidP="00053C08">
      <w:pPr>
        <w:rPr>
          <w:rFonts w:ascii="Times New Roman" w:hAnsi="Times New Roman" w:cs="Times New Roman"/>
          <w:sz w:val="24"/>
          <w:szCs w:val="24"/>
          <w:lang w:val="en-GB"/>
        </w:rPr>
      </w:pPr>
    </w:p>
    <w:p w14:paraId="7497AF58" w14:textId="77777777" w:rsidR="00BE2EF4" w:rsidRPr="001C4043" w:rsidRDefault="00BE2EF4" w:rsidP="00053C08">
      <w:pPr>
        <w:rPr>
          <w:rFonts w:ascii="Times New Roman" w:hAnsi="Times New Roman" w:cs="Times New Roman"/>
          <w:sz w:val="24"/>
          <w:szCs w:val="24"/>
          <w:lang w:val="en-GB"/>
        </w:rPr>
      </w:pPr>
    </w:p>
    <w:sectPr w:rsidR="00BE2EF4" w:rsidRPr="001C4043" w:rsidSect="001C4043">
      <w:headerReference w:type="even" r:id="rId7"/>
      <w:headerReference w:type="default" r:id="rId8"/>
      <w:footerReference w:type="even" r:id="rId9"/>
      <w:footerReference w:type="default" r:id="rId10"/>
      <w:headerReference w:type="first" r:id="rId11"/>
      <w:footerReference w:type="first" r:id="rId12"/>
      <w:pgSz w:w="12240" w:h="15840"/>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05FA" w14:textId="77777777" w:rsidR="00460371" w:rsidRDefault="00460371" w:rsidP="00B26E3D">
      <w:pPr>
        <w:spacing w:after="0" w:line="240" w:lineRule="auto"/>
      </w:pPr>
      <w:r>
        <w:separator/>
      </w:r>
    </w:p>
  </w:endnote>
  <w:endnote w:type="continuationSeparator" w:id="0">
    <w:p w14:paraId="7F028F21" w14:textId="77777777" w:rsidR="00460371" w:rsidRDefault="00460371"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4D91" w14:textId="77777777" w:rsidR="00460371" w:rsidRDefault="00460371" w:rsidP="00B26E3D">
      <w:pPr>
        <w:spacing w:after="0" w:line="240" w:lineRule="auto"/>
      </w:pPr>
      <w:r>
        <w:separator/>
      </w:r>
    </w:p>
  </w:footnote>
  <w:footnote w:type="continuationSeparator" w:id="0">
    <w:p w14:paraId="7E77214F" w14:textId="77777777" w:rsidR="00460371" w:rsidRDefault="00460371"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AAC6624"/>
    <w:multiLevelType w:val="multilevel"/>
    <w:tmpl w:val="66F409F4"/>
    <w:lvl w:ilvl="0">
      <w:start w:val="7"/>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3"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7"/>
  </w:num>
  <w:num w:numId="2" w16cid:durableId="1316108267">
    <w:abstractNumId w:val="3"/>
  </w:num>
  <w:num w:numId="3" w16cid:durableId="94182088">
    <w:abstractNumId w:val="8"/>
  </w:num>
  <w:num w:numId="4" w16cid:durableId="750858337">
    <w:abstractNumId w:val="10"/>
  </w:num>
  <w:num w:numId="5" w16cid:durableId="1688361060">
    <w:abstractNumId w:val="12"/>
  </w:num>
  <w:num w:numId="6" w16cid:durableId="150603865">
    <w:abstractNumId w:val="0"/>
  </w:num>
  <w:num w:numId="7" w16cid:durableId="1579747047">
    <w:abstractNumId w:val="11"/>
  </w:num>
  <w:num w:numId="8" w16cid:durableId="135266778">
    <w:abstractNumId w:val="13"/>
  </w:num>
  <w:num w:numId="9" w16cid:durableId="402680795">
    <w:abstractNumId w:val="9"/>
  </w:num>
  <w:num w:numId="10" w16cid:durableId="148791392">
    <w:abstractNumId w:val="4"/>
  </w:num>
  <w:num w:numId="11" w16cid:durableId="1708676929">
    <w:abstractNumId w:val="5"/>
  </w:num>
  <w:num w:numId="12" w16cid:durableId="287592765">
    <w:abstractNumId w:val="6"/>
  </w:num>
  <w:num w:numId="13" w16cid:durableId="745226607">
    <w:abstractNumId w:val="1"/>
  </w:num>
  <w:num w:numId="14" w16cid:durableId="1772510107">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25756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3A01"/>
    <w:rsid w:val="000041DE"/>
    <w:rsid w:val="00015F34"/>
    <w:rsid w:val="00015FA9"/>
    <w:rsid w:val="00020187"/>
    <w:rsid w:val="00020797"/>
    <w:rsid w:val="0003072C"/>
    <w:rsid w:val="000345B4"/>
    <w:rsid w:val="000359CC"/>
    <w:rsid w:val="00046149"/>
    <w:rsid w:val="00053C08"/>
    <w:rsid w:val="00054E96"/>
    <w:rsid w:val="000705BD"/>
    <w:rsid w:val="000723D2"/>
    <w:rsid w:val="000837B7"/>
    <w:rsid w:val="00092E3F"/>
    <w:rsid w:val="00095CBF"/>
    <w:rsid w:val="000D1470"/>
    <w:rsid w:val="000D256C"/>
    <w:rsid w:val="00102748"/>
    <w:rsid w:val="001041B3"/>
    <w:rsid w:val="00127C0C"/>
    <w:rsid w:val="00137061"/>
    <w:rsid w:val="001436BF"/>
    <w:rsid w:val="00147427"/>
    <w:rsid w:val="001523CC"/>
    <w:rsid w:val="00154D05"/>
    <w:rsid w:val="0016133B"/>
    <w:rsid w:val="00161A91"/>
    <w:rsid w:val="00171BD2"/>
    <w:rsid w:val="001A15DD"/>
    <w:rsid w:val="001A5155"/>
    <w:rsid w:val="001B0339"/>
    <w:rsid w:val="001C24F9"/>
    <w:rsid w:val="001C2BFF"/>
    <w:rsid w:val="001C4043"/>
    <w:rsid w:val="001C58FE"/>
    <w:rsid w:val="001E5A41"/>
    <w:rsid w:val="001E7BAE"/>
    <w:rsid w:val="001F030B"/>
    <w:rsid w:val="001F3EEA"/>
    <w:rsid w:val="001F4F3D"/>
    <w:rsid w:val="001F65D9"/>
    <w:rsid w:val="00202D4E"/>
    <w:rsid w:val="002057F3"/>
    <w:rsid w:val="00207DD2"/>
    <w:rsid w:val="00214596"/>
    <w:rsid w:val="002229F3"/>
    <w:rsid w:val="00224F89"/>
    <w:rsid w:val="002318AA"/>
    <w:rsid w:val="002321FF"/>
    <w:rsid w:val="002341EC"/>
    <w:rsid w:val="00236169"/>
    <w:rsid w:val="00237232"/>
    <w:rsid w:val="00246D57"/>
    <w:rsid w:val="00250315"/>
    <w:rsid w:val="0025193C"/>
    <w:rsid w:val="0027484D"/>
    <w:rsid w:val="00291DBA"/>
    <w:rsid w:val="002A4EFF"/>
    <w:rsid w:val="002A69AC"/>
    <w:rsid w:val="002A76B6"/>
    <w:rsid w:val="002B4833"/>
    <w:rsid w:val="002B6A49"/>
    <w:rsid w:val="002C1F9C"/>
    <w:rsid w:val="002D3935"/>
    <w:rsid w:val="002F7500"/>
    <w:rsid w:val="00306A8F"/>
    <w:rsid w:val="003076E4"/>
    <w:rsid w:val="003105B8"/>
    <w:rsid w:val="0032027A"/>
    <w:rsid w:val="00334515"/>
    <w:rsid w:val="0034092B"/>
    <w:rsid w:val="003631C0"/>
    <w:rsid w:val="00371B5C"/>
    <w:rsid w:val="00373D45"/>
    <w:rsid w:val="00374522"/>
    <w:rsid w:val="00381A6C"/>
    <w:rsid w:val="00387680"/>
    <w:rsid w:val="003921D3"/>
    <w:rsid w:val="003A35B5"/>
    <w:rsid w:val="003C4DE3"/>
    <w:rsid w:val="003D0DBE"/>
    <w:rsid w:val="003D593E"/>
    <w:rsid w:val="003E0DCD"/>
    <w:rsid w:val="003E2E27"/>
    <w:rsid w:val="00413125"/>
    <w:rsid w:val="004166A9"/>
    <w:rsid w:val="00420E01"/>
    <w:rsid w:val="004318FE"/>
    <w:rsid w:val="00441F6E"/>
    <w:rsid w:val="00450EAD"/>
    <w:rsid w:val="00454B49"/>
    <w:rsid w:val="00455E1A"/>
    <w:rsid w:val="00460371"/>
    <w:rsid w:val="00461F09"/>
    <w:rsid w:val="004645B5"/>
    <w:rsid w:val="00464A10"/>
    <w:rsid w:val="0046529A"/>
    <w:rsid w:val="0049152F"/>
    <w:rsid w:val="004A01C5"/>
    <w:rsid w:val="004A08BD"/>
    <w:rsid w:val="004C3714"/>
    <w:rsid w:val="004C3B13"/>
    <w:rsid w:val="004D6013"/>
    <w:rsid w:val="004E429D"/>
    <w:rsid w:val="004E42C6"/>
    <w:rsid w:val="004E4478"/>
    <w:rsid w:val="004E5478"/>
    <w:rsid w:val="004F1261"/>
    <w:rsid w:val="00507002"/>
    <w:rsid w:val="00512D18"/>
    <w:rsid w:val="005267F2"/>
    <w:rsid w:val="00537F6E"/>
    <w:rsid w:val="00540ED0"/>
    <w:rsid w:val="00544629"/>
    <w:rsid w:val="00547D2E"/>
    <w:rsid w:val="005602E6"/>
    <w:rsid w:val="00570E3E"/>
    <w:rsid w:val="0058391C"/>
    <w:rsid w:val="005876E0"/>
    <w:rsid w:val="00587C81"/>
    <w:rsid w:val="005B6513"/>
    <w:rsid w:val="005C60D9"/>
    <w:rsid w:val="005D2C00"/>
    <w:rsid w:val="005D3783"/>
    <w:rsid w:val="005E1BDC"/>
    <w:rsid w:val="005F1BDC"/>
    <w:rsid w:val="005F6BD9"/>
    <w:rsid w:val="00612698"/>
    <w:rsid w:val="00616C51"/>
    <w:rsid w:val="00617280"/>
    <w:rsid w:val="00626CB7"/>
    <w:rsid w:val="00644100"/>
    <w:rsid w:val="00647848"/>
    <w:rsid w:val="0065277F"/>
    <w:rsid w:val="006540E7"/>
    <w:rsid w:val="00656214"/>
    <w:rsid w:val="00675955"/>
    <w:rsid w:val="00677FD9"/>
    <w:rsid w:val="006877E0"/>
    <w:rsid w:val="00687A9B"/>
    <w:rsid w:val="0069250E"/>
    <w:rsid w:val="00695062"/>
    <w:rsid w:val="00697BB2"/>
    <w:rsid w:val="006A35FD"/>
    <w:rsid w:val="006A6679"/>
    <w:rsid w:val="006B39B7"/>
    <w:rsid w:val="006B6B74"/>
    <w:rsid w:val="006B770D"/>
    <w:rsid w:val="006C19F0"/>
    <w:rsid w:val="006C7E8B"/>
    <w:rsid w:val="006D0C2E"/>
    <w:rsid w:val="006D2EF9"/>
    <w:rsid w:val="006F1847"/>
    <w:rsid w:val="006F49C7"/>
    <w:rsid w:val="006F6465"/>
    <w:rsid w:val="006F7107"/>
    <w:rsid w:val="006F7C0E"/>
    <w:rsid w:val="00707446"/>
    <w:rsid w:val="007159FA"/>
    <w:rsid w:val="00721605"/>
    <w:rsid w:val="007403A0"/>
    <w:rsid w:val="0074584C"/>
    <w:rsid w:val="007467AB"/>
    <w:rsid w:val="00747D16"/>
    <w:rsid w:val="00773561"/>
    <w:rsid w:val="007928FF"/>
    <w:rsid w:val="00792E94"/>
    <w:rsid w:val="007B2207"/>
    <w:rsid w:val="007B26E7"/>
    <w:rsid w:val="007B4B60"/>
    <w:rsid w:val="007C59A6"/>
    <w:rsid w:val="007E134D"/>
    <w:rsid w:val="007E4B46"/>
    <w:rsid w:val="007E53F1"/>
    <w:rsid w:val="007E60A3"/>
    <w:rsid w:val="007F14C7"/>
    <w:rsid w:val="0080606A"/>
    <w:rsid w:val="00810AB6"/>
    <w:rsid w:val="00811C8D"/>
    <w:rsid w:val="00816709"/>
    <w:rsid w:val="00830F09"/>
    <w:rsid w:val="00843350"/>
    <w:rsid w:val="00857097"/>
    <w:rsid w:val="00867874"/>
    <w:rsid w:val="0087132E"/>
    <w:rsid w:val="00872277"/>
    <w:rsid w:val="008773E8"/>
    <w:rsid w:val="00890DFC"/>
    <w:rsid w:val="00893A96"/>
    <w:rsid w:val="008A1D3D"/>
    <w:rsid w:val="008A2535"/>
    <w:rsid w:val="008A29CD"/>
    <w:rsid w:val="008B6E0B"/>
    <w:rsid w:val="008B7E5E"/>
    <w:rsid w:val="008D1205"/>
    <w:rsid w:val="008E4288"/>
    <w:rsid w:val="008E55ED"/>
    <w:rsid w:val="009006C4"/>
    <w:rsid w:val="00907055"/>
    <w:rsid w:val="00912806"/>
    <w:rsid w:val="009349B4"/>
    <w:rsid w:val="00942935"/>
    <w:rsid w:val="00951FFA"/>
    <w:rsid w:val="0096173D"/>
    <w:rsid w:val="00966DAE"/>
    <w:rsid w:val="00977A8F"/>
    <w:rsid w:val="00981568"/>
    <w:rsid w:val="00993787"/>
    <w:rsid w:val="00995C7B"/>
    <w:rsid w:val="009A6D31"/>
    <w:rsid w:val="009C48D5"/>
    <w:rsid w:val="009D20D8"/>
    <w:rsid w:val="009D5C63"/>
    <w:rsid w:val="009E5B4E"/>
    <w:rsid w:val="00A238DE"/>
    <w:rsid w:val="00A316B3"/>
    <w:rsid w:val="00A50DF3"/>
    <w:rsid w:val="00A51BB4"/>
    <w:rsid w:val="00A60FD5"/>
    <w:rsid w:val="00A74E6C"/>
    <w:rsid w:val="00A83AB4"/>
    <w:rsid w:val="00A9165F"/>
    <w:rsid w:val="00A91EEA"/>
    <w:rsid w:val="00A9431E"/>
    <w:rsid w:val="00AA5428"/>
    <w:rsid w:val="00AB13B8"/>
    <w:rsid w:val="00AB4A74"/>
    <w:rsid w:val="00AD338A"/>
    <w:rsid w:val="00AD4DCC"/>
    <w:rsid w:val="00AD749E"/>
    <w:rsid w:val="00AF27FD"/>
    <w:rsid w:val="00B03FAF"/>
    <w:rsid w:val="00B04814"/>
    <w:rsid w:val="00B079B2"/>
    <w:rsid w:val="00B07D9E"/>
    <w:rsid w:val="00B26E3D"/>
    <w:rsid w:val="00B27D1B"/>
    <w:rsid w:val="00B43D64"/>
    <w:rsid w:val="00B5579F"/>
    <w:rsid w:val="00B703B1"/>
    <w:rsid w:val="00B75592"/>
    <w:rsid w:val="00B76E89"/>
    <w:rsid w:val="00B86046"/>
    <w:rsid w:val="00B86A25"/>
    <w:rsid w:val="00B90204"/>
    <w:rsid w:val="00B9228B"/>
    <w:rsid w:val="00BA017F"/>
    <w:rsid w:val="00BA139C"/>
    <w:rsid w:val="00BA3186"/>
    <w:rsid w:val="00BB5404"/>
    <w:rsid w:val="00BC2166"/>
    <w:rsid w:val="00BC793E"/>
    <w:rsid w:val="00BD38A4"/>
    <w:rsid w:val="00BE2EF4"/>
    <w:rsid w:val="00BE7A6A"/>
    <w:rsid w:val="00BF2828"/>
    <w:rsid w:val="00BF47C8"/>
    <w:rsid w:val="00BF642E"/>
    <w:rsid w:val="00C00412"/>
    <w:rsid w:val="00C13B3E"/>
    <w:rsid w:val="00C15682"/>
    <w:rsid w:val="00C1652E"/>
    <w:rsid w:val="00C47350"/>
    <w:rsid w:val="00C57DB2"/>
    <w:rsid w:val="00C76D24"/>
    <w:rsid w:val="00C84147"/>
    <w:rsid w:val="00C97BEF"/>
    <w:rsid w:val="00CA1B75"/>
    <w:rsid w:val="00CB01B9"/>
    <w:rsid w:val="00CB2E20"/>
    <w:rsid w:val="00CC0EC3"/>
    <w:rsid w:val="00CC3E91"/>
    <w:rsid w:val="00CC406D"/>
    <w:rsid w:val="00CD3DC6"/>
    <w:rsid w:val="00CF3AC0"/>
    <w:rsid w:val="00D11BCF"/>
    <w:rsid w:val="00D13AE2"/>
    <w:rsid w:val="00D175B1"/>
    <w:rsid w:val="00D314AC"/>
    <w:rsid w:val="00D330C1"/>
    <w:rsid w:val="00D36649"/>
    <w:rsid w:val="00D43661"/>
    <w:rsid w:val="00D506E8"/>
    <w:rsid w:val="00D53492"/>
    <w:rsid w:val="00D80907"/>
    <w:rsid w:val="00D965E8"/>
    <w:rsid w:val="00DA1306"/>
    <w:rsid w:val="00DA3210"/>
    <w:rsid w:val="00DB06D0"/>
    <w:rsid w:val="00DB2D5C"/>
    <w:rsid w:val="00DC680F"/>
    <w:rsid w:val="00DC7E02"/>
    <w:rsid w:val="00DD6B24"/>
    <w:rsid w:val="00DE0DCF"/>
    <w:rsid w:val="00E0010B"/>
    <w:rsid w:val="00E02458"/>
    <w:rsid w:val="00E12291"/>
    <w:rsid w:val="00E20C0A"/>
    <w:rsid w:val="00E33B04"/>
    <w:rsid w:val="00E51791"/>
    <w:rsid w:val="00E63781"/>
    <w:rsid w:val="00E6391A"/>
    <w:rsid w:val="00E72AB7"/>
    <w:rsid w:val="00E778DE"/>
    <w:rsid w:val="00E81B81"/>
    <w:rsid w:val="00E84BB0"/>
    <w:rsid w:val="00EA2087"/>
    <w:rsid w:val="00EB1134"/>
    <w:rsid w:val="00EB1852"/>
    <w:rsid w:val="00EB4C41"/>
    <w:rsid w:val="00EB5A56"/>
    <w:rsid w:val="00EC28D6"/>
    <w:rsid w:val="00EC3DEC"/>
    <w:rsid w:val="00ED01ED"/>
    <w:rsid w:val="00ED186A"/>
    <w:rsid w:val="00F21C06"/>
    <w:rsid w:val="00F222A6"/>
    <w:rsid w:val="00F27F28"/>
    <w:rsid w:val="00F76363"/>
    <w:rsid w:val="00F94DE5"/>
    <w:rsid w:val="00F96205"/>
    <w:rsid w:val="00FA1B07"/>
    <w:rsid w:val="00FC0E81"/>
    <w:rsid w:val="00FC5910"/>
    <w:rsid w:val="00FD5988"/>
    <w:rsid w:val="00FE6F4E"/>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16889</Words>
  <Characters>9627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Beliakova Jelena</cp:lastModifiedBy>
  <cp:revision>8</cp:revision>
  <dcterms:created xsi:type="dcterms:W3CDTF">2025-01-20T12:38:00Z</dcterms:created>
  <dcterms:modified xsi:type="dcterms:W3CDTF">2025-01-22T12:57:00Z</dcterms:modified>
</cp:coreProperties>
</file>