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2925" w14:textId="6FD7F27B" w:rsidR="007E61E2" w:rsidRPr="00F71A41" w:rsidRDefault="00D40256" w:rsidP="007E61E2">
      <w:pPr>
        <w:jc w:val="center"/>
        <w:rPr>
          <w:b/>
          <w:caps/>
          <w:color w:val="000000"/>
          <w:szCs w:val="24"/>
        </w:rPr>
      </w:pPr>
      <w:r>
        <w:rPr>
          <w:b/>
          <w:caps/>
          <w:color w:val="000000"/>
          <w:szCs w:val="24"/>
        </w:rPr>
        <w:t>TECHNINĖ SPECIFIKACIJA</w:t>
      </w:r>
    </w:p>
    <w:p w14:paraId="13D26A0E" w14:textId="77777777" w:rsidR="007E61E2" w:rsidRDefault="007E61E2" w:rsidP="007E61E2">
      <w:pPr>
        <w:tabs>
          <w:tab w:val="left" w:pos="4479"/>
        </w:tabs>
      </w:pPr>
    </w:p>
    <w:p w14:paraId="5920A068" w14:textId="611B44EA" w:rsidR="0050638E" w:rsidRDefault="007E61E2">
      <w:pPr>
        <w:rPr>
          <w:b/>
          <w:bCs/>
        </w:rPr>
      </w:pPr>
      <w:r w:rsidRPr="007E61E2">
        <w:rPr>
          <w:b/>
          <w:bCs/>
        </w:rPr>
        <w:t>Individualiosios dozės ekvivalento Hp(10) matavimas viso kūno efektinės dozės įvertinimui:</w:t>
      </w:r>
    </w:p>
    <w:tbl>
      <w:tblPr>
        <w:tblStyle w:val="Lentelstinklelis"/>
        <w:tblW w:w="0" w:type="auto"/>
        <w:tblLook w:val="04A0" w:firstRow="1" w:lastRow="0" w:firstColumn="1" w:lastColumn="0" w:noHBand="0" w:noVBand="1"/>
      </w:tblPr>
      <w:tblGrid>
        <w:gridCol w:w="9638"/>
      </w:tblGrid>
      <w:tr w:rsidR="00780420" w:rsidRPr="007E61E2" w14:paraId="04887782" w14:textId="77777777" w:rsidTr="00780420">
        <w:trPr>
          <w:trHeight w:val="900"/>
        </w:trPr>
        <w:tc>
          <w:tcPr>
            <w:tcW w:w="9638" w:type="dxa"/>
            <w:tcBorders>
              <w:top w:val="nil"/>
              <w:left w:val="nil"/>
              <w:bottom w:val="nil"/>
              <w:right w:val="nil"/>
            </w:tcBorders>
            <w:hideMark/>
          </w:tcPr>
          <w:tbl>
            <w:tblPr>
              <w:tblStyle w:val="Lentelstinklelis"/>
              <w:tblW w:w="0" w:type="auto"/>
              <w:tblLook w:val="04A0" w:firstRow="1" w:lastRow="0" w:firstColumn="1" w:lastColumn="0" w:noHBand="0" w:noVBand="1"/>
            </w:tblPr>
            <w:tblGrid>
              <w:gridCol w:w="9422"/>
            </w:tblGrid>
            <w:tr w:rsidR="00780420" w:rsidRPr="006A2D8E" w14:paraId="3690F304" w14:textId="77777777" w:rsidTr="00E01DBB">
              <w:trPr>
                <w:trHeight w:val="315"/>
              </w:trPr>
              <w:tc>
                <w:tcPr>
                  <w:tcW w:w="9422" w:type="dxa"/>
                  <w:tcBorders>
                    <w:top w:val="nil"/>
                    <w:left w:val="nil"/>
                    <w:bottom w:val="nil"/>
                    <w:right w:val="nil"/>
                  </w:tcBorders>
                </w:tcPr>
                <w:p w14:paraId="2A987A1A" w14:textId="19728D43" w:rsidR="00780420" w:rsidRPr="00780420" w:rsidRDefault="00780420" w:rsidP="00780420">
                  <w:pPr>
                    <w:jc w:val="both"/>
                    <w:rPr>
                      <w:sz w:val="22"/>
                    </w:rPr>
                  </w:pPr>
                </w:p>
              </w:tc>
            </w:tr>
            <w:tr w:rsidR="00780420" w:rsidRPr="006A2D8E" w14:paraId="5FDD6546" w14:textId="77777777" w:rsidTr="00E01DBB">
              <w:trPr>
                <w:trHeight w:val="2400"/>
              </w:trPr>
              <w:tc>
                <w:tcPr>
                  <w:tcW w:w="9422" w:type="dxa"/>
                  <w:tcBorders>
                    <w:top w:val="nil"/>
                    <w:left w:val="nil"/>
                    <w:bottom w:val="nil"/>
                    <w:right w:val="nil"/>
                  </w:tcBorders>
                  <w:hideMark/>
                </w:tcPr>
                <w:p w14:paraId="3340082F" w14:textId="784376DD" w:rsidR="00780420" w:rsidRPr="00D40256" w:rsidRDefault="00780420" w:rsidP="00780420">
                  <w:pPr>
                    <w:pStyle w:val="Sraopastraipa"/>
                    <w:numPr>
                      <w:ilvl w:val="0"/>
                      <w:numId w:val="2"/>
                    </w:numPr>
                    <w:jc w:val="both"/>
                    <w:rPr>
                      <w:sz w:val="22"/>
                      <w:lang w:val="lt-LT"/>
                    </w:rPr>
                  </w:pPr>
                  <w:r w:rsidRPr="00D40256">
                    <w:rPr>
                      <w:sz w:val="22"/>
                      <w:lang w:val="lt-LT"/>
                    </w:rPr>
                    <w:t>Paslaugą teikianti įmonė privalo pateikti užsakovo prašomą kiekį dozimetrų, skirtų individualiosios dozės ekvivalento tyrimams (preliminariai planuojama užsakyti apie 65 vnt. dozimetrų, nuskaitomų kas mėnesį ir 365 kas tris mėnesius). Paslaugą teikianti įmonė yra atsakinga už dozimetrų pristatymą užsakovui prieš prasidedant kiekvienam individualiosios apšvitos stebėsenos periodui ir privalo užtikrinti, kad prieš paimant dozimetrus nuskaitymui užsakovas būtų aprūpintas reikiamu kiekiu dozimetrų kitam stebėsenos laikotarpiui. Dozimetrų pristatymo užsakovui išlaidos turi būti įskaičiuotos į pasiūlytą individualiosios dozės ekvivalento tyrimo (matavimo) kainą. Užsakovas savo lėšomis organizuoja ir apmoka panaudotų dozimetrų grąžinimą paslaugą teikiančiai įmonei nuskaitymui.</w:t>
                  </w:r>
                </w:p>
                <w:p w14:paraId="3A86C918" w14:textId="77777777" w:rsidR="00780420" w:rsidRPr="00D40256" w:rsidRDefault="00780420" w:rsidP="00780420">
                  <w:pPr>
                    <w:tabs>
                      <w:tab w:val="left" w:pos="3080"/>
                    </w:tabs>
                    <w:jc w:val="both"/>
                    <w:rPr>
                      <w:rFonts w:asciiTheme="minorHAnsi" w:hAnsiTheme="minorHAnsi" w:cstheme="minorBidi"/>
                      <w:sz w:val="22"/>
                      <w:lang w:val="lt-LT"/>
                    </w:rPr>
                  </w:pPr>
                  <w:r w:rsidRPr="00D40256">
                    <w:rPr>
                      <w:sz w:val="22"/>
                      <w:lang w:val="lt-LT"/>
                    </w:rPr>
                    <w:tab/>
                  </w:r>
                </w:p>
              </w:tc>
            </w:tr>
            <w:tr w:rsidR="00780420" w:rsidRPr="006A2D8E" w14:paraId="7F9011D3" w14:textId="77777777" w:rsidTr="00E01DBB">
              <w:trPr>
                <w:trHeight w:val="900"/>
              </w:trPr>
              <w:tc>
                <w:tcPr>
                  <w:tcW w:w="9422" w:type="dxa"/>
                  <w:tcBorders>
                    <w:top w:val="nil"/>
                    <w:left w:val="nil"/>
                    <w:bottom w:val="nil"/>
                    <w:right w:val="nil"/>
                  </w:tcBorders>
                  <w:hideMark/>
                </w:tcPr>
                <w:p w14:paraId="4B831A2D" w14:textId="77777777" w:rsidR="00780420" w:rsidRPr="00D40256" w:rsidRDefault="00780420" w:rsidP="00780420">
                  <w:pPr>
                    <w:pStyle w:val="Sraopastraipa"/>
                    <w:numPr>
                      <w:ilvl w:val="0"/>
                      <w:numId w:val="2"/>
                    </w:numPr>
                    <w:jc w:val="both"/>
                    <w:rPr>
                      <w:sz w:val="22"/>
                      <w:lang w:val="lt-LT"/>
                    </w:rPr>
                  </w:pPr>
                  <w:r w:rsidRPr="00D40256">
                    <w:rPr>
                      <w:sz w:val="22"/>
                      <w:lang w:val="lt-LT"/>
                    </w:rPr>
                    <w:t xml:space="preserve">Paslaugą teikianti įmonė, prireikus, privalo atlikti efektinės dozės vertinimą. Efektinės dozės vertinimas atliekamas be papildomo apmokėjimo – šios paslaugos kaina turi būti įskaičiuota į pasiūlyme nurodytą individualiosios dozės ekvivalento tyrimo/matavimo kainą. </w:t>
                  </w:r>
                </w:p>
              </w:tc>
            </w:tr>
            <w:tr w:rsidR="00780420" w:rsidRPr="006A2D8E" w14:paraId="4F502D69" w14:textId="77777777" w:rsidTr="00E01DBB">
              <w:trPr>
                <w:trHeight w:val="600"/>
              </w:trPr>
              <w:tc>
                <w:tcPr>
                  <w:tcW w:w="9422" w:type="dxa"/>
                  <w:tcBorders>
                    <w:top w:val="nil"/>
                    <w:left w:val="nil"/>
                    <w:bottom w:val="nil"/>
                    <w:right w:val="nil"/>
                  </w:tcBorders>
                  <w:hideMark/>
                </w:tcPr>
                <w:p w14:paraId="5508D7EB" w14:textId="77777777" w:rsidR="00780420" w:rsidRPr="00D40256" w:rsidRDefault="00780420" w:rsidP="00780420">
                  <w:pPr>
                    <w:pStyle w:val="Sraopastraipa"/>
                    <w:numPr>
                      <w:ilvl w:val="0"/>
                      <w:numId w:val="2"/>
                    </w:numPr>
                    <w:jc w:val="both"/>
                    <w:rPr>
                      <w:sz w:val="22"/>
                      <w:lang w:val="lt-LT"/>
                    </w:rPr>
                  </w:pPr>
                  <w:r w:rsidRPr="00D40256">
                    <w:rPr>
                      <w:sz w:val="22"/>
                      <w:lang w:val="lt-LT"/>
                    </w:rPr>
                    <w:t>Paslaugą teikianti įmonė turi turėti galimybę, prireikus, individualiuose dozimetruose sukauptų dozių tyrimus atlikti per parą nuo individualaus dozimetro gražinimo (radiologinės avarijos atveju).</w:t>
                  </w:r>
                </w:p>
              </w:tc>
            </w:tr>
            <w:tr w:rsidR="00780420" w:rsidRPr="006A2D8E" w14:paraId="4F0E8F49" w14:textId="77777777" w:rsidTr="00E01DBB">
              <w:trPr>
                <w:trHeight w:val="1800"/>
              </w:trPr>
              <w:tc>
                <w:tcPr>
                  <w:tcW w:w="9422" w:type="dxa"/>
                  <w:tcBorders>
                    <w:top w:val="nil"/>
                    <w:left w:val="nil"/>
                    <w:bottom w:val="nil"/>
                    <w:right w:val="nil"/>
                  </w:tcBorders>
                  <w:hideMark/>
                </w:tcPr>
                <w:p w14:paraId="43592C8A" w14:textId="55F1E697" w:rsidR="00780420" w:rsidRPr="00D40256" w:rsidRDefault="00780420" w:rsidP="00E01DBB">
                  <w:pPr>
                    <w:pStyle w:val="Sraopastraipa"/>
                    <w:numPr>
                      <w:ilvl w:val="0"/>
                      <w:numId w:val="2"/>
                    </w:numPr>
                    <w:jc w:val="both"/>
                    <w:rPr>
                      <w:sz w:val="22"/>
                      <w:lang w:val="lt-LT"/>
                    </w:rPr>
                  </w:pPr>
                  <w:r w:rsidRPr="00D40256">
                    <w:rPr>
                      <w:sz w:val="22"/>
                      <w:lang w:val="lt-LT"/>
                    </w:rPr>
                    <w:t>Matavimai turi būti pripažinti pagal Lietuvos Respublikos sveikatos apsaugos ministro 2018 m. rugpjūčio 30 d. įsakymu Nr. V-965 „Dėl Asmenų, įskaitant dozimetrijos tarnybas, siekiančių atlikti visuomenės sveikatos saugai užtikrinti reikalingus žmonių apšvitos dozių ir (ar) dozės galios, ir (ar) aktyvumo matavimus ir (ar) apšvitos dozių įvertinimą, ir (ar) radionuklidų, išmetamų į aplinką ir (ar) esančių aplinkos komponentuose (ore, vandenyje, dirvožemyje), tyrimus ir (ar) imti ėminius šiems tyrimams atlikti, pripažinimo tvarkos aprašo patvirtinimo“ patvirtintą tvarką.</w:t>
                  </w:r>
                </w:p>
              </w:tc>
            </w:tr>
            <w:tr w:rsidR="00780420" w:rsidRPr="006A2D8E" w14:paraId="7EF875DD" w14:textId="77777777" w:rsidTr="00E01DBB">
              <w:trPr>
                <w:trHeight w:val="2100"/>
              </w:trPr>
              <w:tc>
                <w:tcPr>
                  <w:tcW w:w="9422" w:type="dxa"/>
                  <w:tcBorders>
                    <w:top w:val="nil"/>
                    <w:left w:val="nil"/>
                    <w:bottom w:val="nil"/>
                    <w:right w:val="nil"/>
                  </w:tcBorders>
                  <w:hideMark/>
                </w:tcPr>
                <w:p w14:paraId="7C9BC599" w14:textId="77777777" w:rsidR="00780420" w:rsidRPr="006A2D8E" w:rsidRDefault="00780420" w:rsidP="00780420">
                  <w:pPr>
                    <w:pStyle w:val="Sraopastraipa"/>
                    <w:numPr>
                      <w:ilvl w:val="0"/>
                      <w:numId w:val="2"/>
                    </w:numPr>
                    <w:jc w:val="both"/>
                    <w:rPr>
                      <w:sz w:val="22"/>
                    </w:rPr>
                  </w:pPr>
                  <w:r w:rsidRPr="00D40256">
                    <w:rPr>
                      <w:sz w:val="22"/>
                      <w:lang w:val="lt-LT"/>
                    </w:rPr>
                    <w:t xml:space="preserve">Atlikus darbus: Išmatavus (nuskaičius) vertes, viršijančias HN 73:2018 6 priede nurodytas vertes, informacija apie dozes nedelsiant pateikiama užsakovui telefonu arba elektroniniu paštu. Pateikiamas visų dozimetrų matavimų protokolas su matavimų rezultatų vertinimo išvadomis. Surašomas atliktų darbų aktas. Pateikti duomenis į registrą vadovaujantis 2009 m. rugpjūčio 24 d. Lietuvos Respublikos sveikatos apsaugos ministro įsakymu Nr. V-675 „Dėl Duomenų teikimo Valstybės jonizuojančiosios spinduliuotės šaltinių ir darbuotojų apšvitos registrui tvarkos aprašo patvirtinimo“ (toliau – Tvarkos aprašas) nustatyta tvarka, teikiant nustatytas pranešimų formas. </w:t>
                  </w:r>
                  <w:r w:rsidRPr="006A2D8E">
                    <w:rPr>
                      <w:sz w:val="22"/>
                    </w:rPr>
                    <w:t>Pateikiama atitinkama sąskaita-faktūra.</w:t>
                  </w:r>
                </w:p>
              </w:tc>
            </w:tr>
          </w:tbl>
          <w:p w14:paraId="0ABCB56B" w14:textId="534F4D79" w:rsidR="00780420" w:rsidRPr="007E61E2" w:rsidRDefault="00780420" w:rsidP="00780420">
            <w:pPr>
              <w:numPr>
                <w:ilvl w:val="0"/>
                <w:numId w:val="1"/>
              </w:numPr>
              <w:ind w:left="462" w:hanging="462"/>
              <w:contextualSpacing/>
              <w:jc w:val="both"/>
              <w:rPr>
                <w:rFonts w:eastAsia="Calibri"/>
                <w:sz w:val="22"/>
                <w:szCs w:val="22"/>
              </w:rPr>
            </w:pPr>
          </w:p>
        </w:tc>
      </w:tr>
    </w:tbl>
    <w:p w14:paraId="30D06265" w14:textId="77777777" w:rsidR="007E61E2" w:rsidRDefault="007E61E2"/>
    <w:sectPr w:rsidR="007E61E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94A8F"/>
    <w:multiLevelType w:val="hybridMultilevel"/>
    <w:tmpl w:val="D9FE88B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5BC72BA2"/>
    <w:multiLevelType w:val="hybridMultilevel"/>
    <w:tmpl w:val="90E407B2"/>
    <w:lvl w:ilvl="0" w:tplc="23C0E20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128358598">
    <w:abstractNumId w:val="1"/>
  </w:num>
  <w:num w:numId="2" w16cid:durableId="4383349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E2"/>
    <w:rsid w:val="0050638E"/>
    <w:rsid w:val="00654B9D"/>
    <w:rsid w:val="00780420"/>
    <w:rsid w:val="007E61E2"/>
    <w:rsid w:val="008427D5"/>
    <w:rsid w:val="009171F2"/>
    <w:rsid w:val="00D40256"/>
    <w:rsid w:val="00DB4E60"/>
    <w:rsid w:val="00E01D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4831"/>
  <w15:chartTrackingRefBased/>
  <w15:docId w15:val="{A69D489E-6A91-42C2-ABDD-A7AA8E01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61E2"/>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7E61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E61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E61E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E61E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E61E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E61E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E61E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E61E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E61E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E61E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E61E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E61E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E61E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E61E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E61E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E61E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E61E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E61E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E61E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E61E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E61E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E61E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E61E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E61E2"/>
    <w:rPr>
      <w:i/>
      <w:iCs/>
      <w:color w:val="404040" w:themeColor="text1" w:themeTint="BF"/>
    </w:rPr>
  </w:style>
  <w:style w:type="paragraph" w:styleId="Sraopastraipa">
    <w:name w:val="List Paragraph"/>
    <w:basedOn w:val="prastasis"/>
    <w:qFormat/>
    <w:rsid w:val="007E61E2"/>
    <w:pPr>
      <w:ind w:left="720"/>
      <w:contextualSpacing/>
    </w:pPr>
  </w:style>
  <w:style w:type="character" w:styleId="Rykuspabraukimas">
    <w:name w:val="Intense Emphasis"/>
    <w:basedOn w:val="Numatytasispastraiposriftas"/>
    <w:uiPriority w:val="21"/>
    <w:qFormat/>
    <w:rsid w:val="007E61E2"/>
    <w:rPr>
      <w:i/>
      <w:iCs/>
      <w:color w:val="2F5496" w:themeColor="accent1" w:themeShade="BF"/>
    </w:rPr>
  </w:style>
  <w:style w:type="paragraph" w:styleId="Iskirtacitata">
    <w:name w:val="Intense Quote"/>
    <w:basedOn w:val="prastasis"/>
    <w:next w:val="prastasis"/>
    <w:link w:val="IskirtacitataDiagrama"/>
    <w:uiPriority w:val="30"/>
    <w:qFormat/>
    <w:rsid w:val="007E61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E61E2"/>
    <w:rPr>
      <w:i/>
      <w:iCs/>
      <w:color w:val="2F5496" w:themeColor="accent1" w:themeShade="BF"/>
    </w:rPr>
  </w:style>
  <w:style w:type="character" w:styleId="Rykinuoroda">
    <w:name w:val="Intense Reference"/>
    <w:basedOn w:val="Numatytasispastraiposriftas"/>
    <w:uiPriority w:val="32"/>
    <w:qFormat/>
    <w:rsid w:val="007E61E2"/>
    <w:rPr>
      <w:b/>
      <w:bCs/>
      <w:smallCaps/>
      <w:color w:val="2F5496" w:themeColor="accent1" w:themeShade="BF"/>
      <w:spacing w:val="5"/>
    </w:rPr>
  </w:style>
  <w:style w:type="table" w:styleId="Lentelstinklelis">
    <w:name w:val="Table Grid"/>
    <w:basedOn w:val="prastojilentel"/>
    <w:uiPriority w:val="59"/>
    <w:rsid w:val="007E61E2"/>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1685</Words>
  <Characters>961</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Gedvilas</dc:creator>
  <cp:keywords/>
  <dc:description/>
  <cp:lastModifiedBy>Iveta Barauskienė</cp:lastModifiedBy>
  <cp:revision>2</cp:revision>
  <dcterms:created xsi:type="dcterms:W3CDTF">2026-07-23T09:22:00Z</dcterms:created>
  <dcterms:modified xsi:type="dcterms:W3CDTF">2026-08-05T05:54:00Z</dcterms:modified>
</cp:coreProperties>
</file>