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E4C3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4A963FD" w:rsidR="00735D34" w:rsidRPr="00BE4C39" w:rsidRDefault="00155CE2" w:rsidP="00F072B9">
            <w:pPr>
              <w:spacing w:after="0" w:line="240" w:lineRule="auto"/>
            </w:pPr>
            <w:r>
              <w:rPr>
                <w:rFonts w:ascii="Calibri Light" w:hAnsi="Calibri Light" w:cs="Calibri Light"/>
                <w:b/>
                <w:color w:val="FFFFFF"/>
              </w:rPr>
              <w:t>VŠĮ TAURAGĖS LIGONINĖ</w:t>
            </w:r>
            <w:r w:rsidR="001E7A02">
              <w:rPr>
                <w:rFonts w:ascii="Calibri Light" w:hAnsi="Calibri Light" w:cs="Calibri Light"/>
                <w:b/>
                <w:color w:val="FFFFFF"/>
              </w:rPr>
              <w:t xml:space="preserve"> </w:t>
            </w:r>
            <w:r w:rsidR="00735D34" w:rsidRPr="00BE4C39">
              <w:rPr>
                <w:rFonts w:ascii="Calibri Light" w:hAnsi="Calibri Light" w:cs="Calibri Light"/>
                <w:b/>
                <w:color w:val="FFFFFF"/>
              </w:rPr>
              <w:t xml:space="preserve"> &gt; PIRKIMO DOKUMENTAI &gt; </w:t>
            </w:r>
            <w:r w:rsidR="00735D34">
              <w:rPr>
                <w:rFonts w:ascii="Calibri Light" w:hAnsi="Calibri Light" w:cs="Calibri Light"/>
                <w:b/>
                <w:color w:val="FFFFFF"/>
              </w:rPr>
              <w:t>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BE4C3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0C2B34A4" w:rsidR="00735D34" w:rsidRPr="00BE4C39"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sz w:val="22"/>
                    </w:rPr>
                    <w:alias w:val="Įrašomas pirkimo pavadinimas ir Nr."/>
                    <w:tag w:val="Įrašomas pirkimo pavadinimas ir Nr."/>
                    <w:id w:val="-1311480434"/>
                    <w:placeholder>
                      <w:docPart w:val="15C7A8614ABC443BABB1C9FF0C4382F7"/>
                    </w:placeholder>
                    <w:text/>
                  </w:sdtPr>
                  <w:sdtContent>
                    <w:r w:rsidR="00905A82">
                      <w:rPr>
                        <w:rFonts w:ascii="Calibri Light" w:hAnsi="Calibri Light" w:cs="Calibri Light"/>
                        <w:b/>
                        <w:sz w:val="22"/>
                      </w:rPr>
                      <w:t>Mokėjimo terminal</w:t>
                    </w:r>
                    <w:r w:rsidR="00155CE2">
                      <w:rPr>
                        <w:rFonts w:ascii="Calibri Light" w:hAnsi="Calibri Light" w:cs="Calibri Light"/>
                        <w:b/>
                        <w:sz w:val="22"/>
                      </w:rPr>
                      <w:t>ų</w:t>
                    </w:r>
                    <w:r w:rsidR="00905A82">
                      <w:rPr>
                        <w:rFonts w:ascii="Calibri Light" w:hAnsi="Calibri Light" w:cs="Calibri Light"/>
                        <w:b/>
                        <w:sz w:val="22"/>
                      </w:rPr>
                      <w:t xml:space="preserve"> nuomos</w:t>
                    </w:r>
                    <w:r w:rsidR="0004499B">
                      <w:rPr>
                        <w:rFonts w:ascii="Calibri Light" w:hAnsi="Calibri Light" w:cs="Calibri Light"/>
                        <w:b/>
                        <w:sz w:val="22"/>
                      </w:rPr>
                      <w:t xml:space="preserve"> ir įmokų surinkimo paslaugos pirkimas</w:t>
                    </w:r>
                  </w:sdtContent>
                </w:sdt>
              </w:sdtContent>
            </w:sdt>
          </w:p>
        </w:tc>
      </w:tr>
    </w:tbl>
    <w:p w14:paraId="6A0A392A" w14:textId="77777777" w:rsidR="0004499B" w:rsidRDefault="0004499B"/>
    <w:p w14:paraId="370FFC3D" w14:textId="77777777" w:rsidR="0004499B" w:rsidRPr="0004499B" w:rsidRDefault="0004499B" w:rsidP="0004499B">
      <w:pPr>
        <w:jc w:val="center"/>
        <w:rPr>
          <w:b/>
        </w:rPr>
      </w:pPr>
      <w:r w:rsidRPr="0004499B">
        <w:rPr>
          <w:b/>
        </w:rPr>
        <w:t>TECHNINĖ SPECIFIKACIJA</w:t>
      </w:r>
    </w:p>
    <w:p w14:paraId="7B4C9469" w14:textId="77777777" w:rsidR="0004499B" w:rsidRPr="0004499B" w:rsidRDefault="0004499B" w:rsidP="0004499B">
      <w:pPr>
        <w:tabs>
          <w:tab w:val="right" w:leader="underscore" w:pos="8505"/>
        </w:tabs>
        <w:spacing w:line="240" w:lineRule="auto"/>
        <w:jc w:val="center"/>
        <w:rPr>
          <w:szCs w:val="24"/>
        </w:rPr>
      </w:pPr>
      <w:r w:rsidRPr="0004499B">
        <w:rPr>
          <w:b/>
          <w:caps/>
          <w:szCs w:val="24"/>
        </w:rPr>
        <w:t xml:space="preserve">i. </w:t>
      </w:r>
      <w:r w:rsidRPr="0004499B">
        <w:rPr>
          <w:b/>
          <w:szCs w:val="24"/>
        </w:rPr>
        <w:t>Pirkimo objektas</w:t>
      </w:r>
    </w:p>
    <w:p w14:paraId="43E681B2" w14:textId="32260AA4" w:rsidR="0004499B" w:rsidRPr="00155CE2" w:rsidRDefault="00155CE2" w:rsidP="0004499B">
      <w:pPr>
        <w:numPr>
          <w:ilvl w:val="0"/>
          <w:numId w:val="2"/>
        </w:numPr>
        <w:tabs>
          <w:tab w:val="left" w:pos="1134"/>
        </w:tabs>
        <w:autoSpaceDN/>
        <w:spacing w:after="0" w:line="240" w:lineRule="auto"/>
        <w:ind w:left="0" w:firstLine="709"/>
        <w:jc w:val="both"/>
        <w:textAlignment w:val="auto"/>
        <w:rPr>
          <w:rFonts w:eastAsia="Times New Roman"/>
          <w:szCs w:val="24"/>
        </w:rPr>
      </w:pPr>
      <w:r w:rsidRPr="00155CE2">
        <w:rPr>
          <w:rFonts w:eastAsia="Times New Roman"/>
          <w:szCs w:val="24"/>
        </w:rPr>
        <w:t>Viešoji įstaiga Tauragės ligoninė</w:t>
      </w:r>
      <w:r w:rsidR="0004499B" w:rsidRPr="00155CE2">
        <w:rPr>
          <w:rFonts w:eastAsia="Times New Roman"/>
          <w:szCs w:val="24"/>
        </w:rPr>
        <w:t xml:space="preserve"> (toliau –Klientas) perka</w:t>
      </w:r>
      <w:r w:rsidRPr="00155CE2">
        <w:rPr>
          <w:rFonts w:eastAsia="Times New Roman"/>
          <w:bCs/>
          <w:iCs/>
          <w:szCs w:val="24"/>
        </w:rPr>
        <w:t xml:space="preserve"> 1 (vieno) mokėjimo terminalo nuomą su</w:t>
      </w:r>
      <w:r w:rsidR="0004499B" w:rsidRPr="00155CE2">
        <w:rPr>
          <w:rFonts w:eastAsia="Times New Roman"/>
          <w:szCs w:val="24"/>
        </w:rPr>
        <w:t xml:space="preserve"> įmokų surinkimo paslaug</w:t>
      </w:r>
      <w:r w:rsidRPr="00155CE2">
        <w:rPr>
          <w:rFonts w:eastAsia="Times New Roman"/>
          <w:szCs w:val="24"/>
        </w:rPr>
        <w:t>a</w:t>
      </w:r>
      <w:r w:rsidR="0004499B" w:rsidRPr="00155CE2">
        <w:rPr>
          <w:rFonts w:eastAsia="Times New Roman"/>
          <w:szCs w:val="24"/>
        </w:rPr>
        <w:t xml:space="preserve"> </w:t>
      </w:r>
      <w:r w:rsidR="0004499B" w:rsidRPr="00155CE2">
        <w:rPr>
          <w:rFonts w:eastAsia="Times New Roman"/>
          <w:bCs/>
          <w:iCs/>
          <w:szCs w:val="24"/>
        </w:rPr>
        <w:t xml:space="preserve"> </w:t>
      </w:r>
      <w:r w:rsidR="0004499B" w:rsidRPr="00155CE2">
        <w:rPr>
          <w:rFonts w:eastAsia="Times New Roman"/>
          <w:bCs/>
          <w:iCs/>
          <w:noProof/>
          <w:szCs w:val="24"/>
        </w:rPr>
        <w:t>(</w:t>
      </w:r>
      <w:r w:rsidRPr="00155CE2">
        <w:rPr>
          <w:rFonts w:eastAsia="Times New Roman"/>
          <w:bCs/>
          <w:iCs/>
          <w:noProof/>
          <w:szCs w:val="24"/>
        </w:rPr>
        <w:t>kartu vadinama</w:t>
      </w:r>
      <w:r w:rsidR="0004499B" w:rsidRPr="00155CE2">
        <w:rPr>
          <w:rFonts w:eastAsia="Times New Roman"/>
          <w:bCs/>
          <w:iCs/>
          <w:noProof/>
          <w:szCs w:val="24"/>
        </w:rPr>
        <w:t xml:space="preserve"> – </w:t>
      </w:r>
      <w:r w:rsidRPr="00155CE2">
        <w:rPr>
          <w:rFonts w:eastAsia="Times New Roman"/>
          <w:bCs/>
          <w:iCs/>
          <w:noProof/>
          <w:szCs w:val="24"/>
        </w:rPr>
        <w:t>prekė</w:t>
      </w:r>
      <w:r w:rsidR="0004499B" w:rsidRPr="00155CE2">
        <w:rPr>
          <w:rFonts w:eastAsia="Times New Roman"/>
          <w:bCs/>
          <w:iCs/>
          <w:noProof/>
          <w:szCs w:val="24"/>
        </w:rPr>
        <w:t>)</w:t>
      </w:r>
      <w:r w:rsidRPr="00155CE2">
        <w:rPr>
          <w:rFonts w:eastAsia="Times New Roman"/>
          <w:bCs/>
          <w:iCs/>
          <w:noProof/>
          <w:szCs w:val="24"/>
        </w:rPr>
        <w:t xml:space="preserve"> </w:t>
      </w:r>
      <w:r w:rsidR="0004499B" w:rsidRPr="00155CE2">
        <w:rPr>
          <w:rFonts w:eastAsia="Times New Roman"/>
          <w:bCs/>
          <w:iCs/>
          <w:noProof/>
          <w:szCs w:val="24"/>
        </w:rPr>
        <w:t xml:space="preserve"> </w:t>
      </w:r>
      <w:r w:rsidRPr="00155CE2">
        <w:rPr>
          <w:rFonts w:eastAsia="Times New Roman"/>
          <w:bCs/>
          <w:iCs/>
          <w:noProof/>
          <w:szCs w:val="24"/>
        </w:rPr>
        <w:t>adresu Jūros g. 5, Tauragė ir 1 (vieno) mokėjimo terminalo nuomą be įmokų surinkimo paslaugos adresu V. Kudirkos g.</w:t>
      </w:r>
      <w:r w:rsidR="00732CD4">
        <w:rPr>
          <w:rFonts w:eastAsia="Times New Roman"/>
          <w:bCs/>
          <w:iCs/>
          <w:noProof/>
          <w:szCs w:val="24"/>
        </w:rPr>
        <w:t xml:space="preserve"> 2</w:t>
      </w:r>
      <w:r w:rsidRPr="00155CE2">
        <w:rPr>
          <w:rFonts w:eastAsia="Times New Roman"/>
          <w:bCs/>
          <w:iCs/>
          <w:noProof/>
          <w:szCs w:val="24"/>
        </w:rPr>
        <w:t>, Tauragė</w:t>
      </w:r>
      <w:r w:rsidR="00CE2F0E" w:rsidRPr="00155CE2">
        <w:rPr>
          <w:rFonts w:eastAsia="Times New Roman"/>
          <w:bCs/>
          <w:iCs/>
          <w:noProof/>
          <w:szCs w:val="24"/>
        </w:rPr>
        <w:t xml:space="preserve">. </w:t>
      </w:r>
      <w:r w:rsidRPr="00155CE2">
        <w:rPr>
          <w:rFonts w:eastAsia="Times New Roman"/>
          <w:bCs/>
          <w:iCs/>
          <w:noProof/>
          <w:szCs w:val="24"/>
        </w:rPr>
        <w:t xml:space="preserve">Nuomos ir įmokų surinkimo terminas </w:t>
      </w:r>
      <w:r w:rsidR="0004499B" w:rsidRPr="00155CE2">
        <w:rPr>
          <w:rFonts w:eastAsia="Times New Roman"/>
          <w:bCs/>
          <w:iCs/>
          <w:noProof/>
          <w:szCs w:val="24"/>
        </w:rPr>
        <w:t xml:space="preserve">- 36 mėnesiai. </w:t>
      </w:r>
      <w:r w:rsidR="00693675" w:rsidRPr="00155CE2">
        <w:rPr>
          <w:color w:val="000000"/>
        </w:rPr>
        <w:t>Mokėjimo terminal</w:t>
      </w:r>
      <w:r w:rsidRPr="00155CE2">
        <w:rPr>
          <w:color w:val="000000"/>
        </w:rPr>
        <w:t xml:space="preserve">us </w:t>
      </w:r>
      <w:r w:rsidR="00693675" w:rsidRPr="00155CE2">
        <w:rPr>
          <w:color w:val="000000"/>
        </w:rPr>
        <w:t>ti</w:t>
      </w:r>
      <w:r w:rsidRPr="00155CE2">
        <w:rPr>
          <w:color w:val="000000"/>
        </w:rPr>
        <w:t>e</w:t>
      </w:r>
      <w:r w:rsidR="00693675" w:rsidRPr="00155CE2">
        <w:rPr>
          <w:color w:val="000000"/>
        </w:rPr>
        <w:t xml:space="preserve">kėjas turi pristatyti į patalpas </w:t>
      </w:r>
      <w:r>
        <w:rPr>
          <w:color w:val="000000"/>
        </w:rPr>
        <w:t>nurodytais adresais</w:t>
      </w:r>
      <w:r w:rsidR="00693675" w:rsidRPr="00155CE2">
        <w:rPr>
          <w:color w:val="000000"/>
        </w:rPr>
        <w:t xml:space="preserve">, įdiegti, sukonfigūruoti </w:t>
      </w:r>
      <w:r>
        <w:rPr>
          <w:color w:val="000000"/>
        </w:rPr>
        <w:t xml:space="preserve">su įdiegta informacine sistema ESIS </w:t>
      </w:r>
      <w:r w:rsidR="00693675" w:rsidRPr="00155CE2">
        <w:rPr>
          <w:color w:val="000000"/>
        </w:rPr>
        <w:t xml:space="preserve">ir perduoti darbui, ne vėliau kaip </w:t>
      </w:r>
      <w:r w:rsidR="00693675">
        <w:t xml:space="preserve">per 30 darbo </w:t>
      </w:r>
      <w:r w:rsidR="00693675" w:rsidRPr="00155CE2">
        <w:rPr>
          <w:color w:val="000000"/>
        </w:rPr>
        <w:t>dienų nuo sutarties pasirašymo dienos.</w:t>
      </w:r>
    </w:p>
    <w:p w14:paraId="7D0A65BF" w14:textId="2274F2EA" w:rsidR="0004499B" w:rsidRPr="0004499B" w:rsidRDefault="00155CE2" w:rsidP="0004499B">
      <w:pPr>
        <w:numPr>
          <w:ilvl w:val="0"/>
          <w:numId w:val="2"/>
        </w:numPr>
        <w:tabs>
          <w:tab w:val="left" w:pos="1134"/>
        </w:tabs>
        <w:autoSpaceDN/>
        <w:spacing w:after="0" w:line="240" w:lineRule="auto"/>
        <w:ind w:left="0" w:firstLine="709"/>
        <w:jc w:val="both"/>
        <w:textAlignment w:val="auto"/>
        <w:rPr>
          <w:rFonts w:eastAsia="Times New Roman"/>
          <w:szCs w:val="24"/>
        </w:rPr>
      </w:pPr>
      <w:r>
        <w:rPr>
          <w:rFonts w:eastAsia="Times New Roman"/>
          <w:bCs/>
          <w:iCs/>
          <w:noProof/>
          <w:szCs w:val="24"/>
        </w:rPr>
        <w:t>T</w:t>
      </w:r>
      <w:r w:rsidR="0004499B" w:rsidRPr="0004499B">
        <w:rPr>
          <w:rFonts w:eastAsia="Times New Roman"/>
          <w:bCs/>
          <w:iCs/>
          <w:noProof/>
          <w:szCs w:val="24"/>
        </w:rPr>
        <w:t>i</w:t>
      </w:r>
      <w:r>
        <w:rPr>
          <w:rFonts w:eastAsia="Times New Roman"/>
          <w:bCs/>
          <w:iCs/>
          <w:noProof/>
          <w:szCs w:val="24"/>
        </w:rPr>
        <w:t>e</w:t>
      </w:r>
      <w:r w:rsidR="0004499B" w:rsidRPr="0004499B">
        <w:rPr>
          <w:rFonts w:eastAsia="Times New Roman"/>
          <w:bCs/>
          <w:iCs/>
          <w:noProof/>
          <w:szCs w:val="24"/>
        </w:rPr>
        <w:t xml:space="preserve">kėjas turi užtikrinti galimybę Kliento pacientams ir klientams (toliau – pacientai) savarankiškai, naudojantis mokėjimo terminalu, sumokėti už Kliento suteiktas mokamas paslaugas.  </w:t>
      </w:r>
    </w:p>
    <w:p w14:paraId="5CF252E1" w14:textId="32EE4A0B" w:rsidR="0004499B" w:rsidRPr="00155CE2" w:rsidRDefault="0004499B" w:rsidP="0004499B">
      <w:pPr>
        <w:tabs>
          <w:tab w:val="left" w:pos="1134"/>
        </w:tabs>
        <w:suppressAutoHyphens w:val="0"/>
        <w:autoSpaceDN/>
        <w:spacing w:after="0" w:line="240" w:lineRule="auto"/>
        <w:jc w:val="center"/>
        <w:textAlignment w:val="auto"/>
        <w:rPr>
          <w:rFonts w:eastAsia="Times New Roman"/>
          <w:bCs/>
          <w:iCs/>
          <w:noProof/>
          <w:szCs w:val="24"/>
        </w:rPr>
      </w:pPr>
      <w:r w:rsidRPr="00155CE2">
        <w:rPr>
          <w:rFonts w:eastAsia="Times New Roman"/>
          <w:b/>
          <w:bCs/>
          <w:iCs/>
          <w:noProof/>
          <w:szCs w:val="24"/>
        </w:rPr>
        <w:t xml:space="preserve">II. Reikalavimai </w:t>
      </w:r>
      <w:r w:rsidR="00155CE2" w:rsidRPr="00155CE2">
        <w:rPr>
          <w:rFonts w:eastAsia="Times New Roman"/>
          <w:b/>
          <w:bCs/>
          <w:iCs/>
          <w:noProof/>
          <w:szCs w:val="24"/>
        </w:rPr>
        <w:t xml:space="preserve">įmokų surinkimo </w:t>
      </w:r>
      <w:r w:rsidRPr="00155CE2">
        <w:rPr>
          <w:rFonts w:eastAsia="Times New Roman"/>
          <w:b/>
          <w:bCs/>
          <w:iCs/>
          <w:noProof/>
          <w:szCs w:val="24"/>
        </w:rPr>
        <w:t>paslaugai</w:t>
      </w:r>
    </w:p>
    <w:p w14:paraId="57625B34" w14:textId="77777777" w:rsidR="0004499B" w:rsidRPr="0004499B" w:rsidRDefault="0004499B" w:rsidP="0004499B">
      <w:pPr>
        <w:tabs>
          <w:tab w:val="left" w:pos="1134"/>
        </w:tabs>
        <w:suppressAutoHyphens w:val="0"/>
        <w:autoSpaceDN/>
        <w:spacing w:after="0" w:line="240" w:lineRule="auto"/>
        <w:textAlignment w:val="auto"/>
        <w:rPr>
          <w:rFonts w:eastAsia="Times New Roman"/>
          <w:bCs/>
          <w:iCs/>
          <w:noProof/>
          <w:szCs w:val="24"/>
        </w:rPr>
      </w:pPr>
    </w:p>
    <w:p w14:paraId="7351AF15" w14:textId="1E437CCF" w:rsidR="0004499B" w:rsidRPr="0004499B" w:rsidRDefault="0004499B" w:rsidP="0004499B">
      <w:pPr>
        <w:numPr>
          <w:ilvl w:val="0"/>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Paslaugos teikėjas turi užtikrinti nepertraukiamą paslaugos teikimą, išskyrus atvejus, kai paslaugos teikimas negalimas dėl objektyvių priežasčių (elektros energijos tiekimo sutrikimai, terminalo gedimas ar pan.) arba dėl mokėjimo terminalo sistemos aptarnavimo, atnaujinimo darbų, apie kuriuos Klientui turi būti pranešta ne vėliau kaip prieš dvi darbo dienas iki planuojamo paslaugos</w:t>
      </w:r>
      <w:r w:rsidR="00155CE2">
        <w:rPr>
          <w:rFonts w:eastAsia="Times New Roman"/>
          <w:szCs w:val="24"/>
          <w:lang w:eastAsia="lt-LT"/>
        </w:rPr>
        <w:t xml:space="preserve"> teikimo</w:t>
      </w:r>
      <w:r w:rsidRPr="0004499B">
        <w:rPr>
          <w:rFonts w:eastAsia="Times New Roman"/>
          <w:szCs w:val="24"/>
          <w:lang w:eastAsia="lt-LT"/>
        </w:rPr>
        <w:t xml:space="preserve"> laikino sustabdymo. Tokiame pranešime turi būti nurodoma paslaugos sustabdymo data, laikas ir trukmė, kuri negali būti ilgesnė kaip viena darbo diena.</w:t>
      </w:r>
    </w:p>
    <w:p w14:paraId="1FB6A6A0" w14:textId="77777777" w:rsidR="0004499B" w:rsidRPr="0004499B" w:rsidRDefault="0004499B" w:rsidP="0004499B">
      <w:pPr>
        <w:numPr>
          <w:ilvl w:val="0"/>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rPr>
        <w:t>Paslaugos teikėjas savo jėgomis ir sąskaita organizuoja ir atlieka:</w:t>
      </w:r>
    </w:p>
    <w:p w14:paraId="3D23147A"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rPr>
        <w:t>mokėjimo terminale surinktų grynųjų pinigų nemokamą inkasavimą ir pervedimą į Perkančiosios organizacijos sąskaitą banke;</w:t>
      </w:r>
    </w:p>
    <w:p w14:paraId="05D569AF"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nuolatinį pakankamą banknotų ir monetų kiekio papildymą mokėjimo terminalo išduodamai grąžai;</w:t>
      </w:r>
    </w:p>
    <w:p w14:paraId="67441E7C"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neatlygintiną mokėjimo terminalo priežiūrą ir remontą visą sutarties galiojimo laikotarpį. Priežiūra ir remontas suprantami kaip bet koks mokėjimo terminalo aptarnavimas, techninės priežiūros atlikimas, remontas ir pan.;</w:t>
      </w:r>
    </w:p>
    <w:p w14:paraId="3B5278ED"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visų mokėjimo terminale atliktų mokėjimo operacijų duomenų ataskaitų teikimą Perkančiajai organizacijai šalių suderinta tvarka ir terminais.</w:t>
      </w:r>
    </w:p>
    <w:p w14:paraId="65F5FBEE" w14:textId="77777777" w:rsidR="0004499B" w:rsidRPr="0004499B" w:rsidRDefault="0004499B" w:rsidP="0004499B">
      <w:pPr>
        <w:numPr>
          <w:ilvl w:val="0"/>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bCs/>
          <w:iCs/>
          <w:noProof/>
          <w:szCs w:val="24"/>
        </w:rPr>
        <w:t>Paslaugos teikėjas turi:</w:t>
      </w:r>
    </w:p>
    <w:p w14:paraId="28CEBF84"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užtikrinti mokėjimo terminale vykdomų operacijų ir Klientui perduodamų duomenų tikslumą, saugumą ir slaptumą;</w:t>
      </w:r>
    </w:p>
    <w:p w14:paraId="1E95ED91"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rPr>
        <w:t>užtikrinti, kad elektroninių kortelių skaitytuvo pagalba pacientų banko kortelėmis sumokėtos įmokos būtų pervedamos į Kliento atsiskaitomąją sąskaitą banke. Paslaugos teikėjas tarpininkauja tarp Perkančiosios organizacijos ir banko dėl šiame papunktyje nurodytų operacijų atlikimo;</w:t>
      </w:r>
    </w:p>
    <w:p w14:paraId="78C79981"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užtikrinti, kad mokėjimo terminale įvykdžius bet kokią mokėjimo operaciją, pacientui būtų išduodamas kvitas (kasos čekis);</w:t>
      </w:r>
    </w:p>
    <w:p w14:paraId="1C58F528"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teisės aktais nustatyta tvarka apsaugoti Kliento skirtas, iš pacientų gautas lėšas iki jų pervedimo į Kliento atsiskaitomąją banko sąskaitą;</w:t>
      </w:r>
    </w:p>
    <w:p w14:paraId="1BC1CCC9" w14:textId="77777777"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lang w:eastAsia="lt-LT"/>
        </w:rPr>
        <w:t>taikyti tinkamas organizacines ir technines priemones, skirtas pacientų asmens duomenų ir informacijos apie pacientų mokėjimo operacijas apsaugai, nuo sunaikinimo, sugadinimo ir neteisėto atskleidimo;</w:t>
      </w:r>
    </w:p>
    <w:p w14:paraId="74D9F8E8" w14:textId="1E5AC12A" w:rsidR="0004499B" w:rsidRPr="0004499B" w:rsidRDefault="0004499B" w:rsidP="0004499B">
      <w:pPr>
        <w:numPr>
          <w:ilvl w:val="1"/>
          <w:numId w:val="2"/>
        </w:numPr>
        <w:tabs>
          <w:tab w:val="left" w:pos="1134"/>
        </w:tabs>
        <w:autoSpaceDN/>
        <w:spacing w:after="0" w:line="240" w:lineRule="auto"/>
        <w:ind w:left="0" w:firstLine="709"/>
        <w:jc w:val="both"/>
        <w:textAlignment w:val="auto"/>
        <w:rPr>
          <w:rFonts w:eastAsia="Times New Roman"/>
          <w:szCs w:val="24"/>
        </w:rPr>
      </w:pPr>
      <w:r w:rsidRPr="0004499B">
        <w:rPr>
          <w:rFonts w:eastAsia="Times New Roman"/>
          <w:szCs w:val="24"/>
        </w:rPr>
        <w:lastRenderedPageBreak/>
        <w:t>atlyginti Klientui nuostolius, atsiradusius dėl netinkamo mokėjimo terminalo įrangos veikimo ar paslaugos teikėjo kaltės.</w:t>
      </w:r>
    </w:p>
    <w:p w14:paraId="692EDDD5" w14:textId="77777777" w:rsidR="0004499B" w:rsidRPr="0004499B" w:rsidRDefault="0004499B" w:rsidP="0004499B">
      <w:pPr>
        <w:suppressAutoHyphens w:val="0"/>
        <w:autoSpaceDN/>
        <w:spacing w:after="0"/>
        <w:textAlignment w:val="auto"/>
        <w:rPr>
          <w:rFonts w:eastAsia="Times New Roman"/>
          <w:szCs w:val="24"/>
        </w:rPr>
      </w:pPr>
    </w:p>
    <w:p w14:paraId="46011077" w14:textId="77777777" w:rsidR="0004499B" w:rsidRDefault="0004499B" w:rsidP="0004499B">
      <w:pPr>
        <w:ind w:left="360" w:right="566"/>
        <w:jc w:val="center"/>
        <w:rPr>
          <w:b/>
          <w:bCs/>
          <w:szCs w:val="24"/>
        </w:rPr>
      </w:pPr>
      <w:bookmarkStart w:id="0" w:name="_Toc285113630"/>
      <w:bookmarkStart w:id="1" w:name="_Toc285113929"/>
      <w:bookmarkStart w:id="2" w:name="_Toc285114225"/>
      <w:bookmarkStart w:id="3" w:name="_Toc285114520"/>
      <w:bookmarkStart w:id="4" w:name="_Toc285114814"/>
      <w:bookmarkStart w:id="5" w:name="_Toc285115109"/>
      <w:bookmarkStart w:id="6" w:name="_Toc285115402"/>
      <w:bookmarkStart w:id="7" w:name="_Toc285115515"/>
      <w:bookmarkStart w:id="8" w:name="_Toc285115630"/>
      <w:bookmarkStart w:id="9" w:name="_Toc285115745"/>
      <w:bookmarkStart w:id="10" w:name="_Toc285190991"/>
      <w:bookmarkStart w:id="11" w:name="_Toc285113642"/>
      <w:bookmarkStart w:id="12" w:name="_Toc285113941"/>
      <w:bookmarkStart w:id="13" w:name="_Toc285114237"/>
      <w:bookmarkStart w:id="14" w:name="_Toc285114532"/>
      <w:bookmarkStart w:id="15" w:name="_Toc285114826"/>
      <w:bookmarkStart w:id="16" w:name="_Toc285115121"/>
      <w:bookmarkStart w:id="17" w:name="_Toc285115414"/>
      <w:bookmarkStart w:id="18" w:name="_Toc285115527"/>
      <w:bookmarkStart w:id="19" w:name="_Toc285115642"/>
      <w:bookmarkStart w:id="20" w:name="_Toc285115757"/>
      <w:bookmarkStart w:id="21" w:name="_Toc285191003"/>
      <w:bookmarkStart w:id="22" w:name="_Toc285113643"/>
      <w:bookmarkStart w:id="23" w:name="_Toc285113942"/>
      <w:bookmarkStart w:id="24" w:name="_Toc285114238"/>
      <w:bookmarkStart w:id="25" w:name="_Toc285114533"/>
      <w:bookmarkStart w:id="26" w:name="_Toc285114827"/>
      <w:bookmarkStart w:id="27" w:name="_Toc285115122"/>
      <w:bookmarkStart w:id="28" w:name="_Toc285115415"/>
      <w:bookmarkStart w:id="29" w:name="_Toc285115528"/>
      <w:bookmarkStart w:id="30" w:name="_Toc285115643"/>
      <w:bookmarkStart w:id="31" w:name="_Toc285115758"/>
      <w:bookmarkStart w:id="32" w:name="_Toc285191004"/>
      <w:bookmarkStart w:id="33" w:name="_Toc285113651"/>
      <w:bookmarkStart w:id="34" w:name="_Toc285113950"/>
      <w:bookmarkStart w:id="35" w:name="_Toc285114246"/>
      <w:bookmarkStart w:id="36" w:name="_Toc285114541"/>
      <w:bookmarkStart w:id="37" w:name="_Toc285114835"/>
      <w:bookmarkStart w:id="38" w:name="_Toc285115130"/>
      <w:bookmarkStart w:id="39" w:name="_Toc285115423"/>
      <w:bookmarkStart w:id="40" w:name="_Toc285115536"/>
      <w:bookmarkStart w:id="41" w:name="_Toc285115651"/>
      <w:bookmarkStart w:id="42" w:name="_Toc285115766"/>
      <w:bookmarkStart w:id="43" w:name="_Toc285191012"/>
      <w:bookmarkStart w:id="44" w:name="_Toc285113652"/>
      <w:bookmarkStart w:id="45" w:name="_Toc285113951"/>
      <w:bookmarkStart w:id="46" w:name="_Toc285114247"/>
      <w:bookmarkStart w:id="47" w:name="_Toc285114542"/>
      <w:bookmarkStart w:id="48" w:name="_Toc285114836"/>
      <w:bookmarkStart w:id="49" w:name="_Toc285115131"/>
      <w:bookmarkStart w:id="50" w:name="_Toc285115424"/>
      <w:bookmarkStart w:id="51" w:name="_Toc285115537"/>
      <w:bookmarkStart w:id="52" w:name="_Toc285115652"/>
      <w:bookmarkStart w:id="53" w:name="_Toc285115767"/>
      <w:bookmarkStart w:id="54" w:name="_Toc285191013"/>
      <w:bookmarkStart w:id="55" w:name="_Toc285113662"/>
      <w:bookmarkStart w:id="56" w:name="_Toc285113961"/>
      <w:bookmarkStart w:id="57" w:name="_Toc285114257"/>
      <w:bookmarkStart w:id="58" w:name="_Toc285114552"/>
      <w:bookmarkStart w:id="59" w:name="_Toc285114846"/>
      <w:bookmarkStart w:id="60" w:name="_Toc285115141"/>
      <w:bookmarkStart w:id="61" w:name="_Toc285115434"/>
      <w:bookmarkStart w:id="62" w:name="_Toc285115547"/>
      <w:bookmarkStart w:id="63" w:name="_Toc285115662"/>
      <w:bookmarkStart w:id="64" w:name="_Toc285115777"/>
      <w:bookmarkStart w:id="65" w:name="_Toc285191023"/>
      <w:bookmarkStart w:id="66" w:name="_Toc285113663"/>
      <w:bookmarkStart w:id="67" w:name="_Toc285113962"/>
      <w:bookmarkStart w:id="68" w:name="_Toc285114258"/>
      <w:bookmarkStart w:id="69" w:name="_Toc285114553"/>
      <w:bookmarkStart w:id="70" w:name="_Toc285114847"/>
      <w:bookmarkStart w:id="71" w:name="_Toc285115142"/>
      <w:bookmarkStart w:id="72" w:name="_Toc285115435"/>
      <w:bookmarkStart w:id="73" w:name="_Toc285115548"/>
      <w:bookmarkStart w:id="74" w:name="_Toc285115663"/>
      <w:bookmarkStart w:id="75" w:name="_Toc285115778"/>
      <w:bookmarkStart w:id="76" w:name="_Toc285191024"/>
      <w:bookmarkStart w:id="77" w:name="_Toc285113666"/>
      <w:bookmarkStart w:id="78" w:name="_Toc285113965"/>
      <w:bookmarkStart w:id="79" w:name="_Toc285114261"/>
      <w:bookmarkStart w:id="80" w:name="_Toc285114556"/>
      <w:bookmarkStart w:id="81" w:name="_Toc285114850"/>
      <w:bookmarkStart w:id="82" w:name="_Toc285115145"/>
      <w:bookmarkStart w:id="83" w:name="_Toc285115438"/>
      <w:bookmarkStart w:id="84" w:name="_Toc285115551"/>
      <w:bookmarkStart w:id="85" w:name="_Toc285115666"/>
      <w:bookmarkStart w:id="86" w:name="_Toc285115781"/>
      <w:bookmarkStart w:id="87" w:name="_Toc285191027"/>
      <w:bookmarkStart w:id="88" w:name="_Toc285113670"/>
      <w:bookmarkStart w:id="89" w:name="_Toc285113969"/>
      <w:bookmarkStart w:id="90" w:name="_Toc285114265"/>
      <w:bookmarkStart w:id="91" w:name="_Toc285114560"/>
      <w:bookmarkStart w:id="92" w:name="_Toc285114854"/>
      <w:bookmarkStart w:id="93" w:name="_Toc285115149"/>
      <w:bookmarkStart w:id="94" w:name="_Toc285115442"/>
      <w:bookmarkStart w:id="95" w:name="_Toc285115555"/>
      <w:bookmarkStart w:id="96" w:name="_Toc285115670"/>
      <w:bookmarkStart w:id="97" w:name="_Toc285115785"/>
      <w:bookmarkStart w:id="98" w:name="_Toc285191031"/>
      <w:bookmarkStart w:id="99" w:name="_Toc285113678"/>
      <w:bookmarkStart w:id="100" w:name="_Toc285113977"/>
      <w:bookmarkStart w:id="101" w:name="_Toc285114273"/>
      <w:bookmarkStart w:id="102" w:name="_Toc285114568"/>
      <w:bookmarkStart w:id="103" w:name="_Toc285114862"/>
      <w:bookmarkStart w:id="104" w:name="_Toc285115157"/>
      <w:bookmarkStart w:id="105" w:name="_Toc285115450"/>
      <w:bookmarkStart w:id="106" w:name="_Toc285115563"/>
      <w:bookmarkStart w:id="107" w:name="_Toc285115678"/>
      <w:bookmarkStart w:id="108" w:name="_Toc285115793"/>
      <w:bookmarkStart w:id="109" w:name="_Toc285191039"/>
      <w:bookmarkStart w:id="110" w:name="_Toc285113679"/>
      <w:bookmarkStart w:id="111" w:name="_Toc285113978"/>
      <w:bookmarkStart w:id="112" w:name="_Toc285114274"/>
      <w:bookmarkStart w:id="113" w:name="_Toc285114569"/>
      <w:bookmarkStart w:id="114" w:name="_Toc285114863"/>
      <w:bookmarkStart w:id="115" w:name="_Toc285115158"/>
      <w:bookmarkStart w:id="116" w:name="_Toc285115451"/>
      <w:bookmarkStart w:id="117" w:name="_Toc285115564"/>
      <w:bookmarkStart w:id="118" w:name="_Toc285115679"/>
      <w:bookmarkStart w:id="119" w:name="_Toc285115794"/>
      <w:bookmarkStart w:id="120" w:name="_Toc28519104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4499B">
        <w:rPr>
          <w:b/>
          <w:bCs/>
          <w:szCs w:val="24"/>
        </w:rPr>
        <w:t>III. Reikalavimai terminalo įrangai</w:t>
      </w:r>
    </w:p>
    <w:p w14:paraId="79063008" w14:textId="02B87AD0" w:rsidR="006A030E" w:rsidRPr="0004499B" w:rsidRDefault="006A030E" w:rsidP="0004499B">
      <w:pPr>
        <w:ind w:left="360" w:right="566"/>
        <w:jc w:val="center"/>
        <w:rPr>
          <w:b/>
          <w:bCs/>
          <w:szCs w:val="24"/>
        </w:rPr>
      </w:pPr>
      <w:r>
        <w:rPr>
          <w:b/>
          <w:bCs/>
          <w:szCs w:val="24"/>
        </w:rPr>
        <w:t>1 lentelė.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6"/>
        <w:gridCol w:w="4164"/>
      </w:tblGrid>
      <w:tr w:rsidR="0004499B" w:rsidRPr="0004499B" w14:paraId="1DC2AF7D" w14:textId="77777777" w:rsidTr="006A030E">
        <w:tc>
          <w:tcPr>
            <w:tcW w:w="576" w:type="dxa"/>
            <w:shd w:val="clear" w:color="auto" w:fill="F2F2F2" w:themeFill="background1" w:themeFillShade="F2"/>
          </w:tcPr>
          <w:p w14:paraId="31E18823" w14:textId="77777777" w:rsidR="0004499B" w:rsidRPr="0004499B" w:rsidRDefault="0004499B" w:rsidP="0004499B">
            <w:pPr>
              <w:suppressAutoHyphens w:val="0"/>
              <w:autoSpaceDN/>
              <w:spacing w:after="0"/>
              <w:textAlignment w:val="auto"/>
              <w:rPr>
                <w:rFonts w:eastAsia="Times New Roman"/>
                <w:b/>
                <w:color w:val="000000" w:themeColor="text1"/>
                <w:szCs w:val="24"/>
              </w:rPr>
            </w:pPr>
            <w:r w:rsidRPr="0004499B">
              <w:rPr>
                <w:rFonts w:eastAsia="Times New Roman"/>
                <w:b/>
                <w:color w:val="000000" w:themeColor="text1"/>
                <w:szCs w:val="24"/>
              </w:rPr>
              <w:t xml:space="preserve">Eil. Nr. </w:t>
            </w:r>
          </w:p>
        </w:tc>
        <w:tc>
          <w:tcPr>
            <w:tcW w:w="4026" w:type="dxa"/>
            <w:shd w:val="clear" w:color="auto" w:fill="F2F2F2" w:themeFill="background1" w:themeFillShade="F2"/>
          </w:tcPr>
          <w:p w14:paraId="34307790" w14:textId="77777777" w:rsidR="0004499B" w:rsidRPr="0004499B" w:rsidRDefault="0004499B" w:rsidP="0004499B">
            <w:pPr>
              <w:suppressAutoHyphens w:val="0"/>
              <w:autoSpaceDN/>
              <w:spacing w:after="0"/>
              <w:jc w:val="center"/>
              <w:textAlignment w:val="auto"/>
              <w:rPr>
                <w:rFonts w:eastAsia="Times New Roman"/>
                <w:b/>
                <w:color w:val="000000" w:themeColor="text1"/>
                <w:szCs w:val="24"/>
              </w:rPr>
            </w:pPr>
            <w:r w:rsidRPr="0004499B">
              <w:rPr>
                <w:rFonts w:eastAsia="Times New Roman"/>
                <w:b/>
                <w:color w:val="000000" w:themeColor="text1"/>
                <w:szCs w:val="24"/>
              </w:rPr>
              <w:t>Funkcijos</w:t>
            </w:r>
          </w:p>
        </w:tc>
        <w:tc>
          <w:tcPr>
            <w:tcW w:w="4164" w:type="dxa"/>
            <w:shd w:val="clear" w:color="auto" w:fill="F2F2F2" w:themeFill="background1" w:themeFillShade="F2"/>
          </w:tcPr>
          <w:p w14:paraId="4267A8C7" w14:textId="77777777" w:rsidR="0004499B" w:rsidRPr="0004499B" w:rsidRDefault="0004499B" w:rsidP="0004499B">
            <w:pPr>
              <w:suppressAutoHyphens w:val="0"/>
              <w:autoSpaceDN/>
              <w:spacing w:after="0"/>
              <w:jc w:val="center"/>
              <w:textAlignment w:val="auto"/>
              <w:rPr>
                <w:rFonts w:eastAsia="Times New Roman"/>
                <w:b/>
                <w:color w:val="000000" w:themeColor="text1"/>
                <w:szCs w:val="24"/>
              </w:rPr>
            </w:pPr>
            <w:r w:rsidRPr="0004499B">
              <w:rPr>
                <w:rFonts w:eastAsia="Times New Roman"/>
                <w:b/>
                <w:color w:val="000000" w:themeColor="text1"/>
                <w:szCs w:val="24"/>
              </w:rPr>
              <w:t>Būtini įrenginiai</w:t>
            </w:r>
          </w:p>
        </w:tc>
      </w:tr>
      <w:tr w:rsidR="006A030E" w:rsidRPr="0004499B" w14:paraId="5D43C7A3" w14:textId="77777777" w:rsidTr="002B4DA9">
        <w:tc>
          <w:tcPr>
            <w:tcW w:w="8766" w:type="dxa"/>
            <w:gridSpan w:val="3"/>
            <w:shd w:val="clear" w:color="auto" w:fill="auto"/>
          </w:tcPr>
          <w:p w14:paraId="0603DD0C" w14:textId="00456219" w:rsidR="006A030E" w:rsidRPr="0004499B" w:rsidRDefault="006A030E" w:rsidP="006A030E">
            <w:pPr>
              <w:suppressAutoHyphens w:val="0"/>
              <w:autoSpaceDN/>
              <w:spacing w:after="0" w:line="240" w:lineRule="auto"/>
              <w:jc w:val="center"/>
              <w:textAlignment w:val="auto"/>
              <w:rPr>
                <w:rFonts w:eastAsia="Times New Roman"/>
                <w:szCs w:val="24"/>
              </w:rPr>
            </w:pPr>
            <w:r>
              <w:rPr>
                <w:rFonts w:eastAsia="Times New Roman"/>
                <w:bCs/>
                <w:iCs/>
                <w:noProof/>
                <w:szCs w:val="24"/>
              </w:rPr>
              <w:t>A</w:t>
            </w:r>
            <w:r w:rsidRPr="00155CE2">
              <w:rPr>
                <w:rFonts w:eastAsia="Times New Roman"/>
                <w:bCs/>
                <w:iCs/>
                <w:noProof/>
                <w:szCs w:val="24"/>
              </w:rPr>
              <w:t>dresu Jūros g. 5, Tauragė</w:t>
            </w:r>
          </w:p>
        </w:tc>
      </w:tr>
      <w:tr w:rsidR="0004499B" w:rsidRPr="0004499B" w14:paraId="6D0EE393" w14:textId="77777777" w:rsidTr="006A030E">
        <w:tc>
          <w:tcPr>
            <w:tcW w:w="576" w:type="dxa"/>
            <w:shd w:val="clear" w:color="auto" w:fill="auto"/>
          </w:tcPr>
          <w:p w14:paraId="50D3160A" w14:textId="153D6CF5" w:rsidR="0004499B" w:rsidRPr="0004499B" w:rsidRDefault="006A030E" w:rsidP="006A030E">
            <w:pPr>
              <w:suppressAutoHyphens w:val="0"/>
              <w:autoSpaceDN/>
              <w:spacing w:after="0" w:line="240" w:lineRule="auto"/>
              <w:textAlignment w:val="auto"/>
              <w:rPr>
                <w:rFonts w:eastAsia="Times New Roman"/>
                <w:szCs w:val="24"/>
              </w:rPr>
            </w:pPr>
            <w:r>
              <w:rPr>
                <w:rFonts w:eastAsia="Times New Roman"/>
                <w:szCs w:val="24"/>
              </w:rPr>
              <w:t>1.1</w:t>
            </w:r>
            <w:r w:rsidR="0004499B" w:rsidRPr="0004499B">
              <w:rPr>
                <w:rFonts w:eastAsia="Times New Roman"/>
                <w:szCs w:val="24"/>
              </w:rPr>
              <w:t>.</w:t>
            </w:r>
          </w:p>
        </w:tc>
        <w:tc>
          <w:tcPr>
            <w:tcW w:w="4026" w:type="dxa"/>
            <w:shd w:val="clear" w:color="auto" w:fill="auto"/>
          </w:tcPr>
          <w:p w14:paraId="4D017059"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Atsiskaitymo galimybė bankinėmis kortelėmis</w:t>
            </w:r>
          </w:p>
        </w:tc>
        <w:tc>
          <w:tcPr>
            <w:tcW w:w="4164" w:type="dxa"/>
            <w:shd w:val="clear" w:color="auto" w:fill="auto"/>
          </w:tcPr>
          <w:p w14:paraId="4B3FE3B1"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Savitarnos elektroninių kortelių skaitytuvas</w:t>
            </w:r>
          </w:p>
        </w:tc>
      </w:tr>
      <w:tr w:rsidR="0004499B" w:rsidRPr="0004499B" w14:paraId="79255DB0" w14:textId="77777777" w:rsidTr="006A030E">
        <w:tc>
          <w:tcPr>
            <w:tcW w:w="576" w:type="dxa"/>
            <w:shd w:val="clear" w:color="auto" w:fill="auto"/>
          </w:tcPr>
          <w:p w14:paraId="6F3D7C48" w14:textId="6EDDEAA9" w:rsidR="0004499B" w:rsidRPr="0004499B" w:rsidRDefault="006A030E" w:rsidP="0004499B">
            <w:pPr>
              <w:suppressAutoHyphens w:val="0"/>
              <w:autoSpaceDN/>
              <w:spacing w:after="0" w:line="240" w:lineRule="auto"/>
              <w:jc w:val="center"/>
              <w:textAlignment w:val="auto"/>
              <w:rPr>
                <w:rFonts w:eastAsia="Times New Roman"/>
                <w:szCs w:val="24"/>
              </w:rPr>
            </w:pPr>
            <w:r>
              <w:rPr>
                <w:rFonts w:eastAsia="Times New Roman"/>
                <w:szCs w:val="24"/>
              </w:rPr>
              <w:t>1</w:t>
            </w:r>
            <w:r w:rsidR="0004499B" w:rsidRPr="0004499B">
              <w:rPr>
                <w:rFonts w:eastAsia="Times New Roman"/>
                <w:szCs w:val="24"/>
              </w:rPr>
              <w:t>.</w:t>
            </w:r>
            <w:r>
              <w:rPr>
                <w:rFonts w:eastAsia="Times New Roman"/>
                <w:szCs w:val="24"/>
              </w:rPr>
              <w:t>2</w:t>
            </w:r>
            <w:r w:rsidR="0004499B" w:rsidRPr="0004499B">
              <w:rPr>
                <w:rFonts w:eastAsia="Times New Roman"/>
                <w:szCs w:val="24"/>
              </w:rPr>
              <w:t>.</w:t>
            </w:r>
          </w:p>
        </w:tc>
        <w:tc>
          <w:tcPr>
            <w:tcW w:w="4026" w:type="dxa"/>
            <w:shd w:val="clear" w:color="auto" w:fill="auto"/>
          </w:tcPr>
          <w:p w14:paraId="24D5B5FE"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Atsiskaitymo galimybė grynaisiais pinigais (kupiūromis ir monetomis)</w:t>
            </w:r>
          </w:p>
        </w:tc>
        <w:tc>
          <w:tcPr>
            <w:tcW w:w="4164" w:type="dxa"/>
            <w:shd w:val="clear" w:color="auto" w:fill="auto"/>
          </w:tcPr>
          <w:p w14:paraId="35B3910A"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5, 10, 20, 50, 100 nominalo popierinių banknotų priėmėjas;</w:t>
            </w:r>
          </w:p>
          <w:p w14:paraId="44CFF636"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5, 10, 20, 50 nominalo centų ir 1, 2 nominalo euro monetų priėmėjas</w:t>
            </w:r>
          </w:p>
        </w:tc>
      </w:tr>
      <w:tr w:rsidR="0004499B" w:rsidRPr="0004499B" w14:paraId="17421854" w14:textId="77777777" w:rsidTr="006A030E">
        <w:tc>
          <w:tcPr>
            <w:tcW w:w="576" w:type="dxa"/>
            <w:shd w:val="clear" w:color="auto" w:fill="auto"/>
          </w:tcPr>
          <w:p w14:paraId="2988349B" w14:textId="1C9ACBC9" w:rsidR="0004499B" w:rsidRPr="0004499B" w:rsidRDefault="006A030E" w:rsidP="0004499B">
            <w:pPr>
              <w:suppressAutoHyphens w:val="0"/>
              <w:autoSpaceDN/>
              <w:spacing w:after="0" w:line="240" w:lineRule="auto"/>
              <w:jc w:val="center"/>
              <w:textAlignment w:val="auto"/>
              <w:rPr>
                <w:rFonts w:eastAsia="Times New Roman"/>
                <w:szCs w:val="24"/>
              </w:rPr>
            </w:pPr>
            <w:r>
              <w:rPr>
                <w:rFonts w:eastAsia="Times New Roman"/>
                <w:szCs w:val="24"/>
              </w:rPr>
              <w:t>1</w:t>
            </w:r>
            <w:r w:rsidR="0004499B" w:rsidRPr="0004499B">
              <w:rPr>
                <w:rFonts w:eastAsia="Times New Roman"/>
                <w:szCs w:val="24"/>
              </w:rPr>
              <w:t>.</w:t>
            </w:r>
            <w:r>
              <w:rPr>
                <w:rFonts w:eastAsia="Times New Roman"/>
                <w:szCs w:val="24"/>
              </w:rPr>
              <w:t>3</w:t>
            </w:r>
            <w:r w:rsidR="0004499B" w:rsidRPr="0004499B">
              <w:rPr>
                <w:rFonts w:eastAsia="Times New Roman"/>
                <w:szCs w:val="24"/>
              </w:rPr>
              <w:t>.</w:t>
            </w:r>
          </w:p>
        </w:tc>
        <w:tc>
          <w:tcPr>
            <w:tcW w:w="4026" w:type="dxa"/>
            <w:shd w:val="clear" w:color="auto" w:fill="auto"/>
          </w:tcPr>
          <w:p w14:paraId="6956E7F6"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 xml:space="preserve">Grąžos atidavimo monetomis galimybė </w:t>
            </w:r>
          </w:p>
        </w:tc>
        <w:tc>
          <w:tcPr>
            <w:tcW w:w="4164" w:type="dxa"/>
            <w:shd w:val="clear" w:color="auto" w:fill="auto"/>
          </w:tcPr>
          <w:p w14:paraId="460DB769"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Grąžos atidavimas ne mažiau kaip 3 nominalų monetomis</w:t>
            </w:r>
          </w:p>
        </w:tc>
      </w:tr>
      <w:tr w:rsidR="0004499B" w:rsidRPr="0004499B" w14:paraId="792C0297" w14:textId="77777777" w:rsidTr="006A030E">
        <w:tc>
          <w:tcPr>
            <w:tcW w:w="576" w:type="dxa"/>
            <w:shd w:val="clear" w:color="auto" w:fill="auto"/>
          </w:tcPr>
          <w:p w14:paraId="5DAC188B" w14:textId="08C6955A" w:rsidR="0004499B" w:rsidRPr="0004499B" w:rsidRDefault="006A030E" w:rsidP="0004499B">
            <w:pPr>
              <w:suppressAutoHyphens w:val="0"/>
              <w:autoSpaceDN/>
              <w:spacing w:after="0" w:line="240" w:lineRule="auto"/>
              <w:jc w:val="center"/>
              <w:textAlignment w:val="auto"/>
              <w:rPr>
                <w:rFonts w:eastAsia="Times New Roman"/>
                <w:szCs w:val="24"/>
              </w:rPr>
            </w:pPr>
            <w:r>
              <w:rPr>
                <w:rFonts w:eastAsia="Times New Roman"/>
                <w:szCs w:val="24"/>
              </w:rPr>
              <w:t>1.4</w:t>
            </w:r>
            <w:r w:rsidR="0004499B" w:rsidRPr="0004499B">
              <w:rPr>
                <w:rFonts w:eastAsia="Times New Roman"/>
                <w:szCs w:val="24"/>
              </w:rPr>
              <w:t>.</w:t>
            </w:r>
          </w:p>
        </w:tc>
        <w:tc>
          <w:tcPr>
            <w:tcW w:w="4026" w:type="dxa"/>
            <w:shd w:val="clear" w:color="auto" w:fill="auto"/>
          </w:tcPr>
          <w:p w14:paraId="2E367805"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 xml:space="preserve">Grąžos atidavimo kupiūromis galimybė </w:t>
            </w:r>
          </w:p>
        </w:tc>
        <w:tc>
          <w:tcPr>
            <w:tcW w:w="4164" w:type="dxa"/>
            <w:shd w:val="clear" w:color="auto" w:fill="auto"/>
          </w:tcPr>
          <w:p w14:paraId="7AA72464"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Grąžos atidavimas ne mažiau kaip 2 nominalų banknotais</w:t>
            </w:r>
          </w:p>
        </w:tc>
      </w:tr>
      <w:tr w:rsidR="0004499B" w:rsidRPr="0004499B" w14:paraId="1B5BADE3" w14:textId="77777777" w:rsidTr="006A030E">
        <w:tc>
          <w:tcPr>
            <w:tcW w:w="576" w:type="dxa"/>
            <w:shd w:val="clear" w:color="auto" w:fill="auto"/>
          </w:tcPr>
          <w:p w14:paraId="286C5B36" w14:textId="04717654" w:rsidR="0004499B" w:rsidRPr="0004499B" w:rsidRDefault="006A030E" w:rsidP="0004499B">
            <w:pPr>
              <w:suppressAutoHyphens w:val="0"/>
              <w:autoSpaceDN/>
              <w:spacing w:after="0" w:line="240" w:lineRule="auto"/>
              <w:jc w:val="center"/>
              <w:textAlignment w:val="auto"/>
              <w:rPr>
                <w:rFonts w:eastAsia="Times New Roman"/>
                <w:szCs w:val="24"/>
              </w:rPr>
            </w:pPr>
            <w:r>
              <w:rPr>
                <w:rFonts w:eastAsia="Times New Roman"/>
                <w:szCs w:val="24"/>
              </w:rPr>
              <w:t>1</w:t>
            </w:r>
            <w:r w:rsidR="0004499B" w:rsidRPr="0004499B">
              <w:rPr>
                <w:rFonts w:eastAsia="Times New Roman"/>
                <w:szCs w:val="24"/>
              </w:rPr>
              <w:t>.</w:t>
            </w:r>
            <w:r>
              <w:rPr>
                <w:rFonts w:eastAsia="Times New Roman"/>
                <w:szCs w:val="24"/>
              </w:rPr>
              <w:t>5</w:t>
            </w:r>
            <w:r w:rsidR="0004499B" w:rsidRPr="0004499B">
              <w:rPr>
                <w:rFonts w:eastAsia="Times New Roman"/>
                <w:szCs w:val="24"/>
              </w:rPr>
              <w:t>.</w:t>
            </w:r>
          </w:p>
        </w:tc>
        <w:tc>
          <w:tcPr>
            <w:tcW w:w="4026" w:type="dxa"/>
            <w:shd w:val="clear" w:color="auto" w:fill="auto"/>
          </w:tcPr>
          <w:p w14:paraId="5FF3DFF0"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 xml:space="preserve">Apmokėjimo kvito spausdinimo galimybė </w:t>
            </w:r>
          </w:p>
        </w:tc>
        <w:tc>
          <w:tcPr>
            <w:tcW w:w="4164" w:type="dxa"/>
            <w:shd w:val="clear" w:color="auto" w:fill="auto"/>
          </w:tcPr>
          <w:p w14:paraId="29E2D24E"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 xml:space="preserve">Spausdintuvas kvitų spausdinimui </w:t>
            </w:r>
          </w:p>
          <w:p w14:paraId="7DAAC530" w14:textId="77777777" w:rsidR="0004499B" w:rsidRPr="0004499B" w:rsidRDefault="0004499B" w:rsidP="0004499B">
            <w:pPr>
              <w:suppressAutoHyphens w:val="0"/>
              <w:autoSpaceDN/>
              <w:spacing w:after="0" w:line="240" w:lineRule="auto"/>
              <w:textAlignment w:val="auto"/>
              <w:rPr>
                <w:rFonts w:eastAsia="Times New Roman"/>
                <w:szCs w:val="24"/>
              </w:rPr>
            </w:pPr>
          </w:p>
        </w:tc>
      </w:tr>
      <w:tr w:rsidR="006A030E" w:rsidRPr="0004499B" w14:paraId="3A52E07D" w14:textId="77777777" w:rsidTr="006A030E">
        <w:tc>
          <w:tcPr>
            <w:tcW w:w="576" w:type="dxa"/>
            <w:shd w:val="clear" w:color="auto" w:fill="auto"/>
          </w:tcPr>
          <w:p w14:paraId="272AA33A" w14:textId="002F8428" w:rsidR="006A030E" w:rsidRPr="0004499B" w:rsidRDefault="006A030E" w:rsidP="006A030E">
            <w:pPr>
              <w:suppressAutoHyphens w:val="0"/>
              <w:autoSpaceDN/>
              <w:spacing w:after="0" w:line="240" w:lineRule="auto"/>
              <w:jc w:val="center"/>
              <w:textAlignment w:val="auto"/>
              <w:rPr>
                <w:rFonts w:eastAsia="Times New Roman"/>
                <w:szCs w:val="24"/>
              </w:rPr>
            </w:pPr>
            <w:r>
              <w:rPr>
                <w:rFonts w:eastAsia="Times New Roman"/>
                <w:szCs w:val="24"/>
              </w:rPr>
              <w:t>1</w:t>
            </w:r>
            <w:r w:rsidRPr="0004499B">
              <w:rPr>
                <w:rFonts w:eastAsia="Times New Roman"/>
                <w:szCs w:val="24"/>
              </w:rPr>
              <w:t>.</w:t>
            </w:r>
            <w:r>
              <w:rPr>
                <w:rFonts w:eastAsia="Times New Roman"/>
                <w:szCs w:val="24"/>
              </w:rPr>
              <w:t>6</w:t>
            </w:r>
            <w:r w:rsidRPr="0004499B">
              <w:rPr>
                <w:rFonts w:eastAsia="Times New Roman"/>
                <w:szCs w:val="24"/>
              </w:rPr>
              <w:t>.</w:t>
            </w:r>
          </w:p>
        </w:tc>
        <w:tc>
          <w:tcPr>
            <w:tcW w:w="4026" w:type="dxa"/>
            <w:shd w:val="clear" w:color="auto" w:fill="auto"/>
          </w:tcPr>
          <w:p w14:paraId="29C49FAB" w14:textId="515037CC" w:rsidR="006A030E" w:rsidRPr="006A030E" w:rsidRDefault="006A030E" w:rsidP="006A030E">
            <w:pPr>
              <w:suppressAutoHyphens w:val="0"/>
              <w:autoSpaceDN/>
              <w:spacing w:after="0" w:line="240" w:lineRule="auto"/>
              <w:textAlignment w:val="auto"/>
              <w:rPr>
                <w:rFonts w:eastAsia="Times New Roman"/>
                <w:szCs w:val="24"/>
              </w:rPr>
            </w:pPr>
            <w:r w:rsidRPr="006A030E">
              <w:rPr>
                <w:szCs w:val="24"/>
              </w:rPr>
              <w:t>Galimybė perduoti mokėjimo duomenis į Ligoninės informacinę sistemą ESIS</w:t>
            </w:r>
          </w:p>
        </w:tc>
        <w:tc>
          <w:tcPr>
            <w:tcW w:w="4164" w:type="dxa"/>
            <w:shd w:val="clear" w:color="auto" w:fill="auto"/>
          </w:tcPr>
          <w:p w14:paraId="0D798021" w14:textId="77777777" w:rsidR="006A030E" w:rsidRPr="006A030E" w:rsidRDefault="006A030E" w:rsidP="006A030E">
            <w:pPr>
              <w:pStyle w:val="Betarp"/>
              <w:jc w:val="both"/>
              <w:rPr>
                <w:szCs w:val="24"/>
              </w:rPr>
            </w:pPr>
            <w:r w:rsidRPr="006A030E">
              <w:rPr>
                <w:szCs w:val="24"/>
              </w:rPr>
              <w:t>Būtina</w:t>
            </w:r>
          </w:p>
          <w:p w14:paraId="429DC9C8" w14:textId="77777777" w:rsidR="006A030E" w:rsidRPr="006A030E" w:rsidRDefault="006A030E" w:rsidP="006A030E">
            <w:pPr>
              <w:suppressAutoHyphens w:val="0"/>
              <w:autoSpaceDN/>
              <w:spacing w:after="0" w:line="240" w:lineRule="auto"/>
              <w:textAlignment w:val="auto"/>
              <w:rPr>
                <w:rFonts w:eastAsia="Times New Roman"/>
                <w:szCs w:val="24"/>
              </w:rPr>
            </w:pPr>
          </w:p>
        </w:tc>
      </w:tr>
      <w:tr w:rsidR="0004499B" w:rsidRPr="0004499B" w14:paraId="456F4AA9" w14:textId="77777777" w:rsidTr="006A030E">
        <w:tc>
          <w:tcPr>
            <w:tcW w:w="576" w:type="dxa"/>
            <w:shd w:val="clear" w:color="auto" w:fill="auto"/>
          </w:tcPr>
          <w:p w14:paraId="187AE54B" w14:textId="6B34C159" w:rsidR="0004499B" w:rsidRPr="0004499B" w:rsidRDefault="006A030E" w:rsidP="0004499B">
            <w:pPr>
              <w:suppressAutoHyphens w:val="0"/>
              <w:autoSpaceDN/>
              <w:spacing w:after="0" w:line="240" w:lineRule="auto"/>
              <w:jc w:val="center"/>
              <w:textAlignment w:val="auto"/>
              <w:rPr>
                <w:rFonts w:eastAsia="Times New Roman"/>
                <w:szCs w:val="24"/>
              </w:rPr>
            </w:pPr>
            <w:r>
              <w:rPr>
                <w:rFonts w:eastAsia="Times New Roman"/>
                <w:szCs w:val="24"/>
              </w:rPr>
              <w:t>1</w:t>
            </w:r>
            <w:r w:rsidR="0004499B" w:rsidRPr="0004499B">
              <w:rPr>
                <w:rFonts w:eastAsia="Times New Roman"/>
                <w:szCs w:val="24"/>
              </w:rPr>
              <w:t>.</w:t>
            </w:r>
            <w:r>
              <w:rPr>
                <w:rFonts w:eastAsia="Times New Roman"/>
                <w:szCs w:val="24"/>
              </w:rPr>
              <w:t>7</w:t>
            </w:r>
            <w:r w:rsidR="0004499B" w:rsidRPr="0004499B">
              <w:rPr>
                <w:rFonts w:eastAsia="Times New Roman"/>
                <w:szCs w:val="24"/>
              </w:rPr>
              <w:t>.</w:t>
            </w:r>
          </w:p>
        </w:tc>
        <w:tc>
          <w:tcPr>
            <w:tcW w:w="4026" w:type="dxa"/>
            <w:shd w:val="clear" w:color="auto" w:fill="auto"/>
          </w:tcPr>
          <w:p w14:paraId="3DBB2578"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 xml:space="preserve">Paslaugų pasirinkimas lietimui jautriame ekrane </w:t>
            </w:r>
          </w:p>
        </w:tc>
        <w:tc>
          <w:tcPr>
            <w:tcW w:w="4164" w:type="dxa"/>
            <w:shd w:val="clear" w:color="auto" w:fill="auto"/>
          </w:tcPr>
          <w:p w14:paraId="4F994169" w14:textId="77777777" w:rsidR="0004499B" w:rsidRPr="0004499B" w:rsidRDefault="0004499B" w:rsidP="0004499B">
            <w:pPr>
              <w:suppressAutoHyphens w:val="0"/>
              <w:autoSpaceDN/>
              <w:spacing w:after="0" w:line="240" w:lineRule="auto"/>
              <w:textAlignment w:val="auto"/>
              <w:rPr>
                <w:rFonts w:eastAsia="Times New Roman"/>
                <w:szCs w:val="24"/>
              </w:rPr>
            </w:pPr>
            <w:r w:rsidRPr="0004499B">
              <w:rPr>
                <w:rFonts w:eastAsia="Times New Roman"/>
                <w:szCs w:val="24"/>
              </w:rPr>
              <w:t>Lietimui jautrus ekranas ne mažiau kaip 17“</w:t>
            </w:r>
          </w:p>
        </w:tc>
      </w:tr>
    </w:tbl>
    <w:p w14:paraId="2AC1539C" w14:textId="77777777" w:rsidR="006A030E" w:rsidRDefault="006A030E" w:rsidP="006A030E">
      <w:pPr>
        <w:suppressAutoHyphens w:val="0"/>
        <w:autoSpaceDN/>
        <w:spacing w:after="0" w:line="240" w:lineRule="auto"/>
        <w:ind w:firstLine="851"/>
        <w:jc w:val="center"/>
        <w:textAlignment w:val="auto"/>
        <w:rPr>
          <w:rFonts w:eastAsia="Times New Roman"/>
          <w:b/>
          <w:szCs w:val="24"/>
        </w:rPr>
      </w:pPr>
    </w:p>
    <w:p w14:paraId="5990165A" w14:textId="06489D25" w:rsidR="0004499B" w:rsidRPr="0004499B" w:rsidRDefault="006A030E" w:rsidP="006A030E">
      <w:pPr>
        <w:suppressAutoHyphens w:val="0"/>
        <w:autoSpaceDN/>
        <w:spacing w:after="0" w:line="240" w:lineRule="auto"/>
        <w:ind w:firstLine="851"/>
        <w:jc w:val="center"/>
        <w:textAlignment w:val="auto"/>
        <w:rPr>
          <w:rFonts w:eastAsia="Times New Roman"/>
          <w:b/>
          <w:szCs w:val="24"/>
        </w:rPr>
      </w:pPr>
      <w:r>
        <w:rPr>
          <w:rFonts w:eastAsia="Times New Roman"/>
          <w:b/>
          <w:szCs w:val="24"/>
        </w:rPr>
        <w:t>2 lentelė.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6"/>
        <w:gridCol w:w="4164"/>
      </w:tblGrid>
      <w:tr w:rsidR="006A030E" w:rsidRPr="0004499B" w14:paraId="2B4F717E" w14:textId="77777777" w:rsidTr="00245EAD">
        <w:tc>
          <w:tcPr>
            <w:tcW w:w="576" w:type="dxa"/>
            <w:shd w:val="clear" w:color="auto" w:fill="F2F2F2" w:themeFill="background1" w:themeFillShade="F2"/>
          </w:tcPr>
          <w:p w14:paraId="1F137635" w14:textId="77777777" w:rsidR="006A030E" w:rsidRPr="0004499B" w:rsidRDefault="006A030E" w:rsidP="00245EAD">
            <w:pPr>
              <w:suppressAutoHyphens w:val="0"/>
              <w:autoSpaceDN/>
              <w:spacing w:after="0"/>
              <w:textAlignment w:val="auto"/>
              <w:rPr>
                <w:rFonts w:eastAsia="Times New Roman"/>
                <w:b/>
                <w:color w:val="000000" w:themeColor="text1"/>
                <w:szCs w:val="24"/>
              </w:rPr>
            </w:pPr>
            <w:r w:rsidRPr="0004499B">
              <w:rPr>
                <w:rFonts w:eastAsia="Times New Roman"/>
                <w:b/>
                <w:color w:val="000000" w:themeColor="text1"/>
                <w:szCs w:val="24"/>
              </w:rPr>
              <w:t xml:space="preserve">Eil. Nr. </w:t>
            </w:r>
          </w:p>
        </w:tc>
        <w:tc>
          <w:tcPr>
            <w:tcW w:w="4026" w:type="dxa"/>
            <w:shd w:val="clear" w:color="auto" w:fill="F2F2F2" w:themeFill="background1" w:themeFillShade="F2"/>
          </w:tcPr>
          <w:p w14:paraId="48AA9ADB" w14:textId="77777777" w:rsidR="006A030E" w:rsidRPr="0004499B" w:rsidRDefault="006A030E" w:rsidP="00245EAD">
            <w:pPr>
              <w:suppressAutoHyphens w:val="0"/>
              <w:autoSpaceDN/>
              <w:spacing w:after="0"/>
              <w:jc w:val="center"/>
              <w:textAlignment w:val="auto"/>
              <w:rPr>
                <w:rFonts w:eastAsia="Times New Roman"/>
                <w:b/>
                <w:color w:val="000000" w:themeColor="text1"/>
                <w:szCs w:val="24"/>
              </w:rPr>
            </w:pPr>
            <w:r w:rsidRPr="0004499B">
              <w:rPr>
                <w:rFonts w:eastAsia="Times New Roman"/>
                <w:b/>
                <w:color w:val="000000" w:themeColor="text1"/>
                <w:szCs w:val="24"/>
              </w:rPr>
              <w:t>Funkcijos</w:t>
            </w:r>
          </w:p>
        </w:tc>
        <w:tc>
          <w:tcPr>
            <w:tcW w:w="4164" w:type="dxa"/>
            <w:shd w:val="clear" w:color="auto" w:fill="F2F2F2" w:themeFill="background1" w:themeFillShade="F2"/>
          </w:tcPr>
          <w:p w14:paraId="5403A7F6" w14:textId="77777777" w:rsidR="006A030E" w:rsidRPr="0004499B" w:rsidRDefault="006A030E" w:rsidP="00245EAD">
            <w:pPr>
              <w:suppressAutoHyphens w:val="0"/>
              <w:autoSpaceDN/>
              <w:spacing w:after="0"/>
              <w:jc w:val="center"/>
              <w:textAlignment w:val="auto"/>
              <w:rPr>
                <w:rFonts w:eastAsia="Times New Roman"/>
                <w:b/>
                <w:color w:val="000000" w:themeColor="text1"/>
                <w:szCs w:val="24"/>
              </w:rPr>
            </w:pPr>
            <w:r w:rsidRPr="0004499B">
              <w:rPr>
                <w:rFonts w:eastAsia="Times New Roman"/>
                <w:b/>
                <w:color w:val="000000" w:themeColor="text1"/>
                <w:szCs w:val="24"/>
              </w:rPr>
              <w:t>Būtini įrenginiai</w:t>
            </w:r>
          </w:p>
        </w:tc>
      </w:tr>
      <w:tr w:rsidR="006A030E" w:rsidRPr="0004499B" w14:paraId="21512B2F" w14:textId="77777777" w:rsidTr="00245EAD">
        <w:tc>
          <w:tcPr>
            <w:tcW w:w="8766" w:type="dxa"/>
            <w:gridSpan w:val="3"/>
            <w:shd w:val="clear" w:color="auto" w:fill="auto"/>
          </w:tcPr>
          <w:p w14:paraId="21C1C28C" w14:textId="04C78385" w:rsidR="006A030E" w:rsidRPr="0004499B" w:rsidRDefault="006A030E" w:rsidP="00245EAD">
            <w:pPr>
              <w:suppressAutoHyphens w:val="0"/>
              <w:autoSpaceDN/>
              <w:spacing w:after="0" w:line="240" w:lineRule="auto"/>
              <w:jc w:val="center"/>
              <w:textAlignment w:val="auto"/>
              <w:rPr>
                <w:rFonts w:eastAsia="Times New Roman"/>
                <w:szCs w:val="24"/>
              </w:rPr>
            </w:pPr>
            <w:r>
              <w:rPr>
                <w:rFonts w:eastAsia="Times New Roman"/>
                <w:bCs/>
                <w:iCs/>
                <w:noProof/>
                <w:szCs w:val="24"/>
              </w:rPr>
              <w:t>A</w:t>
            </w:r>
            <w:r w:rsidRPr="00155CE2">
              <w:rPr>
                <w:rFonts w:eastAsia="Times New Roman"/>
                <w:bCs/>
                <w:iCs/>
                <w:noProof/>
                <w:szCs w:val="24"/>
              </w:rPr>
              <w:t xml:space="preserve">dresu </w:t>
            </w:r>
            <w:r>
              <w:rPr>
                <w:rFonts w:eastAsia="Times New Roman"/>
                <w:bCs/>
                <w:iCs/>
                <w:noProof/>
                <w:szCs w:val="24"/>
              </w:rPr>
              <w:t>V. Kudirkos g. 2</w:t>
            </w:r>
            <w:r w:rsidRPr="00155CE2">
              <w:rPr>
                <w:rFonts w:eastAsia="Times New Roman"/>
                <w:bCs/>
                <w:iCs/>
                <w:noProof/>
                <w:szCs w:val="24"/>
              </w:rPr>
              <w:t>, Tauragė</w:t>
            </w:r>
          </w:p>
        </w:tc>
      </w:tr>
      <w:tr w:rsidR="006A030E" w:rsidRPr="0004499B" w14:paraId="3C70CEEE" w14:textId="77777777" w:rsidTr="00245EAD">
        <w:tc>
          <w:tcPr>
            <w:tcW w:w="576" w:type="dxa"/>
            <w:shd w:val="clear" w:color="auto" w:fill="auto"/>
          </w:tcPr>
          <w:p w14:paraId="41F27800" w14:textId="0E26E30C" w:rsidR="006A030E" w:rsidRPr="0004499B" w:rsidRDefault="006A030E" w:rsidP="00245EAD">
            <w:pPr>
              <w:suppressAutoHyphens w:val="0"/>
              <w:autoSpaceDN/>
              <w:spacing w:after="0" w:line="240" w:lineRule="auto"/>
              <w:jc w:val="center"/>
              <w:textAlignment w:val="auto"/>
              <w:rPr>
                <w:rFonts w:eastAsia="Times New Roman"/>
                <w:szCs w:val="24"/>
              </w:rPr>
            </w:pPr>
            <w:r>
              <w:rPr>
                <w:rFonts w:eastAsia="Times New Roman"/>
                <w:szCs w:val="24"/>
              </w:rPr>
              <w:t>2.1.</w:t>
            </w:r>
          </w:p>
        </w:tc>
        <w:tc>
          <w:tcPr>
            <w:tcW w:w="4026" w:type="dxa"/>
            <w:shd w:val="clear" w:color="auto" w:fill="auto"/>
          </w:tcPr>
          <w:p w14:paraId="0DF26E3F" w14:textId="77777777" w:rsidR="006A030E" w:rsidRPr="0004499B" w:rsidRDefault="006A030E" w:rsidP="00245EAD">
            <w:pPr>
              <w:suppressAutoHyphens w:val="0"/>
              <w:autoSpaceDN/>
              <w:spacing w:after="0" w:line="240" w:lineRule="auto"/>
              <w:textAlignment w:val="auto"/>
              <w:rPr>
                <w:rFonts w:eastAsia="Times New Roman"/>
                <w:szCs w:val="24"/>
              </w:rPr>
            </w:pPr>
            <w:r w:rsidRPr="0004499B">
              <w:rPr>
                <w:rFonts w:eastAsia="Times New Roman"/>
                <w:szCs w:val="24"/>
              </w:rPr>
              <w:t>Atsiskaitymo galimybė bankinėmis kortelėmis</w:t>
            </w:r>
          </w:p>
        </w:tc>
        <w:tc>
          <w:tcPr>
            <w:tcW w:w="4164" w:type="dxa"/>
            <w:shd w:val="clear" w:color="auto" w:fill="auto"/>
          </w:tcPr>
          <w:p w14:paraId="287C1CFD" w14:textId="77777777" w:rsidR="006A030E" w:rsidRPr="0004499B" w:rsidRDefault="006A030E" w:rsidP="00245EAD">
            <w:pPr>
              <w:suppressAutoHyphens w:val="0"/>
              <w:autoSpaceDN/>
              <w:spacing w:after="0" w:line="240" w:lineRule="auto"/>
              <w:textAlignment w:val="auto"/>
              <w:rPr>
                <w:rFonts w:eastAsia="Times New Roman"/>
                <w:szCs w:val="24"/>
              </w:rPr>
            </w:pPr>
            <w:r w:rsidRPr="0004499B">
              <w:rPr>
                <w:rFonts w:eastAsia="Times New Roman"/>
                <w:szCs w:val="24"/>
              </w:rPr>
              <w:t>Savitarnos elektroninių kortelių skaitytuvas</w:t>
            </w:r>
          </w:p>
        </w:tc>
      </w:tr>
      <w:tr w:rsidR="006A030E" w:rsidRPr="0004499B" w14:paraId="11E86375" w14:textId="77777777" w:rsidTr="00245EAD">
        <w:tc>
          <w:tcPr>
            <w:tcW w:w="576" w:type="dxa"/>
            <w:shd w:val="clear" w:color="auto" w:fill="auto"/>
          </w:tcPr>
          <w:p w14:paraId="079D7D77" w14:textId="39665B17" w:rsidR="006A030E" w:rsidRPr="0004499B" w:rsidRDefault="006A030E" w:rsidP="00245EAD">
            <w:pPr>
              <w:suppressAutoHyphens w:val="0"/>
              <w:autoSpaceDN/>
              <w:spacing w:after="0" w:line="240" w:lineRule="auto"/>
              <w:jc w:val="center"/>
              <w:textAlignment w:val="auto"/>
              <w:rPr>
                <w:rFonts w:eastAsia="Times New Roman"/>
                <w:szCs w:val="24"/>
              </w:rPr>
            </w:pPr>
            <w:r>
              <w:rPr>
                <w:rFonts w:eastAsia="Times New Roman"/>
                <w:szCs w:val="24"/>
              </w:rPr>
              <w:t>2.2.</w:t>
            </w:r>
          </w:p>
        </w:tc>
        <w:tc>
          <w:tcPr>
            <w:tcW w:w="4026" w:type="dxa"/>
            <w:shd w:val="clear" w:color="auto" w:fill="auto"/>
          </w:tcPr>
          <w:p w14:paraId="3FE2FA53" w14:textId="77777777" w:rsidR="006A030E" w:rsidRPr="0004499B" w:rsidRDefault="006A030E" w:rsidP="00245EAD">
            <w:pPr>
              <w:suppressAutoHyphens w:val="0"/>
              <w:autoSpaceDN/>
              <w:spacing w:after="0" w:line="240" w:lineRule="auto"/>
              <w:textAlignment w:val="auto"/>
              <w:rPr>
                <w:rFonts w:eastAsia="Times New Roman"/>
                <w:szCs w:val="24"/>
              </w:rPr>
            </w:pPr>
            <w:r w:rsidRPr="0004499B">
              <w:rPr>
                <w:rFonts w:eastAsia="Times New Roman"/>
                <w:szCs w:val="24"/>
              </w:rPr>
              <w:t xml:space="preserve">Apmokėjimo kvito spausdinimo galimybė </w:t>
            </w:r>
          </w:p>
        </w:tc>
        <w:tc>
          <w:tcPr>
            <w:tcW w:w="4164" w:type="dxa"/>
            <w:shd w:val="clear" w:color="auto" w:fill="auto"/>
          </w:tcPr>
          <w:p w14:paraId="01AA0F8F" w14:textId="77777777" w:rsidR="006A030E" w:rsidRPr="0004499B" w:rsidRDefault="006A030E" w:rsidP="00245EAD">
            <w:pPr>
              <w:suppressAutoHyphens w:val="0"/>
              <w:autoSpaceDN/>
              <w:spacing w:after="0" w:line="240" w:lineRule="auto"/>
              <w:textAlignment w:val="auto"/>
              <w:rPr>
                <w:rFonts w:eastAsia="Times New Roman"/>
                <w:szCs w:val="24"/>
              </w:rPr>
            </w:pPr>
            <w:r w:rsidRPr="0004499B">
              <w:rPr>
                <w:rFonts w:eastAsia="Times New Roman"/>
                <w:szCs w:val="24"/>
              </w:rPr>
              <w:t xml:space="preserve">Spausdintuvas kvitų spausdinimui </w:t>
            </w:r>
          </w:p>
          <w:p w14:paraId="74238669" w14:textId="77777777" w:rsidR="006A030E" w:rsidRPr="0004499B" w:rsidRDefault="006A030E" w:rsidP="00245EAD">
            <w:pPr>
              <w:suppressAutoHyphens w:val="0"/>
              <w:autoSpaceDN/>
              <w:spacing w:after="0" w:line="240" w:lineRule="auto"/>
              <w:textAlignment w:val="auto"/>
              <w:rPr>
                <w:rFonts w:eastAsia="Times New Roman"/>
                <w:szCs w:val="24"/>
              </w:rPr>
            </w:pPr>
          </w:p>
        </w:tc>
      </w:tr>
      <w:tr w:rsidR="006A030E" w:rsidRPr="006A030E" w14:paraId="7FC30011" w14:textId="77777777" w:rsidTr="00245EAD">
        <w:tc>
          <w:tcPr>
            <w:tcW w:w="576" w:type="dxa"/>
            <w:shd w:val="clear" w:color="auto" w:fill="auto"/>
          </w:tcPr>
          <w:p w14:paraId="1B3C4185" w14:textId="2EEC7CD5" w:rsidR="006A030E" w:rsidRPr="0004499B" w:rsidRDefault="006A030E" w:rsidP="00245EAD">
            <w:pPr>
              <w:suppressAutoHyphens w:val="0"/>
              <w:autoSpaceDN/>
              <w:spacing w:after="0" w:line="240" w:lineRule="auto"/>
              <w:jc w:val="center"/>
              <w:textAlignment w:val="auto"/>
              <w:rPr>
                <w:rFonts w:eastAsia="Times New Roman"/>
                <w:szCs w:val="24"/>
              </w:rPr>
            </w:pPr>
            <w:r>
              <w:rPr>
                <w:rFonts w:eastAsia="Times New Roman"/>
                <w:szCs w:val="24"/>
              </w:rPr>
              <w:t>2.3</w:t>
            </w:r>
            <w:r w:rsidRPr="0004499B">
              <w:rPr>
                <w:rFonts w:eastAsia="Times New Roman"/>
                <w:szCs w:val="24"/>
              </w:rPr>
              <w:t>.</w:t>
            </w:r>
          </w:p>
        </w:tc>
        <w:tc>
          <w:tcPr>
            <w:tcW w:w="4026" w:type="dxa"/>
            <w:shd w:val="clear" w:color="auto" w:fill="auto"/>
          </w:tcPr>
          <w:p w14:paraId="71AA3FC3" w14:textId="77777777" w:rsidR="006A030E" w:rsidRPr="006A030E" w:rsidRDefault="006A030E" w:rsidP="00245EAD">
            <w:pPr>
              <w:suppressAutoHyphens w:val="0"/>
              <w:autoSpaceDN/>
              <w:spacing w:after="0" w:line="240" w:lineRule="auto"/>
              <w:textAlignment w:val="auto"/>
              <w:rPr>
                <w:rFonts w:eastAsia="Times New Roman"/>
                <w:szCs w:val="24"/>
              </w:rPr>
            </w:pPr>
            <w:r w:rsidRPr="006A030E">
              <w:rPr>
                <w:szCs w:val="24"/>
              </w:rPr>
              <w:t>Galimybė perduoti mokėjimo duomenis į Ligoninės informacinę sistemą ESIS</w:t>
            </w:r>
          </w:p>
        </w:tc>
        <w:tc>
          <w:tcPr>
            <w:tcW w:w="4164" w:type="dxa"/>
            <w:shd w:val="clear" w:color="auto" w:fill="auto"/>
          </w:tcPr>
          <w:p w14:paraId="2B5D21BD" w14:textId="77777777" w:rsidR="006A030E" w:rsidRPr="006A030E" w:rsidRDefault="006A030E" w:rsidP="00245EAD">
            <w:pPr>
              <w:pStyle w:val="Betarp"/>
              <w:jc w:val="both"/>
              <w:rPr>
                <w:szCs w:val="24"/>
              </w:rPr>
            </w:pPr>
            <w:r w:rsidRPr="006A030E">
              <w:rPr>
                <w:szCs w:val="24"/>
              </w:rPr>
              <w:t>Būtina</w:t>
            </w:r>
          </w:p>
          <w:p w14:paraId="2EE419EA" w14:textId="77777777" w:rsidR="006A030E" w:rsidRPr="006A030E" w:rsidRDefault="006A030E" w:rsidP="00245EAD">
            <w:pPr>
              <w:suppressAutoHyphens w:val="0"/>
              <w:autoSpaceDN/>
              <w:spacing w:after="0" w:line="240" w:lineRule="auto"/>
              <w:textAlignment w:val="auto"/>
              <w:rPr>
                <w:rFonts w:eastAsia="Times New Roman"/>
                <w:szCs w:val="24"/>
              </w:rPr>
            </w:pPr>
          </w:p>
        </w:tc>
      </w:tr>
      <w:tr w:rsidR="006A030E" w:rsidRPr="0004499B" w14:paraId="25434DBA" w14:textId="77777777" w:rsidTr="00245EAD">
        <w:tc>
          <w:tcPr>
            <w:tcW w:w="576" w:type="dxa"/>
            <w:shd w:val="clear" w:color="auto" w:fill="auto"/>
          </w:tcPr>
          <w:p w14:paraId="76E6991D" w14:textId="2368B546" w:rsidR="006A030E" w:rsidRPr="0004499B" w:rsidRDefault="006A030E" w:rsidP="00245EAD">
            <w:pPr>
              <w:suppressAutoHyphens w:val="0"/>
              <w:autoSpaceDN/>
              <w:spacing w:after="0" w:line="240" w:lineRule="auto"/>
              <w:jc w:val="center"/>
              <w:textAlignment w:val="auto"/>
              <w:rPr>
                <w:rFonts w:eastAsia="Times New Roman"/>
                <w:szCs w:val="24"/>
              </w:rPr>
            </w:pPr>
            <w:r>
              <w:rPr>
                <w:rFonts w:eastAsia="Times New Roman"/>
                <w:szCs w:val="24"/>
              </w:rPr>
              <w:t>2.4</w:t>
            </w:r>
            <w:r w:rsidRPr="0004499B">
              <w:rPr>
                <w:rFonts w:eastAsia="Times New Roman"/>
                <w:szCs w:val="24"/>
              </w:rPr>
              <w:t>.</w:t>
            </w:r>
          </w:p>
        </w:tc>
        <w:tc>
          <w:tcPr>
            <w:tcW w:w="4026" w:type="dxa"/>
            <w:shd w:val="clear" w:color="auto" w:fill="auto"/>
          </w:tcPr>
          <w:p w14:paraId="078CE101" w14:textId="77777777" w:rsidR="006A030E" w:rsidRPr="0004499B" w:rsidRDefault="006A030E" w:rsidP="00245EAD">
            <w:pPr>
              <w:suppressAutoHyphens w:val="0"/>
              <w:autoSpaceDN/>
              <w:spacing w:after="0" w:line="240" w:lineRule="auto"/>
              <w:textAlignment w:val="auto"/>
              <w:rPr>
                <w:rFonts w:eastAsia="Times New Roman"/>
                <w:szCs w:val="24"/>
              </w:rPr>
            </w:pPr>
            <w:r w:rsidRPr="0004499B">
              <w:rPr>
                <w:rFonts w:eastAsia="Times New Roman"/>
                <w:szCs w:val="24"/>
              </w:rPr>
              <w:t xml:space="preserve">Paslaugų pasirinkimas lietimui jautriame ekrane </w:t>
            </w:r>
          </w:p>
        </w:tc>
        <w:tc>
          <w:tcPr>
            <w:tcW w:w="4164" w:type="dxa"/>
            <w:shd w:val="clear" w:color="auto" w:fill="auto"/>
          </w:tcPr>
          <w:p w14:paraId="42A09364" w14:textId="77777777" w:rsidR="006A030E" w:rsidRPr="0004499B" w:rsidRDefault="006A030E" w:rsidP="00245EAD">
            <w:pPr>
              <w:suppressAutoHyphens w:val="0"/>
              <w:autoSpaceDN/>
              <w:spacing w:after="0" w:line="240" w:lineRule="auto"/>
              <w:textAlignment w:val="auto"/>
              <w:rPr>
                <w:rFonts w:eastAsia="Times New Roman"/>
                <w:szCs w:val="24"/>
              </w:rPr>
            </w:pPr>
            <w:r w:rsidRPr="0004499B">
              <w:rPr>
                <w:rFonts w:eastAsia="Times New Roman"/>
                <w:szCs w:val="24"/>
              </w:rPr>
              <w:t>Lietimui jautrus ekranas ne mažiau kaip 17“</w:t>
            </w:r>
          </w:p>
        </w:tc>
      </w:tr>
    </w:tbl>
    <w:p w14:paraId="57A99058" w14:textId="77777777" w:rsidR="006A030E" w:rsidRDefault="006A030E" w:rsidP="0004499B">
      <w:pPr>
        <w:suppressAutoHyphens w:val="0"/>
        <w:autoSpaceDN/>
        <w:spacing w:after="0"/>
        <w:ind w:left="360"/>
        <w:jc w:val="center"/>
        <w:textAlignment w:val="auto"/>
        <w:rPr>
          <w:rFonts w:eastAsia="Times New Roman"/>
          <w:b/>
          <w:szCs w:val="24"/>
        </w:rPr>
      </w:pPr>
    </w:p>
    <w:p w14:paraId="07B65630" w14:textId="0DDC4E03" w:rsidR="0004499B" w:rsidRPr="0004499B" w:rsidRDefault="0004499B" w:rsidP="0004499B">
      <w:pPr>
        <w:suppressAutoHyphens w:val="0"/>
        <w:autoSpaceDN/>
        <w:spacing w:after="0"/>
        <w:ind w:left="360"/>
        <w:jc w:val="center"/>
        <w:textAlignment w:val="auto"/>
        <w:rPr>
          <w:rFonts w:eastAsia="Times New Roman"/>
          <w:b/>
          <w:szCs w:val="24"/>
        </w:rPr>
      </w:pPr>
      <w:r w:rsidRPr="0004499B">
        <w:rPr>
          <w:rFonts w:eastAsia="Times New Roman"/>
          <w:b/>
          <w:szCs w:val="24"/>
        </w:rPr>
        <w:t>IV. Reikalavimai programinei įrangai</w:t>
      </w:r>
    </w:p>
    <w:p w14:paraId="79151A98" w14:textId="77777777" w:rsidR="0004499B" w:rsidRPr="0004499B" w:rsidRDefault="0004499B" w:rsidP="0004499B">
      <w:pPr>
        <w:suppressAutoHyphens w:val="0"/>
        <w:autoSpaceDN/>
        <w:spacing w:after="0"/>
        <w:ind w:left="1931"/>
        <w:textAlignment w:val="auto"/>
        <w:rPr>
          <w:rFonts w:eastAsia="Times New Roman"/>
          <w:b/>
          <w:sz w:val="16"/>
          <w:szCs w:val="16"/>
        </w:rPr>
      </w:pPr>
    </w:p>
    <w:p w14:paraId="39AA2B09" w14:textId="0987A379" w:rsidR="0004499B" w:rsidRPr="0004499B" w:rsidRDefault="006A030E" w:rsidP="0004499B">
      <w:pPr>
        <w:suppressAutoHyphens w:val="0"/>
        <w:autoSpaceDN/>
        <w:spacing w:after="0" w:line="240" w:lineRule="auto"/>
        <w:ind w:firstLine="851"/>
        <w:jc w:val="both"/>
        <w:textAlignment w:val="auto"/>
        <w:rPr>
          <w:rFonts w:eastAsia="Times New Roman"/>
          <w:szCs w:val="24"/>
        </w:rPr>
      </w:pPr>
      <w:r>
        <w:rPr>
          <w:rFonts w:eastAsia="Times New Roman"/>
          <w:szCs w:val="24"/>
        </w:rPr>
        <w:t>7</w:t>
      </w:r>
      <w:r w:rsidR="0004499B" w:rsidRPr="0004499B">
        <w:rPr>
          <w:rFonts w:eastAsia="Times New Roman"/>
          <w:szCs w:val="24"/>
        </w:rPr>
        <w:t xml:space="preserve">. Duomenų mainai turi būti vykdomi protokolu, suderintu su Kliento naudojamu </w:t>
      </w:r>
      <w:proofErr w:type="spellStart"/>
      <w:r w:rsidR="0004499B" w:rsidRPr="0004499B">
        <w:rPr>
          <w:rFonts w:eastAsia="Times New Roman"/>
          <w:szCs w:val="24"/>
        </w:rPr>
        <w:t>webservisu</w:t>
      </w:r>
      <w:proofErr w:type="spellEnd"/>
      <w:r w:rsidR="0004499B" w:rsidRPr="0004499B">
        <w:rPr>
          <w:rFonts w:eastAsia="Times New Roman"/>
          <w:szCs w:val="24"/>
        </w:rPr>
        <w:t>.</w:t>
      </w:r>
    </w:p>
    <w:p w14:paraId="5041CED0" w14:textId="472C0B50" w:rsidR="0004499B" w:rsidRPr="0004499B" w:rsidRDefault="006A030E" w:rsidP="0004499B">
      <w:pPr>
        <w:suppressAutoHyphens w:val="0"/>
        <w:autoSpaceDN/>
        <w:spacing w:after="0" w:line="240" w:lineRule="auto"/>
        <w:ind w:firstLine="851"/>
        <w:jc w:val="both"/>
        <w:textAlignment w:val="auto"/>
        <w:rPr>
          <w:rFonts w:eastAsia="Times New Roman"/>
          <w:szCs w:val="24"/>
        </w:rPr>
      </w:pPr>
      <w:r>
        <w:rPr>
          <w:rFonts w:eastAsia="Times New Roman"/>
          <w:szCs w:val="24"/>
        </w:rPr>
        <w:t>8</w:t>
      </w:r>
      <w:r w:rsidR="0004499B" w:rsidRPr="0004499B">
        <w:rPr>
          <w:rFonts w:eastAsia="Times New Roman"/>
          <w:szCs w:val="24"/>
        </w:rPr>
        <w:t>. Mokėjimo terminale įvedus paciento asmens kodą, mokėjimo terminalo ekrane pacientui turi būti pateikta informacija apie visas jam suteiktas ir apmokėti reikalingas paslaugas.</w:t>
      </w:r>
    </w:p>
    <w:p w14:paraId="01DCBC7C" w14:textId="6E5F08AD" w:rsidR="00693675" w:rsidRDefault="006A030E" w:rsidP="00693675">
      <w:pPr>
        <w:suppressAutoHyphens w:val="0"/>
        <w:autoSpaceDN/>
        <w:spacing w:after="0" w:line="240" w:lineRule="auto"/>
        <w:ind w:firstLine="851"/>
        <w:jc w:val="both"/>
        <w:textAlignment w:val="auto"/>
        <w:rPr>
          <w:rFonts w:eastAsia="Times New Roman"/>
          <w:szCs w:val="24"/>
        </w:rPr>
      </w:pPr>
      <w:r>
        <w:rPr>
          <w:rFonts w:eastAsia="Times New Roman"/>
          <w:szCs w:val="24"/>
        </w:rPr>
        <w:lastRenderedPageBreak/>
        <w:t>9</w:t>
      </w:r>
      <w:r w:rsidR="0004499B" w:rsidRPr="0004499B">
        <w:rPr>
          <w:rFonts w:eastAsia="Times New Roman"/>
          <w:szCs w:val="24"/>
        </w:rPr>
        <w:t>. Klientas turi turėti galimybę pasirinkti mokėti už vieną ar kelias jam suteiktas paslaugas.</w:t>
      </w:r>
    </w:p>
    <w:p w14:paraId="5155CE03" w14:textId="08C0C73B" w:rsidR="00693675" w:rsidRPr="00693675" w:rsidRDefault="0004499B" w:rsidP="00693675">
      <w:pPr>
        <w:suppressAutoHyphens w:val="0"/>
        <w:autoSpaceDN/>
        <w:spacing w:after="0" w:line="240" w:lineRule="auto"/>
        <w:ind w:firstLine="851"/>
        <w:jc w:val="both"/>
        <w:textAlignment w:val="auto"/>
        <w:rPr>
          <w:rFonts w:eastAsia="Times New Roman"/>
          <w:szCs w:val="24"/>
        </w:rPr>
      </w:pPr>
      <w:r w:rsidRPr="0004499B">
        <w:rPr>
          <w:rFonts w:eastAsia="Times New Roman"/>
          <w:szCs w:val="24"/>
        </w:rPr>
        <w:t>1</w:t>
      </w:r>
      <w:r w:rsidR="006A030E">
        <w:rPr>
          <w:rFonts w:eastAsia="Times New Roman"/>
          <w:szCs w:val="24"/>
        </w:rPr>
        <w:t>0</w:t>
      </w:r>
      <w:r w:rsidRPr="0004499B">
        <w:rPr>
          <w:rFonts w:eastAsia="Times New Roman"/>
          <w:szCs w:val="24"/>
        </w:rPr>
        <w:t>. Visa informacija mokėjimo terminalo ekrane turi būti pateikiama lietuvių kalba</w:t>
      </w:r>
      <w:r w:rsidR="00693675">
        <w:rPr>
          <w:rFonts w:eastAsia="Times New Roman"/>
          <w:szCs w:val="24"/>
        </w:rPr>
        <w:t>,</w:t>
      </w:r>
      <w:r w:rsidR="00693675" w:rsidRPr="00693675">
        <w:t xml:space="preserve"> </w:t>
      </w:r>
      <w:r w:rsidR="00693675">
        <w:t>gali būti numatyta galimybė pasirinkti kitą kalbą (anglų, rusų).</w:t>
      </w:r>
    </w:p>
    <w:p w14:paraId="4C6AFDAB" w14:textId="74B14FF8" w:rsidR="0004499B" w:rsidRPr="0004499B" w:rsidRDefault="00693675" w:rsidP="0004499B">
      <w:pPr>
        <w:suppressAutoHyphens w:val="0"/>
        <w:autoSpaceDN/>
        <w:spacing w:after="0" w:line="240" w:lineRule="auto"/>
        <w:ind w:firstLine="851"/>
        <w:jc w:val="both"/>
        <w:textAlignment w:val="auto"/>
        <w:rPr>
          <w:rFonts w:eastAsia="Times New Roman"/>
          <w:szCs w:val="24"/>
        </w:rPr>
      </w:pPr>
      <w:r>
        <w:rPr>
          <w:rFonts w:eastAsia="Times New Roman"/>
          <w:szCs w:val="24"/>
        </w:rPr>
        <w:t xml:space="preserve"> </w:t>
      </w:r>
      <w:r w:rsidR="0004499B" w:rsidRPr="0004499B">
        <w:rPr>
          <w:rFonts w:eastAsia="Times New Roman"/>
          <w:szCs w:val="24"/>
        </w:rPr>
        <w:t>.</w:t>
      </w:r>
    </w:p>
    <w:p w14:paraId="3F926D3A" w14:textId="77777777" w:rsidR="0004499B" w:rsidRPr="0004499B" w:rsidRDefault="0004499B" w:rsidP="0004499B">
      <w:pPr>
        <w:suppressAutoHyphens w:val="0"/>
        <w:autoSpaceDN/>
        <w:spacing w:after="0"/>
        <w:ind w:firstLine="851"/>
        <w:jc w:val="both"/>
        <w:textAlignment w:val="auto"/>
        <w:rPr>
          <w:rFonts w:eastAsia="Times New Roman"/>
          <w:szCs w:val="24"/>
        </w:rPr>
      </w:pPr>
    </w:p>
    <w:p w14:paraId="6F751752" w14:textId="77777777" w:rsidR="0004499B" w:rsidRPr="0004499B" w:rsidRDefault="0004499B" w:rsidP="0004499B">
      <w:pPr>
        <w:jc w:val="both"/>
        <w:rPr>
          <w:b/>
          <w:szCs w:val="24"/>
        </w:rPr>
      </w:pPr>
    </w:p>
    <w:p w14:paraId="7A0C890A" w14:textId="77777777" w:rsidR="0004499B" w:rsidRPr="0004499B" w:rsidRDefault="0004499B" w:rsidP="0004499B">
      <w:pPr>
        <w:rPr>
          <w:szCs w:val="24"/>
        </w:rPr>
      </w:pPr>
    </w:p>
    <w:p w14:paraId="253FF140" w14:textId="77777777" w:rsidR="0004499B" w:rsidRDefault="0004499B"/>
    <w:sectPr w:rsidR="000449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0313" w14:textId="77777777" w:rsidR="008B6FEA" w:rsidRDefault="008B6FEA" w:rsidP="0004499B">
      <w:pPr>
        <w:spacing w:after="0" w:line="240" w:lineRule="auto"/>
      </w:pPr>
      <w:r>
        <w:separator/>
      </w:r>
    </w:p>
  </w:endnote>
  <w:endnote w:type="continuationSeparator" w:id="0">
    <w:p w14:paraId="262DA7CF" w14:textId="77777777" w:rsidR="008B6FEA" w:rsidRDefault="008B6FEA" w:rsidP="0004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B3B3" w14:textId="77777777" w:rsidR="008B6FEA" w:rsidRDefault="008B6FEA" w:rsidP="0004499B">
      <w:pPr>
        <w:spacing w:after="0" w:line="240" w:lineRule="auto"/>
      </w:pPr>
      <w:r>
        <w:separator/>
      </w:r>
    </w:p>
  </w:footnote>
  <w:footnote w:type="continuationSeparator" w:id="0">
    <w:p w14:paraId="744C99B2" w14:textId="77777777" w:rsidR="008B6FEA" w:rsidRDefault="008B6FEA" w:rsidP="00044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719358494">
    <w:abstractNumId w:val="0"/>
  </w:num>
  <w:num w:numId="2" w16cid:durableId="1015694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4499B"/>
    <w:rsid w:val="000E1C43"/>
    <w:rsid w:val="0013222E"/>
    <w:rsid w:val="00155CE2"/>
    <w:rsid w:val="0016321C"/>
    <w:rsid w:val="001D3FDB"/>
    <w:rsid w:val="001E7A02"/>
    <w:rsid w:val="0029411E"/>
    <w:rsid w:val="00326B6E"/>
    <w:rsid w:val="003C3231"/>
    <w:rsid w:val="00452D65"/>
    <w:rsid w:val="00511698"/>
    <w:rsid w:val="005E1C7E"/>
    <w:rsid w:val="00683C0C"/>
    <w:rsid w:val="00693675"/>
    <w:rsid w:val="006A030E"/>
    <w:rsid w:val="006F3B38"/>
    <w:rsid w:val="00732CD4"/>
    <w:rsid w:val="00735D34"/>
    <w:rsid w:val="008119B0"/>
    <w:rsid w:val="008B6FEA"/>
    <w:rsid w:val="00905A82"/>
    <w:rsid w:val="009F69B1"/>
    <w:rsid w:val="00A24F1D"/>
    <w:rsid w:val="00A3584F"/>
    <w:rsid w:val="00C33262"/>
    <w:rsid w:val="00C562C3"/>
    <w:rsid w:val="00CD0CD5"/>
    <w:rsid w:val="00CE2F0E"/>
    <w:rsid w:val="00D12884"/>
    <w:rsid w:val="00D40DF5"/>
    <w:rsid w:val="00D55AB8"/>
    <w:rsid w:val="00E53C87"/>
    <w:rsid w:val="00E62C7B"/>
    <w:rsid w:val="00E66666"/>
    <w:rsid w:val="00E7788A"/>
    <w:rsid w:val="00FC1E6F"/>
  </w:rsids>
  <m:mathPr>
    <m:mathFont m:val="Cambria Math"/>
    <m:brkBin m:val="before"/>
    <m:brkBinSub m:val="--"/>
    <m:smallFrac m:val="0"/>
    <m:dispDef/>
    <m:lMargin m:val="0"/>
    <m:rMargin m:val="0"/>
    <m:defJc m:val="centerGroup"/>
    <m:wrapIndent m:val="1440"/>
    <m:intLim m:val="subSup"/>
    <m:naryLim m:val="undOvr"/>
  </m:mathPr>
  <w:themeFontLang w:val="en-GB"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Antrats">
    <w:name w:val="header"/>
    <w:basedOn w:val="prastasis"/>
    <w:link w:val="AntratsDiagrama"/>
    <w:uiPriority w:val="99"/>
    <w:unhideWhenUsed/>
    <w:rsid w:val="000449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499B"/>
    <w:rPr>
      <w:rFonts w:ascii="Times New Roman" w:eastAsia="Calibri" w:hAnsi="Times New Roman" w:cs="Times New Roman"/>
      <w:sz w:val="24"/>
      <w:lang w:val="lt-LT"/>
    </w:rPr>
  </w:style>
  <w:style w:type="paragraph" w:styleId="Porat">
    <w:name w:val="footer"/>
    <w:basedOn w:val="prastasis"/>
    <w:link w:val="PoratDiagrama"/>
    <w:uiPriority w:val="99"/>
    <w:unhideWhenUsed/>
    <w:rsid w:val="000449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499B"/>
    <w:rPr>
      <w:rFonts w:ascii="Times New Roman" w:eastAsia="Calibri" w:hAnsi="Times New Roman" w:cs="Times New Roman"/>
      <w:sz w:val="24"/>
      <w:lang w:val="lt-LT"/>
    </w:rPr>
  </w:style>
  <w:style w:type="paragraph" w:styleId="Betarp">
    <w:name w:val="No Spacing"/>
    <w:uiPriority w:val="99"/>
    <w:qFormat/>
    <w:rsid w:val="006A030E"/>
    <w:pPr>
      <w:suppressAutoHyphens/>
      <w:autoSpaceDN w:val="0"/>
      <w:spacing w:after="0" w:line="240" w:lineRule="auto"/>
      <w:textAlignment w:val="baseline"/>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30772C"/>
    <w:rsid w:val="00406437"/>
    <w:rsid w:val="00511698"/>
    <w:rsid w:val="00626386"/>
    <w:rsid w:val="00743892"/>
    <w:rsid w:val="00764A39"/>
    <w:rsid w:val="009C6CA6"/>
    <w:rsid w:val="00A519E2"/>
    <w:rsid w:val="00A7053C"/>
    <w:rsid w:val="00A93EF4"/>
    <w:rsid w:val="00BD1B19"/>
    <w:rsid w:val="00D7642B"/>
    <w:rsid w:val="00DE4D7B"/>
    <w:rsid w:val="00E25E51"/>
    <w:rsid w:val="00EA743B"/>
    <w:rsid w:val="00F017E5"/>
    <w:rsid w:val="00FC3A45"/>
  </w:rsids>
  <m:mathPr>
    <m:mathFont m:val="Cambria Math"/>
    <m:brkBin m:val="before"/>
    <m:brkBinSub m:val="--"/>
    <m:smallFrac m:val="0"/>
    <m:dispDef/>
    <m:lMargin m:val="0"/>
    <m:rMargin m:val="0"/>
    <m:defJc m:val="centerGroup"/>
    <m:wrapIndent m:val="1440"/>
    <m:intLim m:val="subSup"/>
    <m:naryLim m:val="undOvr"/>
  </m:mathPr>
  <w:themeFontLang w:val="en-GB"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3208</Words>
  <Characters>1829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Regina</cp:lastModifiedBy>
  <cp:revision>4</cp:revision>
  <dcterms:created xsi:type="dcterms:W3CDTF">2025-01-24T14:47:00Z</dcterms:created>
  <dcterms:modified xsi:type="dcterms:W3CDTF">2025-01-24T16:39:00Z</dcterms:modified>
</cp:coreProperties>
</file>