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D8EC3" w14:textId="77777777" w:rsidR="00056D13" w:rsidRDefault="00056D13" w:rsidP="00056D13">
      <w:pPr>
        <w:jc w:val="center"/>
        <w:rPr>
          <w:b/>
        </w:rPr>
      </w:pPr>
      <w:r w:rsidRPr="00B62288">
        <w:rPr>
          <w:b/>
        </w:rPr>
        <w:t>TECHNINĖ SPECIFIKACIJA IR KAINA</w:t>
      </w:r>
    </w:p>
    <w:p w14:paraId="793A8CE1" w14:textId="77777777" w:rsidR="00056D13" w:rsidRPr="00B62288" w:rsidRDefault="00056D13" w:rsidP="00056D13">
      <w:pPr>
        <w:jc w:val="center"/>
        <w:rPr>
          <w:b/>
        </w:rPr>
      </w:pPr>
    </w:p>
    <w:tbl>
      <w:tblPr>
        <w:tblW w:w="10119" w:type="dxa"/>
        <w:tblInd w:w="-318" w:type="dxa"/>
        <w:tblLayout w:type="fixed"/>
        <w:tblLook w:val="04A0" w:firstRow="1" w:lastRow="0" w:firstColumn="1" w:lastColumn="0" w:noHBand="0" w:noVBand="1"/>
      </w:tblPr>
      <w:tblGrid>
        <w:gridCol w:w="725"/>
        <w:gridCol w:w="1493"/>
        <w:gridCol w:w="4871"/>
        <w:gridCol w:w="655"/>
        <w:gridCol w:w="620"/>
        <w:gridCol w:w="875"/>
        <w:gridCol w:w="880"/>
      </w:tblGrid>
      <w:tr w:rsidR="009917B1" w14:paraId="456A8325" w14:textId="77777777" w:rsidTr="00C0360B">
        <w:trPr>
          <w:trHeight w:val="1211"/>
        </w:trPr>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15BA9" w14:textId="77777777" w:rsidR="009917B1" w:rsidRDefault="009917B1" w:rsidP="00C0360B">
            <w:pPr>
              <w:jc w:val="center"/>
            </w:pPr>
            <w:r>
              <w:t>Eil. Nr.</w:t>
            </w:r>
          </w:p>
        </w:tc>
        <w:tc>
          <w:tcPr>
            <w:tcW w:w="1493" w:type="dxa"/>
            <w:tcBorders>
              <w:top w:val="single" w:sz="4" w:space="0" w:color="auto"/>
              <w:left w:val="nil"/>
              <w:bottom w:val="single" w:sz="4" w:space="0" w:color="auto"/>
              <w:right w:val="single" w:sz="4" w:space="0" w:color="auto"/>
            </w:tcBorders>
            <w:shd w:val="clear" w:color="auto" w:fill="auto"/>
            <w:vAlign w:val="center"/>
            <w:hideMark/>
          </w:tcPr>
          <w:p w14:paraId="062635CB" w14:textId="77777777" w:rsidR="009917B1" w:rsidRDefault="009917B1" w:rsidP="00C0360B">
            <w:pPr>
              <w:jc w:val="center"/>
            </w:pPr>
            <w:r>
              <w:t>Pirkimo objektas (pavadinimas)</w:t>
            </w:r>
          </w:p>
        </w:tc>
        <w:tc>
          <w:tcPr>
            <w:tcW w:w="4871" w:type="dxa"/>
            <w:tcBorders>
              <w:top w:val="single" w:sz="4" w:space="0" w:color="auto"/>
              <w:left w:val="nil"/>
              <w:bottom w:val="single" w:sz="4" w:space="0" w:color="auto"/>
              <w:right w:val="single" w:sz="4" w:space="0" w:color="auto"/>
            </w:tcBorders>
            <w:shd w:val="clear" w:color="auto" w:fill="auto"/>
            <w:vAlign w:val="center"/>
            <w:hideMark/>
          </w:tcPr>
          <w:p w14:paraId="02EA6698" w14:textId="77777777" w:rsidR="009917B1" w:rsidRDefault="009917B1" w:rsidP="00C0360B">
            <w:pPr>
              <w:jc w:val="center"/>
            </w:pPr>
            <w:r>
              <w:t xml:space="preserve">Techninė specifikacija ir poreikio pagrindimas  </w:t>
            </w:r>
          </w:p>
        </w:tc>
        <w:tc>
          <w:tcPr>
            <w:tcW w:w="655" w:type="dxa"/>
            <w:tcBorders>
              <w:top w:val="single" w:sz="4" w:space="0" w:color="auto"/>
              <w:left w:val="nil"/>
              <w:bottom w:val="single" w:sz="4" w:space="0" w:color="auto"/>
              <w:right w:val="single" w:sz="4" w:space="0" w:color="auto"/>
            </w:tcBorders>
            <w:shd w:val="clear" w:color="auto" w:fill="auto"/>
            <w:vAlign w:val="center"/>
            <w:hideMark/>
          </w:tcPr>
          <w:p w14:paraId="756E9162" w14:textId="77777777" w:rsidR="009917B1" w:rsidRDefault="009917B1" w:rsidP="00C0360B">
            <w:pPr>
              <w:jc w:val="center"/>
            </w:pPr>
            <w:r>
              <w:t>Mato vnt.</w:t>
            </w:r>
          </w:p>
        </w:tc>
        <w:tc>
          <w:tcPr>
            <w:tcW w:w="620" w:type="dxa"/>
            <w:tcBorders>
              <w:top w:val="single" w:sz="4" w:space="0" w:color="auto"/>
              <w:left w:val="nil"/>
              <w:bottom w:val="single" w:sz="4" w:space="0" w:color="auto"/>
              <w:right w:val="single" w:sz="4" w:space="0" w:color="auto"/>
            </w:tcBorders>
            <w:shd w:val="clear" w:color="auto" w:fill="auto"/>
            <w:vAlign w:val="center"/>
            <w:hideMark/>
          </w:tcPr>
          <w:p w14:paraId="2DCC5756" w14:textId="77777777" w:rsidR="009917B1" w:rsidRDefault="009917B1" w:rsidP="00C0360B">
            <w:pPr>
              <w:jc w:val="center"/>
            </w:pPr>
            <w:r>
              <w:t>Kiekis</w:t>
            </w:r>
          </w:p>
        </w:tc>
        <w:tc>
          <w:tcPr>
            <w:tcW w:w="875" w:type="dxa"/>
            <w:tcBorders>
              <w:top w:val="single" w:sz="4" w:space="0" w:color="auto"/>
              <w:left w:val="nil"/>
              <w:bottom w:val="single" w:sz="4" w:space="0" w:color="auto"/>
              <w:right w:val="single" w:sz="4" w:space="0" w:color="auto"/>
            </w:tcBorders>
            <w:shd w:val="clear" w:color="auto" w:fill="auto"/>
            <w:vAlign w:val="center"/>
            <w:hideMark/>
          </w:tcPr>
          <w:p w14:paraId="133F5D08" w14:textId="77777777" w:rsidR="009917B1" w:rsidRDefault="009917B1" w:rsidP="00C0360B">
            <w:pPr>
              <w:jc w:val="center"/>
            </w:pPr>
            <w:r>
              <w:t>Vnt. kaina € su PVM</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00E0A6C5" w14:textId="77777777" w:rsidR="009917B1" w:rsidRDefault="009917B1" w:rsidP="00C0360B">
            <w:pPr>
              <w:jc w:val="center"/>
            </w:pPr>
            <w:r>
              <w:t>Suma € su PVM</w:t>
            </w:r>
          </w:p>
        </w:tc>
      </w:tr>
      <w:tr w:rsidR="009917B1" w14:paraId="6FC29D8F" w14:textId="77777777" w:rsidTr="00C0360B">
        <w:trPr>
          <w:trHeight w:val="3940"/>
        </w:trPr>
        <w:tc>
          <w:tcPr>
            <w:tcW w:w="725" w:type="dxa"/>
            <w:tcBorders>
              <w:top w:val="nil"/>
              <w:left w:val="single" w:sz="4" w:space="0" w:color="auto"/>
              <w:bottom w:val="single" w:sz="4" w:space="0" w:color="auto"/>
              <w:right w:val="single" w:sz="4" w:space="0" w:color="auto"/>
            </w:tcBorders>
            <w:shd w:val="clear" w:color="auto" w:fill="auto"/>
            <w:vAlign w:val="center"/>
            <w:hideMark/>
          </w:tcPr>
          <w:p w14:paraId="22360965" w14:textId="77777777" w:rsidR="009917B1" w:rsidRDefault="009917B1" w:rsidP="00C0360B">
            <w:pPr>
              <w:jc w:val="center"/>
            </w:pPr>
            <w:r>
              <w:t>1</w:t>
            </w:r>
          </w:p>
        </w:tc>
        <w:tc>
          <w:tcPr>
            <w:tcW w:w="1493" w:type="dxa"/>
            <w:tcBorders>
              <w:top w:val="nil"/>
              <w:left w:val="nil"/>
              <w:bottom w:val="single" w:sz="4" w:space="0" w:color="auto"/>
              <w:right w:val="single" w:sz="4" w:space="0" w:color="auto"/>
            </w:tcBorders>
            <w:shd w:val="clear" w:color="000000" w:fill="FFFFFF"/>
            <w:vAlign w:val="center"/>
            <w:hideMark/>
          </w:tcPr>
          <w:p w14:paraId="0E133CAA" w14:textId="77777777" w:rsidR="009917B1" w:rsidRDefault="009917B1" w:rsidP="00C0360B">
            <w:r>
              <w:t>Pramoninis prailgintuvas</w:t>
            </w:r>
          </w:p>
          <w:p w14:paraId="130AF87D" w14:textId="77777777" w:rsidR="009917B1" w:rsidRDefault="009917B1" w:rsidP="00C0360B"/>
        </w:tc>
        <w:tc>
          <w:tcPr>
            <w:tcW w:w="4871" w:type="dxa"/>
            <w:tcBorders>
              <w:top w:val="nil"/>
              <w:left w:val="nil"/>
              <w:bottom w:val="single" w:sz="4" w:space="0" w:color="auto"/>
              <w:right w:val="single" w:sz="4" w:space="0" w:color="auto"/>
            </w:tcBorders>
            <w:shd w:val="clear" w:color="000000" w:fill="FFFFFF"/>
            <w:vAlign w:val="center"/>
            <w:hideMark/>
          </w:tcPr>
          <w:p w14:paraId="26EB85C4" w14:textId="77777777" w:rsidR="009917B1" w:rsidRDefault="009917B1" w:rsidP="00C0360B">
            <w:r>
              <w:t xml:space="preserve">Pramoninis prailgintuvas su kabelio rite, skirtas profesionaliam ir nuolatiniam naudojimui lauko sąlygomis. Reikalavimai: kabelio ilgis – ne mažiau kaip 25 m; kabelio konstrukcija – ne mažiau kaip 5 × 4,0 mm²; kabelis turi būti tinkamas eksploatuoti lauko sąlygomis ir atsparus mechaniniams poveikiams; maitinimo kištukas – 400 V, 32 A, 5 kontaktų arba lygiavertis; ne mažiau kaip 1 vnt. 400 V, 32 A, 5 kontaktų lizdas; ne mažiau kaip 1 vnt. 400 V, 16 A, 5 kontaktų lizdas; ne mažiau kaip 3 vnt. 230 V apsauginių lizdų. Integruoti apsauginiai įtaisai turi užtikrinti kiekvienos išėjimo grandinės apsaugą nuo perkrovos, trumpojo jungimo ir nuotėkio srovės, atitinkamai pagal jų vardines sroves ir paskirtį. Nuotėkio srovės apsaugos įtaisas (RCD/FI) – ne didesnės kaip 30 </w:t>
            </w:r>
            <w:proofErr w:type="spellStart"/>
            <w:r>
              <w:t>mA</w:t>
            </w:r>
            <w:proofErr w:type="spellEnd"/>
            <w:r>
              <w:t xml:space="preserve"> suveikimo srovės. Apsauginiai automatiniai jungikliai turi būti parinkti pagal grandinių vardines sroves, užtikrinant pilną 400 V 32 A, 400 V 16 A ir 230 V išėjimų apsaugą. Apsaugos klasė – ne žemesnė kaip IP44. Su įžeminimu. Konstrukcija turi užtikrinti patogų transportavimą ir naudojimą, būgnas pritaikytas ne mažiau kaip 25 m kabeliui. Leistina apkrova: išvyniojus – ne mažiau kaip 22 kW esant 400 V / 32 A; suvyniojus – ne mažiau kaip 5,8 kW esant 400 V / 32 A. Gaminys turi būti naujas, nenaudotas, atitikti Europos Sąjungos saugos, elektromagnetinio suderinamumo ir kitų taikomų teisės aktų reikalavimus, būti paženklintas CE ženklu arba lygiaverčiu atitikties ženklinimu. Garantinis laikotarpis – ne trumpesnis kaip 12  mėnesių.</w:t>
            </w:r>
          </w:p>
        </w:tc>
        <w:tc>
          <w:tcPr>
            <w:tcW w:w="655" w:type="dxa"/>
            <w:tcBorders>
              <w:top w:val="nil"/>
              <w:left w:val="nil"/>
              <w:bottom w:val="single" w:sz="4" w:space="0" w:color="auto"/>
              <w:right w:val="single" w:sz="4" w:space="0" w:color="auto"/>
            </w:tcBorders>
            <w:shd w:val="clear" w:color="000000" w:fill="FFFFFF"/>
            <w:vAlign w:val="center"/>
            <w:hideMark/>
          </w:tcPr>
          <w:p w14:paraId="34776614" w14:textId="77777777" w:rsidR="009917B1" w:rsidRDefault="009917B1" w:rsidP="00C0360B">
            <w:pPr>
              <w:jc w:val="center"/>
            </w:pPr>
            <w:r>
              <w:t>vnt.</w:t>
            </w:r>
          </w:p>
        </w:tc>
        <w:tc>
          <w:tcPr>
            <w:tcW w:w="620" w:type="dxa"/>
            <w:tcBorders>
              <w:top w:val="nil"/>
              <w:left w:val="nil"/>
              <w:bottom w:val="single" w:sz="4" w:space="0" w:color="auto"/>
              <w:right w:val="single" w:sz="4" w:space="0" w:color="auto"/>
            </w:tcBorders>
            <w:shd w:val="clear" w:color="000000" w:fill="FFFFFF"/>
            <w:vAlign w:val="center"/>
            <w:hideMark/>
          </w:tcPr>
          <w:p w14:paraId="6393D7BE" w14:textId="77777777" w:rsidR="009917B1" w:rsidRDefault="009917B1" w:rsidP="00C0360B">
            <w:pPr>
              <w:jc w:val="center"/>
            </w:pPr>
            <w:r>
              <w:t>15</w:t>
            </w:r>
          </w:p>
        </w:tc>
        <w:tc>
          <w:tcPr>
            <w:tcW w:w="875" w:type="dxa"/>
            <w:tcBorders>
              <w:top w:val="nil"/>
              <w:left w:val="nil"/>
              <w:bottom w:val="single" w:sz="4" w:space="0" w:color="auto"/>
              <w:right w:val="single" w:sz="4" w:space="0" w:color="auto"/>
            </w:tcBorders>
            <w:shd w:val="clear" w:color="000000" w:fill="FFFFFF"/>
            <w:noWrap/>
            <w:vAlign w:val="center"/>
            <w:hideMark/>
          </w:tcPr>
          <w:p w14:paraId="39C882FE" w14:textId="77777777" w:rsidR="009917B1" w:rsidRDefault="009917B1" w:rsidP="00C0360B">
            <w:pPr>
              <w:jc w:val="center"/>
            </w:pPr>
          </w:p>
        </w:tc>
        <w:tc>
          <w:tcPr>
            <w:tcW w:w="880" w:type="dxa"/>
            <w:tcBorders>
              <w:top w:val="nil"/>
              <w:left w:val="nil"/>
              <w:bottom w:val="single" w:sz="4" w:space="0" w:color="auto"/>
              <w:right w:val="single" w:sz="4" w:space="0" w:color="auto"/>
            </w:tcBorders>
            <w:shd w:val="clear" w:color="000000" w:fill="FFFFFF"/>
            <w:vAlign w:val="center"/>
            <w:hideMark/>
          </w:tcPr>
          <w:p w14:paraId="5C56247C" w14:textId="77777777" w:rsidR="009917B1" w:rsidRDefault="009917B1" w:rsidP="00C0360B">
            <w:pPr>
              <w:jc w:val="center"/>
            </w:pPr>
          </w:p>
        </w:tc>
      </w:tr>
      <w:tr w:rsidR="009917B1" w14:paraId="74DE227F" w14:textId="77777777" w:rsidTr="00C0360B">
        <w:trPr>
          <w:trHeight w:val="7220"/>
        </w:trPr>
        <w:tc>
          <w:tcPr>
            <w:tcW w:w="725" w:type="dxa"/>
            <w:tcBorders>
              <w:top w:val="nil"/>
              <w:left w:val="single" w:sz="4" w:space="0" w:color="auto"/>
              <w:bottom w:val="single" w:sz="4" w:space="0" w:color="auto"/>
              <w:right w:val="single" w:sz="4" w:space="0" w:color="auto"/>
            </w:tcBorders>
            <w:shd w:val="clear" w:color="auto" w:fill="auto"/>
            <w:vAlign w:val="center"/>
            <w:hideMark/>
          </w:tcPr>
          <w:p w14:paraId="18236219" w14:textId="77777777" w:rsidR="009917B1" w:rsidRDefault="009917B1" w:rsidP="00C0360B">
            <w:pPr>
              <w:jc w:val="center"/>
            </w:pPr>
            <w:r>
              <w:lastRenderedPageBreak/>
              <w:t>2</w:t>
            </w:r>
          </w:p>
        </w:tc>
        <w:tc>
          <w:tcPr>
            <w:tcW w:w="1493" w:type="dxa"/>
            <w:tcBorders>
              <w:top w:val="nil"/>
              <w:left w:val="nil"/>
              <w:bottom w:val="single" w:sz="4" w:space="0" w:color="auto"/>
              <w:right w:val="single" w:sz="4" w:space="0" w:color="auto"/>
            </w:tcBorders>
            <w:shd w:val="clear" w:color="000000" w:fill="FFFFFF"/>
            <w:vAlign w:val="center"/>
            <w:hideMark/>
          </w:tcPr>
          <w:p w14:paraId="20772955" w14:textId="77777777" w:rsidR="009917B1" w:rsidRDefault="009917B1" w:rsidP="00C0360B">
            <w:r>
              <w:t>Pramoninis prailgintuvas</w:t>
            </w:r>
          </w:p>
          <w:p w14:paraId="167969F6" w14:textId="77777777" w:rsidR="009917B1" w:rsidRDefault="009917B1" w:rsidP="00C0360B"/>
        </w:tc>
        <w:tc>
          <w:tcPr>
            <w:tcW w:w="4871" w:type="dxa"/>
            <w:tcBorders>
              <w:top w:val="nil"/>
              <w:left w:val="nil"/>
              <w:bottom w:val="single" w:sz="4" w:space="0" w:color="auto"/>
              <w:right w:val="single" w:sz="4" w:space="0" w:color="auto"/>
            </w:tcBorders>
            <w:shd w:val="clear" w:color="000000" w:fill="FFFFFF"/>
            <w:vAlign w:val="center"/>
            <w:hideMark/>
          </w:tcPr>
          <w:p w14:paraId="4AE2D22A" w14:textId="77777777" w:rsidR="009917B1" w:rsidRDefault="009917B1" w:rsidP="00C0360B">
            <w:r>
              <w:t>Pramoninis prailgintuvas su kabelio rite, skirtas profesionaliam ir nuolatiniam naudojimui lauko sąlygomis. Kabelio ilgis – ne mažiau kaip 25 m. Maitinimo kištukas – 400 V, 16 A, ne mažiau kaip 5 kontaktų arba lygiavertis. Ne mažiau kaip 1 vnt. 400 V, 16 A lizdas ir ne mažiau kaip 2 vnt. 230 V lizdai su apsaugomis. Lizdai turi būti prijungti taip, kad būtų užtikrintas saugus ir patikimas elektros energijos paskirstymas. Kabelis turi būti skirtas eksploatuoti lauko sąlygomis, atsparus mechaniniams pažeidimams ir alyvai, išlaikyti lankstumą ne aukštesnėje kaip –35 °C temperatūroje. Kabelio konstrukcija – ne mažesnė kaip 5 × 1,5 mm² arba lygiavertė. Ritės konstrukcija turi būti atspari korozijai ir mechaniniams poveikiams. Turi būti integruota apsauga nuo perkrovos ir perkaitimo su būsenos indikacija. Turi būti ergonomiška rankena transportavimui ir naudojimui. Apsaugos klasė – ne žemesnė kaip IP44. Gaminys turi būti tinkamas naudoti lauko sąlygomis, atitikti taikomų Europos Sąjungos teisės aktų ir standartų reikalavimus bei būti paženklintas CE ženklu arba lygiaverčiu atitikties ženklinimu. Garantinis laikotarpis – ne trumpesnis kaip 12 mėnesių.</w:t>
            </w:r>
          </w:p>
        </w:tc>
        <w:tc>
          <w:tcPr>
            <w:tcW w:w="655" w:type="dxa"/>
            <w:tcBorders>
              <w:top w:val="nil"/>
              <w:left w:val="nil"/>
              <w:bottom w:val="single" w:sz="4" w:space="0" w:color="auto"/>
              <w:right w:val="single" w:sz="4" w:space="0" w:color="auto"/>
            </w:tcBorders>
            <w:shd w:val="clear" w:color="000000" w:fill="FFFFFF"/>
            <w:vAlign w:val="center"/>
            <w:hideMark/>
          </w:tcPr>
          <w:p w14:paraId="7AA58041" w14:textId="77777777" w:rsidR="009917B1" w:rsidRDefault="009917B1" w:rsidP="00C0360B">
            <w:pPr>
              <w:jc w:val="center"/>
            </w:pPr>
            <w:r>
              <w:t>vnt.</w:t>
            </w:r>
          </w:p>
        </w:tc>
        <w:tc>
          <w:tcPr>
            <w:tcW w:w="620" w:type="dxa"/>
            <w:tcBorders>
              <w:top w:val="nil"/>
              <w:left w:val="nil"/>
              <w:bottom w:val="single" w:sz="4" w:space="0" w:color="auto"/>
              <w:right w:val="single" w:sz="4" w:space="0" w:color="auto"/>
            </w:tcBorders>
            <w:shd w:val="clear" w:color="000000" w:fill="FFFFFF"/>
            <w:vAlign w:val="center"/>
            <w:hideMark/>
          </w:tcPr>
          <w:p w14:paraId="3A362624" w14:textId="77777777" w:rsidR="009917B1" w:rsidRDefault="009917B1" w:rsidP="00C0360B">
            <w:pPr>
              <w:jc w:val="center"/>
            </w:pPr>
            <w:r>
              <w:t>20</w:t>
            </w:r>
          </w:p>
        </w:tc>
        <w:tc>
          <w:tcPr>
            <w:tcW w:w="875" w:type="dxa"/>
            <w:tcBorders>
              <w:top w:val="nil"/>
              <w:left w:val="nil"/>
              <w:bottom w:val="single" w:sz="4" w:space="0" w:color="auto"/>
              <w:right w:val="single" w:sz="4" w:space="0" w:color="auto"/>
            </w:tcBorders>
            <w:shd w:val="clear" w:color="000000" w:fill="FFFFFF"/>
            <w:noWrap/>
            <w:vAlign w:val="center"/>
            <w:hideMark/>
          </w:tcPr>
          <w:p w14:paraId="4A61F58A" w14:textId="77777777" w:rsidR="009917B1" w:rsidRDefault="009917B1" w:rsidP="00C0360B">
            <w:pPr>
              <w:jc w:val="center"/>
            </w:pPr>
          </w:p>
        </w:tc>
        <w:tc>
          <w:tcPr>
            <w:tcW w:w="880" w:type="dxa"/>
            <w:tcBorders>
              <w:top w:val="nil"/>
              <w:left w:val="nil"/>
              <w:bottom w:val="single" w:sz="4" w:space="0" w:color="auto"/>
              <w:right w:val="single" w:sz="4" w:space="0" w:color="auto"/>
            </w:tcBorders>
            <w:shd w:val="clear" w:color="000000" w:fill="FFFFFF"/>
            <w:vAlign w:val="center"/>
            <w:hideMark/>
          </w:tcPr>
          <w:p w14:paraId="2B158D65" w14:textId="77777777" w:rsidR="009917B1" w:rsidRDefault="009917B1" w:rsidP="00C0360B">
            <w:pPr>
              <w:jc w:val="center"/>
            </w:pPr>
          </w:p>
        </w:tc>
      </w:tr>
      <w:tr w:rsidR="009917B1" w14:paraId="5BCB2EB2" w14:textId="77777777" w:rsidTr="00C0360B">
        <w:trPr>
          <w:trHeight w:val="4244"/>
        </w:trPr>
        <w:tc>
          <w:tcPr>
            <w:tcW w:w="7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E54EE" w14:textId="77777777" w:rsidR="009917B1" w:rsidRDefault="009917B1" w:rsidP="00C0360B">
            <w:pPr>
              <w:jc w:val="center"/>
            </w:pPr>
            <w:r>
              <w:t>3</w:t>
            </w:r>
          </w:p>
        </w:tc>
        <w:tc>
          <w:tcPr>
            <w:tcW w:w="1493" w:type="dxa"/>
            <w:tcBorders>
              <w:top w:val="single" w:sz="4" w:space="0" w:color="auto"/>
              <w:left w:val="nil"/>
              <w:bottom w:val="single" w:sz="4" w:space="0" w:color="auto"/>
              <w:right w:val="single" w:sz="4" w:space="0" w:color="auto"/>
            </w:tcBorders>
            <w:shd w:val="clear" w:color="000000" w:fill="FFFFFF"/>
            <w:vAlign w:val="center"/>
            <w:hideMark/>
          </w:tcPr>
          <w:p w14:paraId="546CEC6D" w14:textId="77777777" w:rsidR="009917B1" w:rsidRDefault="009917B1" w:rsidP="00C0360B">
            <w:r>
              <w:t>Adapteris</w:t>
            </w:r>
          </w:p>
          <w:p w14:paraId="71B6F3C0" w14:textId="77777777" w:rsidR="009917B1" w:rsidRDefault="009917B1" w:rsidP="00C0360B"/>
        </w:tc>
        <w:tc>
          <w:tcPr>
            <w:tcW w:w="4871" w:type="dxa"/>
            <w:tcBorders>
              <w:top w:val="single" w:sz="4" w:space="0" w:color="auto"/>
              <w:left w:val="nil"/>
              <w:bottom w:val="single" w:sz="4" w:space="0" w:color="auto"/>
              <w:right w:val="single" w:sz="4" w:space="0" w:color="auto"/>
            </w:tcBorders>
            <w:shd w:val="clear" w:color="000000" w:fill="FFFFFF"/>
            <w:vAlign w:val="center"/>
            <w:hideMark/>
          </w:tcPr>
          <w:p w14:paraId="12B20B02" w14:textId="77777777" w:rsidR="009917B1" w:rsidRDefault="009917B1" w:rsidP="00C0360B">
            <w:r>
              <w:t>Elektros adapteris, skirtas 400 V, 32 A jungties prijungimui prie 400 V, 16 A įrangos. Tinkamas nuolatiniam naudojimui lauko sąlygomis. Techniniai reikalavimai: įėjimas – ne mažiau kaip 400 V, 32 A, 5 polių CEE tipo kištukas arba lygiavertis; išėjimas – ne mažiau kaip 400 V, 16 A, 5 polių CEE tipo lizdas arba lygiavertis; jungiamasis kabelis – ne trumpesnis kaip 1 m, skirtas naudoti lauko sąlygomis, atsparus mechaniniams poveikiams ir tinkamas eksploatuoti pramoninėje aplinkoje; adapteryje turi būti integruota 16 A išėjimo grandinės apsauga nuo perkrovos ir trumpojo jungimo, atitinkanti gaminio vardinius elektrinius parametrus ir taikomų standartų reikalavimus; apsaugos klasė – ne žemesnė kaip IP44; gaminys turi būti tinkamas naudoti lauko sąlygomis, atitikti taikomų Europos Sąjungos teisės aktų ir standartų reikalavimus bei būti paženklintas CE ženklu arba lygiaverčiu atitikties ženklinimu. Garantinis laikotarpis – ne trumpesnis kaip 12 mėnesių.</w:t>
            </w:r>
          </w:p>
        </w:tc>
        <w:tc>
          <w:tcPr>
            <w:tcW w:w="655" w:type="dxa"/>
            <w:tcBorders>
              <w:top w:val="single" w:sz="4" w:space="0" w:color="auto"/>
              <w:left w:val="nil"/>
              <w:bottom w:val="single" w:sz="4" w:space="0" w:color="auto"/>
              <w:right w:val="single" w:sz="4" w:space="0" w:color="auto"/>
            </w:tcBorders>
            <w:shd w:val="clear" w:color="000000" w:fill="FFFFFF"/>
            <w:vAlign w:val="center"/>
            <w:hideMark/>
          </w:tcPr>
          <w:p w14:paraId="535D01C0" w14:textId="77777777" w:rsidR="009917B1" w:rsidRDefault="009917B1" w:rsidP="00C0360B">
            <w:pPr>
              <w:jc w:val="center"/>
            </w:pPr>
            <w:r>
              <w:t>vnt.</w:t>
            </w:r>
          </w:p>
        </w:tc>
        <w:tc>
          <w:tcPr>
            <w:tcW w:w="620" w:type="dxa"/>
            <w:tcBorders>
              <w:top w:val="single" w:sz="4" w:space="0" w:color="auto"/>
              <w:left w:val="nil"/>
              <w:bottom w:val="single" w:sz="4" w:space="0" w:color="auto"/>
              <w:right w:val="single" w:sz="4" w:space="0" w:color="auto"/>
            </w:tcBorders>
            <w:shd w:val="clear" w:color="000000" w:fill="FFFFFF"/>
            <w:vAlign w:val="center"/>
            <w:hideMark/>
          </w:tcPr>
          <w:p w14:paraId="3218FB2B" w14:textId="77777777" w:rsidR="009917B1" w:rsidRDefault="009917B1" w:rsidP="00C0360B">
            <w:pPr>
              <w:jc w:val="center"/>
            </w:pPr>
            <w:r>
              <w:t>15</w:t>
            </w:r>
          </w:p>
        </w:tc>
        <w:tc>
          <w:tcPr>
            <w:tcW w:w="875" w:type="dxa"/>
            <w:tcBorders>
              <w:top w:val="single" w:sz="4" w:space="0" w:color="auto"/>
              <w:left w:val="nil"/>
              <w:bottom w:val="single" w:sz="4" w:space="0" w:color="auto"/>
              <w:right w:val="single" w:sz="4" w:space="0" w:color="auto"/>
            </w:tcBorders>
            <w:shd w:val="clear" w:color="000000" w:fill="FFFFFF"/>
            <w:noWrap/>
            <w:vAlign w:val="center"/>
            <w:hideMark/>
          </w:tcPr>
          <w:p w14:paraId="036860FD" w14:textId="77777777" w:rsidR="009917B1" w:rsidRDefault="009917B1" w:rsidP="00C0360B">
            <w:pPr>
              <w:jc w:val="center"/>
            </w:pPr>
          </w:p>
        </w:tc>
        <w:tc>
          <w:tcPr>
            <w:tcW w:w="880" w:type="dxa"/>
            <w:tcBorders>
              <w:top w:val="single" w:sz="4" w:space="0" w:color="auto"/>
              <w:left w:val="nil"/>
              <w:bottom w:val="single" w:sz="4" w:space="0" w:color="auto"/>
              <w:right w:val="single" w:sz="4" w:space="0" w:color="auto"/>
            </w:tcBorders>
            <w:shd w:val="clear" w:color="000000" w:fill="FFFFFF"/>
            <w:vAlign w:val="center"/>
            <w:hideMark/>
          </w:tcPr>
          <w:p w14:paraId="565D7E82" w14:textId="77777777" w:rsidR="009917B1" w:rsidRDefault="009917B1" w:rsidP="00C0360B">
            <w:pPr>
              <w:jc w:val="center"/>
            </w:pPr>
          </w:p>
        </w:tc>
      </w:tr>
      <w:tr w:rsidR="009917B1" w14:paraId="0ACAE88A" w14:textId="77777777" w:rsidTr="00C0360B">
        <w:trPr>
          <w:trHeight w:val="4244"/>
        </w:trPr>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1CCB4AF7" w14:textId="77777777" w:rsidR="009917B1" w:rsidRDefault="009917B1" w:rsidP="00C0360B">
            <w:pPr>
              <w:jc w:val="center"/>
            </w:pPr>
            <w:r>
              <w:lastRenderedPageBreak/>
              <w:t>4</w:t>
            </w:r>
          </w:p>
        </w:tc>
        <w:tc>
          <w:tcPr>
            <w:tcW w:w="1493" w:type="dxa"/>
            <w:tcBorders>
              <w:top w:val="single" w:sz="4" w:space="0" w:color="auto"/>
              <w:left w:val="nil"/>
              <w:bottom w:val="single" w:sz="4" w:space="0" w:color="auto"/>
              <w:right w:val="single" w:sz="4" w:space="0" w:color="auto"/>
            </w:tcBorders>
            <w:shd w:val="clear" w:color="000000" w:fill="FFFFFF"/>
            <w:vAlign w:val="center"/>
          </w:tcPr>
          <w:p w14:paraId="3E07B993" w14:textId="77777777" w:rsidR="009917B1" w:rsidRDefault="009917B1" w:rsidP="00C0360B">
            <w:r>
              <w:t>Elektros paskirstymo dėžė</w:t>
            </w:r>
          </w:p>
          <w:p w14:paraId="4967200F" w14:textId="77777777" w:rsidR="009917B1" w:rsidRDefault="009917B1" w:rsidP="00C0360B"/>
        </w:tc>
        <w:tc>
          <w:tcPr>
            <w:tcW w:w="4871" w:type="dxa"/>
            <w:tcBorders>
              <w:top w:val="single" w:sz="4" w:space="0" w:color="auto"/>
              <w:left w:val="nil"/>
              <w:bottom w:val="single" w:sz="4" w:space="0" w:color="auto"/>
              <w:right w:val="single" w:sz="4" w:space="0" w:color="auto"/>
            </w:tcBorders>
            <w:shd w:val="clear" w:color="000000" w:fill="FFFFFF"/>
            <w:vAlign w:val="center"/>
          </w:tcPr>
          <w:p w14:paraId="1445A942" w14:textId="77777777" w:rsidR="009917B1" w:rsidRDefault="009917B1" w:rsidP="00C0360B">
            <w:r>
              <w:t>Elektros paskirstymo dėžė, skirta profesionaliam ir nuolatiniam naudojimui lauko sąlygomis. Įėjimas – ne trumpesnis kaip 2 m ilgio maitinimo kabelis, tinkamas naudoti lauko sąlygomis, atsparus mechaniniams poveikiams ir ne žemesnės kaip 5 × 6 mm² konstrukcijos arba lygiavertis, su 400 V, 32 A, 5 polių CEE tipo kištuku arba lygiaverčiu. Išėjimai: ne mažiau kaip 6 vnt. 230 V, 16 A lizdai su apsauginiais dangteliais; ne mažiau kaip 2 vnt. 400 V, 16 A, 5 polių CEE lizdai su dangteliais; ne mažiau kaip 2 vnt. 400 V, 32 A, 5 polių CEE lizdai su dangteliais; ne mažiau kaip 2 vnt. USB 5 V / 2,1 A lizdai arba lygiaverčiai. Turi būti fazių indikacija (L1, L2, L3 arba lygiavertė). Garantinis laikotarpis – ne trumpesnis kaip 12 mėnesių.</w:t>
            </w:r>
          </w:p>
        </w:tc>
        <w:tc>
          <w:tcPr>
            <w:tcW w:w="655" w:type="dxa"/>
            <w:tcBorders>
              <w:top w:val="single" w:sz="4" w:space="0" w:color="auto"/>
              <w:left w:val="nil"/>
              <w:bottom w:val="single" w:sz="4" w:space="0" w:color="auto"/>
              <w:right w:val="single" w:sz="4" w:space="0" w:color="auto"/>
            </w:tcBorders>
            <w:shd w:val="clear" w:color="000000" w:fill="FFFFFF"/>
            <w:vAlign w:val="center"/>
          </w:tcPr>
          <w:p w14:paraId="4F7AF93B" w14:textId="77777777" w:rsidR="009917B1" w:rsidRDefault="009917B1" w:rsidP="00C0360B">
            <w:pPr>
              <w:jc w:val="center"/>
            </w:pPr>
            <w:r>
              <w:t>vnt.</w:t>
            </w:r>
          </w:p>
        </w:tc>
        <w:tc>
          <w:tcPr>
            <w:tcW w:w="620" w:type="dxa"/>
            <w:tcBorders>
              <w:top w:val="single" w:sz="4" w:space="0" w:color="auto"/>
              <w:left w:val="nil"/>
              <w:bottom w:val="single" w:sz="4" w:space="0" w:color="auto"/>
              <w:right w:val="single" w:sz="4" w:space="0" w:color="auto"/>
            </w:tcBorders>
            <w:shd w:val="clear" w:color="000000" w:fill="FFFFFF"/>
            <w:vAlign w:val="center"/>
          </w:tcPr>
          <w:p w14:paraId="3BB82560" w14:textId="77777777" w:rsidR="009917B1" w:rsidRDefault="009917B1" w:rsidP="00C0360B">
            <w:pPr>
              <w:jc w:val="center"/>
            </w:pPr>
            <w:r>
              <w:t>10</w:t>
            </w:r>
          </w:p>
        </w:tc>
        <w:tc>
          <w:tcPr>
            <w:tcW w:w="875" w:type="dxa"/>
            <w:tcBorders>
              <w:top w:val="single" w:sz="4" w:space="0" w:color="auto"/>
              <w:left w:val="nil"/>
              <w:bottom w:val="single" w:sz="4" w:space="0" w:color="auto"/>
              <w:right w:val="single" w:sz="4" w:space="0" w:color="auto"/>
            </w:tcBorders>
            <w:shd w:val="clear" w:color="000000" w:fill="FFFFFF"/>
            <w:noWrap/>
            <w:vAlign w:val="center"/>
          </w:tcPr>
          <w:p w14:paraId="227E9EA8" w14:textId="77777777" w:rsidR="009917B1" w:rsidRDefault="009917B1" w:rsidP="00C0360B">
            <w:pPr>
              <w:jc w:val="center"/>
            </w:pPr>
          </w:p>
        </w:tc>
        <w:tc>
          <w:tcPr>
            <w:tcW w:w="880" w:type="dxa"/>
            <w:tcBorders>
              <w:top w:val="single" w:sz="4" w:space="0" w:color="auto"/>
              <w:left w:val="nil"/>
              <w:bottom w:val="single" w:sz="4" w:space="0" w:color="auto"/>
              <w:right w:val="single" w:sz="4" w:space="0" w:color="auto"/>
            </w:tcBorders>
            <w:shd w:val="clear" w:color="000000" w:fill="FFFFFF"/>
            <w:vAlign w:val="center"/>
          </w:tcPr>
          <w:p w14:paraId="6E995125" w14:textId="77777777" w:rsidR="009917B1" w:rsidRDefault="009917B1" w:rsidP="00C0360B">
            <w:pPr>
              <w:jc w:val="center"/>
            </w:pPr>
          </w:p>
        </w:tc>
      </w:tr>
      <w:tr w:rsidR="009917B1" w14:paraId="42D786FC" w14:textId="77777777" w:rsidTr="00C0360B">
        <w:trPr>
          <w:trHeight w:val="4244"/>
        </w:trPr>
        <w:tc>
          <w:tcPr>
            <w:tcW w:w="725" w:type="dxa"/>
            <w:tcBorders>
              <w:top w:val="single" w:sz="4" w:space="0" w:color="auto"/>
              <w:left w:val="single" w:sz="4" w:space="0" w:color="auto"/>
              <w:bottom w:val="single" w:sz="4" w:space="0" w:color="auto"/>
              <w:right w:val="single" w:sz="4" w:space="0" w:color="auto"/>
            </w:tcBorders>
            <w:shd w:val="clear" w:color="auto" w:fill="auto"/>
            <w:vAlign w:val="center"/>
          </w:tcPr>
          <w:p w14:paraId="25479F6C" w14:textId="77777777" w:rsidR="009917B1" w:rsidRDefault="009917B1" w:rsidP="00C0360B">
            <w:pPr>
              <w:jc w:val="center"/>
            </w:pPr>
            <w:r>
              <w:t>5</w:t>
            </w:r>
          </w:p>
        </w:tc>
        <w:tc>
          <w:tcPr>
            <w:tcW w:w="1493" w:type="dxa"/>
            <w:tcBorders>
              <w:top w:val="single" w:sz="4" w:space="0" w:color="auto"/>
              <w:left w:val="nil"/>
              <w:bottom w:val="single" w:sz="4" w:space="0" w:color="auto"/>
              <w:right w:val="single" w:sz="4" w:space="0" w:color="auto"/>
            </w:tcBorders>
            <w:shd w:val="clear" w:color="000000" w:fill="FFFFFF"/>
            <w:vAlign w:val="center"/>
          </w:tcPr>
          <w:p w14:paraId="47BBA8EF" w14:textId="77777777" w:rsidR="009917B1" w:rsidRDefault="009917B1" w:rsidP="00C0360B">
            <w:r>
              <w:t>Adapteris</w:t>
            </w:r>
          </w:p>
          <w:p w14:paraId="054CA33B" w14:textId="77777777" w:rsidR="009917B1" w:rsidRDefault="009917B1" w:rsidP="00C0360B"/>
        </w:tc>
        <w:tc>
          <w:tcPr>
            <w:tcW w:w="4871" w:type="dxa"/>
            <w:tcBorders>
              <w:top w:val="single" w:sz="4" w:space="0" w:color="auto"/>
              <w:left w:val="nil"/>
              <w:bottom w:val="single" w:sz="4" w:space="0" w:color="auto"/>
              <w:right w:val="single" w:sz="4" w:space="0" w:color="auto"/>
            </w:tcBorders>
            <w:shd w:val="clear" w:color="000000" w:fill="FFFFFF"/>
            <w:vAlign w:val="center"/>
          </w:tcPr>
          <w:p w14:paraId="681ED012" w14:textId="77777777" w:rsidR="009917B1" w:rsidRDefault="009917B1" w:rsidP="00C0360B">
            <w:r>
              <w:t>Elektros adapteris (CEE tipo), skirtas 400 V, 63 A jungties konvertavimui į 400 V, 32 A jungtį. Tinkamas profesionaliam ir nuolatiniam naudojimui lauko sąlygomis. Techniniai reikalavimai: įėjimas – 400 V, 63 A, 5 polių CEE tipo kištukas arba lygiavertis (pagal EN 60309 arba lygiavertį standartą); išėjimas – 400 V, 32 A, 5 polių CEE tipo lizdas arba lygiavertis; jungiamasis kabelis – ne trumpesnis kaip 1 m, guminis arba lygiavertės konstrukcijos kabelis, atsparus alyvai, UV spinduliams ir mechaniniams poveikiams, tinkamas naudoti lauko sąlygomis. Adapteryje turi būti integruotas atskiras apsaugos modulis (automatinis jungiklis / relė), užtikrinantis 32 A išėjimo grandinės apsaugą nuo perkrovos ir trumpojo jungimo pagal vardinius parametrus. Apsaugos modulis turi būti parinktas pagal 32 A apkrovą ir užtikrinti pilną išėjimo grandinės saugą. Apsaugos klasė – ne žemesnė kaip IP44. Korpusas turi būti atsparus smūgiams, liepsnai ir UV spinduliams. Gaminys turi būti tinkamas naudoti lauko ir pramonės sąlygomis. Gaminys turi atitikti taikomų Europos Sąjungos teisės aktų ir standartų reikalavimus bei būti paženklintas CE ženklu arba lygiaverčiu atitikties ženklinimu. Garantinis laikotarpis – ne trumpesnis kaip 12 mėnesių.</w:t>
            </w:r>
          </w:p>
        </w:tc>
        <w:tc>
          <w:tcPr>
            <w:tcW w:w="655" w:type="dxa"/>
            <w:tcBorders>
              <w:top w:val="single" w:sz="4" w:space="0" w:color="auto"/>
              <w:left w:val="nil"/>
              <w:bottom w:val="single" w:sz="4" w:space="0" w:color="auto"/>
              <w:right w:val="single" w:sz="4" w:space="0" w:color="auto"/>
            </w:tcBorders>
            <w:shd w:val="clear" w:color="000000" w:fill="FFFFFF"/>
            <w:vAlign w:val="center"/>
          </w:tcPr>
          <w:p w14:paraId="012120E1" w14:textId="77777777" w:rsidR="009917B1" w:rsidRDefault="009917B1" w:rsidP="00C0360B">
            <w:pPr>
              <w:jc w:val="center"/>
            </w:pPr>
            <w:r>
              <w:t>vnt.</w:t>
            </w:r>
          </w:p>
        </w:tc>
        <w:tc>
          <w:tcPr>
            <w:tcW w:w="620" w:type="dxa"/>
            <w:tcBorders>
              <w:top w:val="single" w:sz="4" w:space="0" w:color="auto"/>
              <w:left w:val="nil"/>
              <w:bottom w:val="single" w:sz="4" w:space="0" w:color="auto"/>
              <w:right w:val="single" w:sz="4" w:space="0" w:color="auto"/>
            </w:tcBorders>
            <w:shd w:val="clear" w:color="000000" w:fill="FFFFFF"/>
            <w:vAlign w:val="center"/>
          </w:tcPr>
          <w:p w14:paraId="6EF6FF26" w14:textId="77777777" w:rsidR="009917B1" w:rsidRDefault="009917B1" w:rsidP="00C0360B">
            <w:pPr>
              <w:jc w:val="center"/>
            </w:pPr>
            <w:r>
              <w:t>5</w:t>
            </w:r>
          </w:p>
        </w:tc>
        <w:tc>
          <w:tcPr>
            <w:tcW w:w="875" w:type="dxa"/>
            <w:tcBorders>
              <w:top w:val="single" w:sz="4" w:space="0" w:color="auto"/>
              <w:left w:val="nil"/>
              <w:bottom w:val="single" w:sz="4" w:space="0" w:color="auto"/>
              <w:right w:val="single" w:sz="4" w:space="0" w:color="auto"/>
            </w:tcBorders>
            <w:shd w:val="clear" w:color="000000" w:fill="FFFFFF"/>
            <w:noWrap/>
            <w:vAlign w:val="center"/>
          </w:tcPr>
          <w:p w14:paraId="14A7437A" w14:textId="77777777" w:rsidR="009917B1" w:rsidRDefault="009917B1" w:rsidP="00C0360B">
            <w:pPr>
              <w:jc w:val="center"/>
            </w:pPr>
          </w:p>
        </w:tc>
        <w:tc>
          <w:tcPr>
            <w:tcW w:w="880" w:type="dxa"/>
            <w:tcBorders>
              <w:top w:val="single" w:sz="4" w:space="0" w:color="auto"/>
              <w:left w:val="nil"/>
              <w:bottom w:val="single" w:sz="4" w:space="0" w:color="auto"/>
              <w:right w:val="single" w:sz="4" w:space="0" w:color="auto"/>
            </w:tcBorders>
            <w:shd w:val="clear" w:color="000000" w:fill="FFFFFF"/>
            <w:vAlign w:val="center"/>
          </w:tcPr>
          <w:p w14:paraId="6FD46946" w14:textId="77777777" w:rsidR="009917B1" w:rsidRDefault="009917B1" w:rsidP="00C0360B">
            <w:pPr>
              <w:jc w:val="center"/>
            </w:pPr>
          </w:p>
        </w:tc>
      </w:tr>
      <w:tr w:rsidR="009917B1" w14:paraId="3FE3D1BA" w14:textId="77777777" w:rsidTr="00C0360B">
        <w:trPr>
          <w:trHeight w:val="3109"/>
        </w:trPr>
        <w:tc>
          <w:tcPr>
            <w:tcW w:w="725" w:type="dxa"/>
            <w:tcBorders>
              <w:top w:val="nil"/>
              <w:left w:val="single" w:sz="4" w:space="0" w:color="auto"/>
              <w:bottom w:val="single" w:sz="4" w:space="0" w:color="auto"/>
              <w:right w:val="single" w:sz="4" w:space="0" w:color="auto"/>
            </w:tcBorders>
            <w:shd w:val="clear" w:color="auto" w:fill="auto"/>
            <w:vAlign w:val="center"/>
            <w:hideMark/>
          </w:tcPr>
          <w:p w14:paraId="61624265" w14:textId="77777777" w:rsidR="009917B1" w:rsidRDefault="009917B1" w:rsidP="00C0360B">
            <w:pPr>
              <w:jc w:val="center"/>
            </w:pPr>
            <w:r>
              <w:lastRenderedPageBreak/>
              <w:t>6</w:t>
            </w:r>
          </w:p>
        </w:tc>
        <w:tc>
          <w:tcPr>
            <w:tcW w:w="1493" w:type="dxa"/>
            <w:tcBorders>
              <w:top w:val="nil"/>
              <w:left w:val="nil"/>
              <w:bottom w:val="nil"/>
              <w:right w:val="nil"/>
            </w:tcBorders>
            <w:shd w:val="clear" w:color="auto" w:fill="auto"/>
            <w:vAlign w:val="center"/>
            <w:hideMark/>
          </w:tcPr>
          <w:p w14:paraId="1199F629" w14:textId="77777777" w:rsidR="009917B1" w:rsidRDefault="009917B1" w:rsidP="00C0360B">
            <w:r>
              <w:t>Adapteris</w:t>
            </w:r>
          </w:p>
          <w:p w14:paraId="5A8531B9" w14:textId="77777777" w:rsidR="009917B1" w:rsidRDefault="009917B1" w:rsidP="00C0360B"/>
        </w:tc>
        <w:tc>
          <w:tcPr>
            <w:tcW w:w="4871" w:type="dxa"/>
            <w:tcBorders>
              <w:top w:val="nil"/>
              <w:left w:val="single" w:sz="4" w:space="0" w:color="auto"/>
              <w:bottom w:val="single" w:sz="4" w:space="0" w:color="auto"/>
              <w:right w:val="single" w:sz="4" w:space="0" w:color="auto"/>
            </w:tcBorders>
            <w:shd w:val="clear" w:color="000000" w:fill="FFFFFF"/>
            <w:vAlign w:val="center"/>
            <w:hideMark/>
          </w:tcPr>
          <w:p w14:paraId="42D17434" w14:textId="77777777" w:rsidR="009917B1" w:rsidRDefault="009917B1" w:rsidP="00C0360B">
            <w:r>
              <w:t>Elektros galios skirstytuvas (trišakis adapteris), skirtas 400 V trifazės elektros energijos paskirstymui. Tinkamas profesionaliam ir nuolatiniam naudojimui lauko sąlygomis. Techniniai reikalavimai: įėjimas – 400 V, 32 A, 5 polių CEE tipo kištukas arba lygiavertis; išėjimai – ne mažiau kaip 3 vnt. 400 V, 32 A, 5 polių CEE tipo lizdai su apsauginiais dangteliais arba lygiaverčiai; vardinė srovė – ne mažesnė kaip 32 A; vardinė įtampa – 400 V, 50/60 Hz. Garantinis laikotarpis – ne trumpesnis kaip 12 mėnesių.</w:t>
            </w:r>
          </w:p>
        </w:tc>
        <w:tc>
          <w:tcPr>
            <w:tcW w:w="655" w:type="dxa"/>
            <w:tcBorders>
              <w:top w:val="nil"/>
              <w:left w:val="nil"/>
              <w:bottom w:val="single" w:sz="4" w:space="0" w:color="auto"/>
              <w:right w:val="single" w:sz="4" w:space="0" w:color="auto"/>
            </w:tcBorders>
            <w:shd w:val="clear" w:color="000000" w:fill="FFFFFF"/>
            <w:vAlign w:val="center"/>
            <w:hideMark/>
          </w:tcPr>
          <w:p w14:paraId="7863BB3D" w14:textId="77777777" w:rsidR="009917B1" w:rsidRDefault="009917B1" w:rsidP="00C0360B">
            <w:pPr>
              <w:jc w:val="center"/>
            </w:pPr>
            <w:r>
              <w:t>vnt.</w:t>
            </w:r>
          </w:p>
        </w:tc>
        <w:tc>
          <w:tcPr>
            <w:tcW w:w="620" w:type="dxa"/>
            <w:tcBorders>
              <w:top w:val="nil"/>
              <w:left w:val="nil"/>
              <w:bottom w:val="single" w:sz="4" w:space="0" w:color="auto"/>
              <w:right w:val="single" w:sz="4" w:space="0" w:color="auto"/>
            </w:tcBorders>
            <w:shd w:val="clear" w:color="000000" w:fill="FFFFFF"/>
            <w:vAlign w:val="center"/>
            <w:hideMark/>
          </w:tcPr>
          <w:p w14:paraId="251316E3" w14:textId="77777777" w:rsidR="009917B1" w:rsidRDefault="009917B1" w:rsidP="00C0360B">
            <w:pPr>
              <w:jc w:val="center"/>
            </w:pPr>
            <w:r>
              <w:t>10</w:t>
            </w:r>
          </w:p>
        </w:tc>
        <w:tc>
          <w:tcPr>
            <w:tcW w:w="875" w:type="dxa"/>
            <w:tcBorders>
              <w:top w:val="nil"/>
              <w:left w:val="nil"/>
              <w:bottom w:val="single" w:sz="4" w:space="0" w:color="auto"/>
              <w:right w:val="single" w:sz="4" w:space="0" w:color="auto"/>
            </w:tcBorders>
            <w:shd w:val="clear" w:color="000000" w:fill="FFFFFF"/>
            <w:noWrap/>
            <w:vAlign w:val="center"/>
            <w:hideMark/>
          </w:tcPr>
          <w:p w14:paraId="6861C287" w14:textId="77777777" w:rsidR="009917B1" w:rsidRDefault="009917B1" w:rsidP="00C0360B">
            <w:pPr>
              <w:jc w:val="center"/>
            </w:pPr>
          </w:p>
        </w:tc>
        <w:tc>
          <w:tcPr>
            <w:tcW w:w="880" w:type="dxa"/>
            <w:tcBorders>
              <w:top w:val="nil"/>
              <w:left w:val="nil"/>
              <w:bottom w:val="single" w:sz="4" w:space="0" w:color="auto"/>
              <w:right w:val="single" w:sz="4" w:space="0" w:color="auto"/>
            </w:tcBorders>
            <w:shd w:val="clear" w:color="000000" w:fill="FFFFFF"/>
            <w:vAlign w:val="center"/>
            <w:hideMark/>
          </w:tcPr>
          <w:p w14:paraId="09709A80" w14:textId="77777777" w:rsidR="009917B1" w:rsidRDefault="009917B1" w:rsidP="00C0360B">
            <w:pPr>
              <w:jc w:val="center"/>
            </w:pPr>
          </w:p>
        </w:tc>
      </w:tr>
      <w:tr w:rsidR="009917B1" w14:paraId="64E2F441" w14:textId="77777777" w:rsidTr="00C0360B">
        <w:trPr>
          <w:trHeight w:val="302"/>
        </w:trPr>
        <w:tc>
          <w:tcPr>
            <w:tcW w:w="725" w:type="dxa"/>
            <w:tcBorders>
              <w:top w:val="nil"/>
              <w:left w:val="single" w:sz="4" w:space="0" w:color="auto"/>
              <w:bottom w:val="single" w:sz="4" w:space="0" w:color="auto"/>
              <w:right w:val="single" w:sz="4" w:space="0" w:color="auto"/>
            </w:tcBorders>
            <w:shd w:val="clear" w:color="auto" w:fill="auto"/>
            <w:vAlign w:val="center"/>
            <w:hideMark/>
          </w:tcPr>
          <w:p w14:paraId="21F1B360" w14:textId="77777777" w:rsidR="009917B1" w:rsidRDefault="009917B1" w:rsidP="00C0360B">
            <w:pPr>
              <w:jc w:val="center"/>
              <w:rPr>
                <w:color w:val="FF0000"/>
              </w:rPr>
            </w:pPr>
            <w:r>
              <w:rPr>
                <w:color w:val="FF0000"/>
              </w:rPr>
              <w:t> </w:t>
            </w:r>
          </w:p>
        </w:tc>
        <w:tc>
          <w:tcPr>
            <w:tcW w:w="1493" w:type="dxa"/>
            <w:tcBorders>
              <w:top w:val="single" w:sz="4" w:space="0" w:color="auto"/>
              <w:left w:val="nil"/>
              <w:bottom w:val="single" w:sz="4" w:space="0" w:color="auto"/>
              <w:right w:val="single" w:sz="4" w:space="0" w:color="auto"/>
            </w:tcBorders>
            <w:shd w:val="clear" w:color="auto" w:fill="auto"/>
            <w:noWrap/>
            <w:vAlign w:val="bottom"/>
            <w:hideMark/>
          </w:tcPr>
          <w:p w14:paraId="507B2571" w14:textId="77777777" w:rsidR="009917B1" w:rsidRDefault="009917B1" w:rsidP="00C0360B">
            <w:pPr>
              <w:jc w:val="center"/>
            </w:pPr>
            <w:r>
              <w:t> </w:t>
            </w:r>
          </w:p>
        </w:tc>
        <w:tc>
          <w:tcPr>
            <w:tcW w:w="7021"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1F584967" w14:textId="77777777" w:rsidR="009917B1" w:rsidRDefault="009917B1" w:rsidP="00C0360B">
            <w:pPr>
              <w:jc w:val="right"/>
              <w:rPr>
                <w:b/>
                <w:bCs/>
              </w:rPr>
            </w:pPr>
            <w:r>
              <w:rPr>
                <w:b/>
                <w:bCs/>
              </w:rPr>
              <w:t>IŠ VISO € su PVM:</w:t>
            </w:r>
          </w:p>
        </w:tc>
        <w:tc>
          <w:tcPr>
            <w:tcW w:w="880" w:type="dxa"/>
            <w:tcBorders>
              <w:top w:val="nil"/>
              <w:left w:val="nil"/>
              <w:bottom w:val="single" w:sz="4" w:space="0" w:color="auto"/>
              <w:right w:val="single" w:sz="4" w:space="0" w:color="auto"/>
            </w:tcBorders>
            <w:shd w:val="clear" w:color="auto" w:fill="auto"/>
            <w:noWrap/>
            <w:vAlign w:val="bottom"/>
            <w:hideMark/>
          </w:tcPr>
          <w:p w14:paraId="1904B6BB" w14:textId="77777777" w:rsidR="009917B1" w:rsidRDefault="009917B1" w:rsidP="00C0360B"/>
        </w:tc>
      </w:tr>
    </w:tbl>
    <w:p w14:paraId="2FE51BDE" w14:textId="77777777" w:rsidR="00486145" w:rsidRDefault="00486145"/>
    <w:sectPr w:rsidR="0048614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D13"/>
    <w:rsid w:val="00056D13"/>
    <w:rsid w:val="00211725"/>
    <w:rsid w:val="003F16C0"/>
    <w:rsid w:val="00486145"/>
    <w:rsid w:val="00513429"/>
    <w:rsid w:val="009917B1"/>
    <w:rsid w:val="00A63143"/>
    <w:rsid w:val="00E60C51"/>
    <w:rsid w:val="00E655DA"/>
    <w:rsid w:val="00E86B54"/>
    <w:rsid w:val="00F379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C1E90"/>
  <w15:chartTrackingRefBased/>
  <w15:docId w15:val="{0A23BD61-D58E-4080-AD4C-3E4599EE1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D13"/>
    <w:pPr>
      <w:spacing w:after="0" w:line="240" w:lineRule="auto"/>
    </w:pPr>
    <w:rPr>
      <w:rFonts w:ascii="Times New Roman" w:eastAsia="Times New Roman" w:hAnsi="Times New Roman" w:cs="Times New Roman"/>
      <w:kern w:val="0"/>
      <w:lang w:eastAsia="lt-LT"/>
      <w14:ligatures w14:val="none"/>
    </w:rPr>
  </w:style>
  <w:style w:type="paragraph" w:styleId="Heading1">
    <w:name w:val="heading 1"/>
    <w:basedOn w:val="Normal"/>
    <w:next w:val="Normal"/>
    <w:link w:val="Heading1Char"/>
    <w:uiPriority w:val="9"/>
    <w:qFormat/>
    <w:rsid w:val="00056D1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056D1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056D1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056D13"/>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056D13"/>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056D1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056D1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056D1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056D1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D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6D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6D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6D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6D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6D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6D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6D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6D13"/>
    <w:rPr>
      <w:rFonts w:eastAsiaTheme="majorEastAsia" w:cstheme="majorBidi"/>
      <w:color w:val="272727" w:themeColor="text1" w:themeTint="D8"/>
    </w:rPr>
  </w:style>
  <w:style w:type="paragraph" w:styleId="Title">
    <w:name w:val="Title"/>
    <w:basedOn w:val="Normal"/>
    <w:next w:val="Normal"/>
    <w:link w:val="TitleChar"/>
    <w:uiPriority w:val="10"/>
    <w:qFormat/>
    <w:rsid w:val="00056D1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056D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6D1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056D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6D1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056D13"/>
    <w:rPr>
      <w:i/>
      <w:iCs/>
      <w:color w:val="404040" w:themeColor="text1" w:themeTint="BF"/>
    </w:rPr>
  </w:style>
  <w:style w:type="paragraph" w:styleId="ListParagraph">
    <w:name w:val="List Paragraph"/>
    <w:basedOn w:val="Normal"/>
    <w:uiPriority w:val="34"/>
    <w:qFormat/>
    <w:rsid w:val="00056D13"/>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056D13"/>
    <w:rPr>
      <w:i/>
      <w:iCs/>
      <w:color w:val="0F4761" w:themeColor="accent1" w:themeShade="BF"/>
    </w:rPr>
  </w:style>
  <w:style w:type="paragraph" w:styleId="IntenseQuote">
    <w:name w:val="Intense Quote"/>
    <w:basedOn w:val="Normal"/>
    <w:next w:val="Normal"/>
    <w:link w:val="IntenseQuoteChar"/>
    <w:uiPriority w:val="30"/>
    <w:qFormat/>
    <w:rsid w:val="00056D1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056D13"/>
    <w:rPr>
      <w:i/>
      <w:iCs/>
      <w:color w:val="0F4761" w:themeColor="accent1" w:themeShade="BF"/>
    </w:rPr>
  </w:style>
  <w:style w:type="character" w:styleId="IntenseReference">
    <w:name w:val="Intense Reference"/>
    <w:basedOn w:val="DefaultParagraphFont"/>
    <w:uiPriority w:val="32"/>
    <w:qFormat/>
    <w:rsid w:val="00056D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4140</Words>
  <Characters>2360</Characters>
  <Application>Microsoft Office Word</Application>
  <DocSecurity>0</DocSecurity>
  <Lines>19</Lines>
  <Paragraphs>12</Paragraphs>
  <ScaleCrop>false</ScaleCrop>
  <Company>LK</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Simonas Rudys</dc:creator>
  <cp:keywords/>
  <dc:description/>
  <cp:lastModifiedBy>Simonas Rudys</cp:lastModifiedBy>
  <cp:revision>6</cp:revision>
  <dcterms:created xsi:type="dcterms:W3CDTF">2026-08-04T07:50:00Z</dcterms:created>
  <dcterms:modified xsi:type="dcterms:W3CDTF">2026-08-06T10:21:00Z</dcterms:modified>
</cp:coreProperties>
</file>