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ragraph"/>
        <w:spacing w:beforeAutospacing="0" w:before="0" w:afterAutospacing="0" w:after="0"/>
        <w:ind w:firstLine="720" w:left="4320"/>
        <w:textAlignment w:val="baseline"/>
        <w:rPr>
          <w:rFonts w:ascii="Segoe UI" w:hAnsi="Segoe UI" w:cs="Segoe UI"/>
          <w:sz w:val="18"/>
          <w:szCs w:val="18"/>
        </w:rPr>
      </w:pPr>
      <w:r>
        <w:rPr>
          <w:rStyle w:val="normaltextrun"/>
          <w:lang w:val="lt-LT"/>
        </w:rPr>
        <w:t xml:space="preserve"> </w:t>
      </w:r>
      <w:r>
        <w:rPr>
          <w:rStyle w:val="normaltextrun"/>
          <w:lang w:val="lt-LT"/>
        </w:rPr>
        <w:t>PATVIRTINTA </w:t>
      </w:r>
      <w:r>
        <w:rPr>
          <w:rStyle w:val="eop"/>
        </w:rPr>
        <w:t> </w:t>
      </w:r>
    </w:p>
    <w:p>
      <w:pPr>
        <w:pStyle w:val="paragraph"/>
        <w:spacing w:beforeAutospacing="0" w:before="0" w:afterAutospacing="0" w:after="0"/>
        <w:ind w:firstLine="720" w:left="4320"/>
        <w:textAlignment w:val="baseline"/>
        <w:rPr>
          <w:rFonts w:ascii="Segoe UI" w:hAnsi="Segoe UI" w:cs="Segoe UI"/>
          <w:sz w:val="18"/>
          <w:szCs w:val="18"/>
        </w:rPr>
      </w:pPr>
      <w:r>
        <w:rPr>
          <w:rStyle w:val="normaltextrun"/>
          <w:lang w:val="lt-LT"/>
        </w:rPr>
        <w:t>Viešųjų pirkimų tarnybos direktoriaus </w:t>
      </w:r>
      <w:r>
        <w:rPr>
          <w:rStyle w:val="eop"/>
        </w:rPr>
        <w:t> </w:t>
      </w:r>
    </w:p>
    <w:p>
      <w:pPr>
        <w:pStyle w:val="paragraph"/>
        <w:spacing w:beforeAutospacing="0" w:before="0" w:afterAutospacing="0" w:after="0"/>
        <w:ind w:left="5040"/>
        <w:textAlignment w:val="baseline"/>
        <w:rPr>
          <w:rFonts w:ascii="Segoe UI" w:hAnsi="Segoe UI" w:cs="Segoe UI"/>
          <w:sz w:val="18"/>
          <w:szCs w:val="18"/>
        </w:rPr>
      </w:pPr>
      <w:r>
        <w:rPr>
          <w:rStyle w:val="normaltextrun"/>
          <w:lang w:val="lt-LT"/>
        </w:rPr>
        <w:t>2024 m. gruodžio 30 d. įsakymu Nr. 1S-209 </w:t>
      </w:r>
      <w:r>
        <w:rPr>
          <w:rStyle w:val="eop"/>
        </w:rPr>
        <w:t> </w:t>
      </w:r>
    </w:p>
    <w:p>
      <w:pPr>
        <w:pStyle w:val="paragraph"/>
        <w:spacing w:beforeAutospacing="0" w:before="0" w:afterAutospacing="0" w:after="0"/>
        <w:ind w:firstLine="4815" w:left="210"/>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pPr>
        <w:pStyle w:val="paragraph"/>
        <w:spacing w:beforeAutospacing="0" w:before="0" w:afterAutospacing="0" w:after="0"/>
        <w:ind w:left="5040"/>
        <w:textAlignment w:val="baseline"/>
        <w:rPr>
          <w:rFonts w:ascii="Segoe UI" w:hAnsi="Segoe UI" w:cs="Segoe UI"/>
          <w:sz w:val="18"/>
          <w:szCs w:val="18"/>
        </w:rPr>
      </w:pPr>
      <w:r>
        <w:rPr>
          <w:rStyle w:val="normaltextrun"/>
          <w:color w:val="000000"/>
          <w:lang w:val="lt-LT"/>
        </w:rPr>
        <w:t>2025 m. balandžio 17 d. įsakymo Nr. 1S-52 </w:t>
      </w:r>
      <w:r>
        <w:rPr>
          <w:rStyle w:val="eop"/>
          <w:color w:val="000000"/>
        </w:rPr>
        <w:t> </w:t>
      </w:r>
    </w:p>
    <w:p>
      <w:pPr>
        <w:pStyle w:val="paragraph"/>
        <w:spacing w:beforeAutospacing="0" w:before="0" w:afterAutospacing="0" w:after="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pPr>
        <w:pStyle w:val="Normal"/>
        <w:tabs>
          <w:tab w:val="clear" w:pos="1296"/>
          <w:tab w:val="left" w:pos="7692" w:leader="none"/>
        </w:tabs>
        <w:textAlignment w:val="center"/>
        <w:rPr>
          <w:szCs w:val="24"/>
        </w:rPr>
      </w:pPr>
      <w:r>
        <w:rPr>
          <w:szCs w:val="24"/>
        </w:rPr>
      </w:r>
    </w:p>
    <w:p>
      <w:pPr>
        <w:pStyle w:val="Normal"/>
        <w:tabs>
          <w:tab w:val="clear" w:pos="1296"/>
          <w:tab w:val="left" w:pos="5400" w:leader="none"/>
        </w:tabs>
        <w:textAlignment w:val="center"/>
        <w:rPr>
          <w:szCs w:val="24"/>
        </w:rPr>
      </w:pPr>
      <w:r>
        <w:rPr>
          <w:szCs w:val="24"/>
        </w:rPr>
      </w:r>
    </w:p>
    <w:p>
      <w:pPr>
        <w:pStyle w:val="Normal"/>
        <w:tabs>
          <w:tab w:val="clear" w:pos="1296"/>
          <w:tab w:val="left" w:pos="5400" w:leader="none"/>
        </w:tabs>
        <w:textAlignment w:val="center"/>
        <w:rPr>
          <w:szCs w:val="24"/>
        </w:rPr>
      </w:pPr>
      <w:r>
        <w:rPr>
          <w:szCs w:val="24"/>
        </w:rPr>
      </w:r>
    </w:p>
    <w:p>
      <w:pPr>
        <w:pStyle w:val="Normal"/>
        <w:widowControl w:val="false"/>
        <w:tabs>
          <w:tab w:val="clear" w:pos="1296"/>
          <w:tab w:val="left" w:pos="567" w:leader="none"/>
          <w:tab w:val="left" w:pos="851" w:leader="none"/>
        </w:tabs>
        <w:jc w:val="center"/>
        <w:rPr>
          <w:b/>
          <w:bCs/>
          <w:caps/>
          <w:szCs w:val="24"/>
        </w:rPr>
      </w:pPr>
      <w:r>
        <w:rPr>
          <w:b/>
          <w:bCs/>
          <w:caps/>
          <w:szCs w:val="24"/>
        </w:rPr>
        <w:t>paslaugų pirkimo-pardavimo sutarties Specialiosios sąlygos</w:t>
      </w:r>
    </w:p>
    <w:p>
      <w:pPr>
        <w:pStyle w:val="Normal"/>
        <w:widowControl w:val="false"/>
        <w:tabs>
          <w:tab w:val="clear" w:pos="1296"/>
          <w:tab w:val="left" w:pos="567" w:leader="none"/>
          <w:tab w:val="left" w:pos="851" w:leader="none"/>
        </w:tabs>
        <w:jc w:val="center"/>
        <w:rPr>
          <w:b/>
          <w:bCs/>
          <w:caps/>
          <w:szCs w:val="24"/>
        </w:rPr>
      </w:pPr>
      <w:r>
        <w:rPr>
          <w:b/>
          <w:bCs/>
          <w:caps/>
          <w:szCs w:val="24"/>
        </w:rPr>
      </w:r>
    </w:p>
    <w:p>
      <w:pPr>
        <w:pStyle w:val="Normal"/>
        <w:widowControl w:val="false"/>
        <w:tabs>
          <w:tab w:val="clear" w:pos="1296"/>
          <w:tab w:val="left" w:pos="567" w:leader="none"/>
          <w:tab w:val="left" w:pos="851" w:leader="none"/>
        </w:tabs>
        <w:jc w:val="center"/>
        <w:rPr>
          <w:caps/>
          <w:szCs w:val="24"/>
        </w:rPr>
      </w:pPr>
      <w:r>
        <w:rPr>
          <w:caps/>
          <w:szCs w:val="24"/>
        </w:rPr>
      </w:r>
    </w:p>
    <w:p>
      <w:pPr>
        <w:pStyle w:val="Normal"/>
        <w:jc w:val="center"/>
        <w:rPr>
          <w:szCs w:val="24"/>
        </w:rPr>
      </w:pPr>
      <w:r>
        <w:rPr>
          <w:szCs w:val="24"/>
        </w:rPr>
      </w:r>
    </w:p>
    <w:tbl>
      <w:tblPr>
        <w:tblW w:w="9558" w:type="dxa"/>
        <w:jc w:val="left"/>
        <w:tblInd w:w="103" w:type="dxa"/>
        <w:tblLayout w:type="fixed"/>
        <w:tblCellMar>
          <w:top w:w="0" w:type="dxa"/>
          <w:left w:w="108" w:type="dxa"/>
          <w:bottom w:w="0" w:type="dxa"/>
          <w:right w:w="108" w:type="dxa"/>
        </w:tblCellMar>
        <w:tblLook w:val="04a0" w:firstRow="1" w:noVBand="1" w:lastRow="0" w:firstColumn="1" w:lastColumn="0" w:noHBand="0"/>
      </w:tblPr>
      <w:tblGrid>
        <w:gridCol w:w="2443"/>
        <w:gridCol w:w="2183"/>
        <w:gridCol w:w="2358"/>
        <w:gridCol w:w="2574"/>
      </w:tblGrid>
      <w:tr>
        <w:trPr/>
        <w:tc>
          <w:tcPr>
            <w:tcW w:w="2443" w:type="dxa"/>
            <w:tcBorders>
              <w:top w:val="single" w:sz="4" w:space="0" w:color="000000"/>
              <w:left w:val="single" w:sz="4" w:space="0" w:color="000000"/>
              <w:bottom w:val="single" w:sz="4" w:space="0" w:color="000000"/>
              <w:right w:val="single" w:sz="4" w:space="0" w:color="000000"/>
            </w:tcBorders>
          </w:tcPr>
          <w:p>
            <w:pPr>
              <w:pStyle w:val="Normal"/>
              <w:jc w:val="both"/>
              <w:rPr>
                <w:b/>
                <w:kern w:val="2"/>
                <w:szCs w:val="24"/>
              </w:rPr>
            </w:pPr>
            <w:r>
              <w:rPr>
                <w:b/>
                <w:kern w:val="2"/>
                <w:szCs w:val="24"/>
              </w:rPr>
              <w:t>Sutarties pavadinimas</w:t>
            </w:r>
          </w:p>
        </w:tc>
        <w:tc>
          <w:tcPr>
            <w:tcW w:w="7115" w:type="dxa"/>
            <w:gridSpan w:val="3"/>
            <w:tcBorders>
              <w:top w:val="single" w:sz="4" w:space="0" w:color="000000"/>
              <w:left w:val="single" w:sz="4" w:space="0" w:color="000000"/>
              <w:bottom w:val="single" w:sz="4" w:space="0" w:color="000000"/>
              <w:right w:val="single" w:sz="4" w:space="0" w:color="000000"/>
            </w:tcBorders>
          </w:tcPr>
          <w:p>
            <w:pPr>
              <w:pStyle w:val="Normal"/>
              <w:jc w:val="both"/>
              <w:rPr>
                <w:kern w:val="2"/>
                <w:szCs w:val="24"/>
              </w:rPr>
            </w:pPr>
            <w:r>
              <w:rPr>
                <w:kern w:val="2"/>
                <w:szCs w:val="24"/>
              </w:rPr>
              <w:t>Žaliųjų atliekų išvežimo paslaugos</w:t>
            </w:r>
          </w:p>
        </w:tc>
      </w:tr>
      <w:tr>
        <w:trPr/>
        <w:tc>
          <w:tcPr>
            <w:tcW w:w="2443" w:type="dxa"/>
            <w:tcBorders>
              <w:top w:val="single" w:sz="4" w:space="0" w:color="000000"/>
              <w:left w:val="single" w:sz="4" w:space="0" w:color="000000"/>
              <w:bottom w:val="single" w:sz="4" w:space="0" w:color="000000"/>
              <w:right w:val="single" w:sz="4" w:space="0" w:color="000000"/>
            </w:tcBorders>
          </w:tcPr>
          <w:p>
            <w:pPr>
              <w:pStyle w:val="Normal"/>
              <w:jc w:val="both"/>
              <w:rPr>
                <w:b/>
                <w:kern w:val="2"/>
                <w:szCs w:val="24"/>
              </w:rPr>
            </w:pPr>
            <w:r>
              <w:rPr>
                <w:b/>
                <w:kern w:val="2"/>
                <w:szCs w:val="24"/>
              </w:rPr>
              <w:t>Sutarties data</w:t>
            </w:r>
          </w:p>
        </w:tc>
        <w:tc>
          <w:tcPr>
            <w:tcW w:w="2183" w:type="dxa"/>
            <w:tcBorders>
              <w:top w:val="single" w:sz="4" w:space="0" w:color="000000"/>
              <w:left w:val="single" w:sz="4" w:space="0" w:color="000000"/>
              <w:bottom w:val="single" w:sz="4" w:space="0" w:color="000000"/>
              <w:right w:val="single" w:sz="4" w:space="0" w:color="000000"/>
            </w:tcBorders>
          </w:tcPr>
          <w:p>
            <w:pPr>
              <w:pStyle w:val="Normal"/>
              <w:jc w:val="both"/>
              <w:rPr>
                <w:kern w:val="2"/>
                <w:szCs w:val="24"/>
              </w:rPr>
            </w:pPr>
            <w:r>
              <w:rPr>
                <w:kern w:val="2"/>
                <w:szCs w:val="24"/>
              </w:rPr>
            </w:r>
          </w:p>
        </w:tc>
        <w:tc>
          <w:tcPr>
            <w:tcW w:w="2358" w:type="dxa"/>
            <w:tcBorders>
              <w:top w:val="single" w:sz="4" w:space="0" w:color="000000"/>
              <w:left w:val="single" w:sz="4" w:space="0" w:color="000000"/>
              <w:bottom w:val="single" w:sz="4" w:space="0" w:color="000000"/>
              <w:right w:val="single" w:sz="4" w:space="0" w:color="000000"/>
            </w:tcBorders>
          </w:tcPr>
          <w:p>
            <w:pPr>
              <w:pStyle w:val="Normal"/>
              <w:jc w:val="both"/>
              <w:rPr>
                <w:b/>
                <w:kern w:val="2"/>
                <w:szCs w:val="24"/>
              </w:rPr>
            </w:pPr>
            <w:r>
              <w:rPr>
                <w:b/>
                <w:kern w:val="2"/>
                <w:szCs w:val="24"/>
              </w:rPr>
              <w:t>Sutarties numeris</w:t>
            </w:r>
          </w:p>
        </w:tc>
        <w:tc>
          <w:tcPr>
            <w:tcW w:w="2574" w:type="dxa"/>
            <w:tcBorders>
              <w:top w:val="single" w:sz="4" w:space="0" w:color="000000"/>
              <w:left w:val="single" w:sz="4" w:space="0" w:color="000000"/>
              <w:bottom w:val="single" w:sz="4" w:space="0" w:color="000000"/>
              <w:right w:val="single" w:sz="4" w:space="0" w:color="000000"/>
            </w:tcBorders>
          </w:tcPr>
          <w:p>
            <w:pPr>
              <w:pStyle w:val="Normal"/>
              <w:jc w:val="both"/>
              <w:rPr>
                <w:kern w:val="2"/>
                <w:szCs w:val="24"/>
              </w:rPr>
            </w:pPr>
            <w:r>
              <w:rPr>
                <w:kern w:val="2"/>
                <w:szCs w:val="24"/>
              </w:rPr>
            </w:r>
          </w:p>
        </w:tc>
      </w:tr>
    </w:tbl>
    <w:p>
      <w:pPr>
        <w:pStyle w:val="Normal"/>
        <w:jc w:val="both"/>
        <w:rPr>
          <w:szCs w:val="24"/>
        </w:rPr>
      </w:pPr>
      <w:r>
        <w:rPr>
          <w:szCs w:val="24"/>
        </w:rPr>
      </w:r>
    </w:p>
    <w:tbl>
      <w:tblPr>
        <w:tblW w:w="9558" w:type="dxa"/>
        <w:jc w:val="left"/>
        <w:tblInd w:w="103" w:type="dxa"/>
        <w:tblLayout w:type="fixed"/>
        <w:tblCellMar>
          <w:top w:w="0" w:type="dxa"/>
          <w:left w:w="108" w:type="dxa"/>
          <w:bottom w:w="0" w:type="dxa"/>
          <w:right w:w="108" w:type="dxa"/>
        </w:tblCellMar>
        <w:tblLook w:val="04a0" w:firstRow="1" w:noVBand="1" w:lastRow="0" w:firstColumn="1" w:lastColumn="0" w:noHBand="0"/>
      </w:tblPr>
      <w:tblGrid>
        <w:gridCol w:w="2808"/>
        <w:gridCol w:w="3240"/>
        <w:gridCol w:w="3510"/>
      </w:tblGrid>
      <w:tr>
        <w:trPr/>
        <w:tc>
          <w:tcPr>
            <w:tcW w:w="9558" w:type="dxa"/>
            <w:gridSpan w:val="3"/>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 SUTARTIES ŠALYS</w:t>
            </w:r>
          </w:p>
        </w:tc>
      </w:tr>
      <w:tr>
        <w:trPr/>
        <w:tc>
          <w:tcPr>
            <w:tcW w:w="280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r>
          </w:p>
          <w:p>
            <w:pPr>
              <w:pStyle w:val="Normal"/>
              <w:jc w:val="center"/>
              <w:rPr>
                <w:b/>
                <w:kern w:val="2"/>
                <w:szCs w:val="24"/>
              </w:rPr>
            </w:pPr>
            <w:r>
              <w:rPr>
                <w:b/>
                <w:kern w:val="2"/>
                <w:szCs w:val="24"/>
              </w:rPr>
            </w:r>
          </w:p>
          <w:p>
            <w:pPr>
              <w:pStyle w:val="Normal"/>
              <w:jc w:val="center"/>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t>1.1. Pirkėjas</w:t>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1.1.1. Pavadinimas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b/>
                <w:bCs/>
                <w:kern w:val="2"/>
                <w:szCs w:val="24"/>
              </w:rPr>
            </w:pPr>
            <w:r>
              <w:rPr>
                <w:b/>
                <w:bCs/>
                <w:kern w:val="2"/>
                <w:szCs w:val="24"/>
              </w:rPr>
              <w:t>Viešoji įstaiga Lietuvos sveikatos mokslų universiteto Kauno ligoninė</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1.1.2. Juridinio asmens kodas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302583800</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1.1.3. Adresas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Josvainių g. 2, Kaunas, LT-47144</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1.1.4. PVM mokėtojo kodas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LT100005939715</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1.1.5. Atsiskaitomoji sąskaita</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LT284010042502573979</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1.1.6. Bankas, banko kodas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Luminor Bank AS, 40100</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1.1.7. Telefonas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+370 37 306 000</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1.1.8. El. paštas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info@kaunoligonine.lt</w:t>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restart"/>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t>1.2. Tiekėjas</w:t>
            </w:r>
          </w:p>
          <w:p>
            <w:pPr>
              <w:pStyle w:val="Normal"/>
              <w:rPr>
                <w:color w:val="4472C4"/>
                <w:kern w:val="2"/>
                <w:szCs w:val="24"/>
              </w:rPr>
            </w:pPr>
            <w:r>
              <w:rPr>
                <w:color w:val="4472C4"/>
                <w:kern w:val="2"/>
                <w:szCs w:val="24"/>
              </w:rPr>
            </w:r>
          </w:p>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1.2.1. Pavadinimas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1.2.3. Adresas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rHeight w:val="373" w:hRule="atLeast"/>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1.2.7. Telefonas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1.2.8. El. paštas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r>
          </w:p>
        </w:tc>
      </w:tr>
      <w:tr>
        <w:trPr/>
        <w:tc>
          <w:tcPr>
            <w:tcW w:w="2808" w:type="dxa"/>
            <w:vMerge w:val="continue"/>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r>
          </w:p>
        </w:tc>
        <w:tc>
          <w:tcPr>
            <w:tcW w:w="3240" w:type="dxa"/>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pPr>
              <w:pStyle w:val="Normal"/>
              <w:jc w:val="center"/>
              <w:rPr>
                <w:kern w:val="2"/>
                <w:szCs w:val="24"/>
              </w:rPr>
            </w:pPr>
            <w:r>
              <w:rPr>
                <w:kern w:val="2"/>
                <w:szCs w:val="24"/>
              </w:rPr>
            </w:r>
          </w:p>
        </w:tc>
      </w:tr>
    </w:tbl>
    <w:p>
      <w:pPr>
        <w:pStyle w:val="Normal"/>
        <w:jc w:val="both"/>
        <w:rPr>
          <w:szCs w:val="24"/>
        </w:rPr>
      </w:pPr>
      <w:r>
        <w:rPr>
          <w:szCs w:val="24"/>
        </w:rPr>
      </w:r>
    </w:p>
    <w:tbl>
      <w:tblPr>
        <w:tblW w:w="9535" w:type="dxa"/>
        <w:jc w:val="left"/>
        <w:tblInd w:w="103" w:type="dxa"/>
        <w:tblLayout w:type="fixed"/>
        <w:tblCellMar>
          <w:top w:w="0" w:type="dxa"/>
          <w:left w:w="108" w:type="dxa"/>
          <w:bottom w:w="0" w:type="dxa"/>
          <w:right w:w="108" w:type="dxa"/>
        </w:tblCellMar>
        <w:tblLook w:val="04a0" w:firstRow="1" w:noVBand="1" w:lastRow="0" w:firstColumn="1" w:lastColumn="0" w:noHBand="0"/>
      </w:tblPr>
      <w:tblGrid>
        <w:gridCol w:w="3055"/>
        <w:gridCol w:w="40"/>
        <w:gridCol w:w="2130"/>
        <w:gridCol w:w="4310"/>
      </w:tblGrid>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2. ATSAKINGI ASMENYS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4472C4"/>
                <w:kern w:val="2"/>
                <w:szCs w:val="24"/>
              </w:rPr>
            </w:pPr>
            <w:r>
              <w:rPr>
                <w:color w:val="4472C4"/>
                <w:kern w:val="2"/>
                <w:szCs w:val="24"/>
              </w:rPr>
              <w:t>(nurodyti padalinį / skyrių, pareigas, vardą, pavardę, tel., el. paštą)</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2.2. Tiekėjo kontaktiniai asmenys, atsakingi už Sutarties vykdymą</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4472C4"/>
                <w:kern w:val="2"/>
                <w:szCs w:val="24"/>
              </w:rPr>
            </w:pPr>
            <w:r>
              <w:rPr>
                <w:color w:val="4472C4"/>
                <w:kern w:val="2"/>
                <w:szCs w:val="24"/>
              </w:rPr>
              <w:t>(nurodyti padalinį / skyrių, pareigas, vardą, pavardę, tel., el. paštą)</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3. SUTARTIES DALYKAS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3.1. Sutarties dalykas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000000"/>
                <w:kern w:val="2"/>
                <w:szCs w:val="24"/>
              </w:rPr>
            </w:pPr>
            <w:r>
              <w:rPr>
                <w:kern w:val="2"/>
                <w:szCs w:val="24"/>
              </w:rPr>
              <w:t>Tiek</w:t>
            </w:r>
            <w:r>
              <w:rPr>
                <w:kern w:val="2"/>
                <w:szCs w:val="24"/>
                <w:shd w:fill="FFFFFF" w:val="clear"/>
              </w:rPr>
              <w:t>ėjas įsipareigoja Sutartyje numatytomis sąlygomis suteikti Pirkėjui žaliųjų atliekų išvežimo</w:t>
            </w:r>
            <w:r>
              <w:rPr>
                <w:color w:val="000000"/>
                <w:kern w:val="2"/>
                <w:szCs w:val="24"/>
              </w:rPr>
              <w:t xml:space="preserve">  paslaugas (toliau – Paslaugos).</w:t>
            </w:r>
          </w:p>
          <w:p>
            <w:pPr>
              <w:pStyle w:val="Normal"/>
              <w:rPr>
                <w:shd w:fill="FFFFFF" w:val="clear"/>
              </w:rPr>
            </w:pPr>
            <w:r>
              <w:rPr>
                <w:color w:val="000000"/>
                <w:kern w:val="2"/>
                <w:szCs w:val="24"/>
                <w:shd w:fill="FFFFFF" w:val="clear"/>
              </w:rPr>
              <w:t xml:space="preserve">Išsamus </w:t>
            </w:r>
            <w:r>
              <w:rPr>
                <w:color w:val="000000"/>
                <w:szCs w:val="24"/>
                <w:shd w:fill="FFFFFF" w:val="clear"/>
              </w:rPr>
              <w:t>Paslaugų</w:t>
            </w:r>
            <w:r>
              <w:rPr>
                <w:color w:val="000000"/>
                <w:kern w:val="2"/>
                <w:szCs w:val="24"/>
                <w:shd w:fill="FFFFFF" w:val="clear"/>
              </w:rPr>
              <w:t xml:space="preserve"> aprašymas ir kiti reikalavimai teikiamoms </w:t>
            </w:r>
            <w:r>
              <w:rPr>
                <w:color w:val="000000"/>
                <w:szCs w:val="24"/>
                <w:shd w:fill="FFFFFF" w:val="clear"/>
              </w:rPr>
              <w:t>Paslaugoms</w:t>
            </w:r>
            <w:r>
              <w:rPr>
                <w:color w:val="000000"/>
                <w:kern w:val="2"/>
                <w:szCs w:val="24"/>
                <w:shd w:fill="FFFFFF" w:val="clear"/>
              </w:rPr>
              <w:t xml:space="preserve"> nustatyti Sutarties priede Nr. 1 „Pasiūlymas“.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3.2. Pirkimo pavadinimas ir numeris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jc w:val="both"/>
              <w:rPr>
                <w:kern w:val="2"/>
                <w:szCs w:val="24"/>
              </w:rPr>
            </w:pPr>
            <w:r>
              <w:rPr>
                <w:kern w:val="2"/>
                <w:szCs w:val="24"/>
              </w:rPr>
              <w:t>Žaliųjų atliekų išvežimo paslaugos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3.3. Informacija apie Europos Sąjungos lėšomis finansuojamą projektą arba kitą projektą</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rPr>
                <w:b/>
                <w:color w:val="FF0000"/>
                <w:kern w:val="2"/>
                <w:szCs w:val="24"/>
              </w:rPr>
            </w:pPr>
            <w:r>
              <w:rPr>
                <w:b/>
                <w:color w:val="FF0000"/>
                <w:kern w:val="2"/>
                <w:szCs w:val="24"/>
              </w:rPr>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jc w:val="left"/>
              <w:rPr>
                <w:highlight w:val="none"/>
                <w:shd w:fill="auto" w:val="clear"/>
              </w:rPr>
            </w:pPr>
            <w:r>
              <w:rPr>
                <w:szCs w:val="24"/>
                <w:shd w:fill="auto" w:val="clear"/>
              </w:rPr>
              <w:t>Po sutarties pasirašymo Užsakovas per 3-5 darbo dienas pateikia paslaugų atlikimo grafiką, nurodydamas atliekų išvežimo dažnumą Paslaugų gavėjas pasilieka teisę sutarties vykdymo metu, atsižvelgdamas į realius poreikius, teritorijų tvarkymo intensyvumą ar nepalankias oro sąlygas (sausrą, ankstyvą šaltį padidinti arba sumažinti pastatytų konteinerių skaičių bet kuriame objekte. Paslaugų teikėjas privalo papildomą konteinerį pastatyti arba esamą nuimti neilgiau kaip 5 (penkias ) darbo dienas nuo Paslaugų gavėjo pranešimo el. paštu gavimo dienos.</w:t>
            </w:r>
          </w:p>
          <w:p>
            <w:pPr>
              <w:pStyle w:val="Normal"/>
              <w:rPr>
                <w:color w:val="auto"/>
                <w:szCs w:val="24"/>
              </w:rPr>
            </w:pPr>
            <w:r>
              <w:rPr>
                <w:szCs w:val="24"/>
              </w:rPr>
              <w:t>Sutartis galioja 36 mėnesius arba iki pilno šalių įsipareigojimų įvykdymo</w:t>
            </w:r>
            <w:r>
              <w:rPr>
                <w:color w:val="auto"/>
                <w:szCs w:val="24"/>
              </w:rPr>
              <w:t>.</w:t>
            </w:r>
          </w:p>
          <w:p>
            <w:pPr>
              <w:pStyle w:val="Normal"/>
              <w:rPr>
                <w:szCs w:val="24"/>
              </w:rPr>
            </w:pPr>
            <w:r>
              <w:rPr>
                <w:szCs w:val="24"/>
              </w:rPr>
              <w:t xml:space="preserve">Tiekėjo įsipareigojimų įvykdymo vietos yra: </w:t>
            </w:r>
            <w:r>
              <w:rPr/>
              <w:t>Hipodromo g. 13, Kaunas, LT45130; Kiaunių g. 2, Kaunas, 45374; Miško g. 27, Kaunas, 44313; S. Dariaus ir S. Girėno g. 50, Kaunas, 46256; Josvainių g. 2, Kaunas, LT47144; Baltijos g. 120, Kaunas, LT-47116</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4.2. Paslaugų / jų dalies / etapo / periodo suteikimo termino pratęsimas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jc w:val="both"/>
              <w:rPr>
                <w:kern w:val="2"/>
                <w:szCs w:val="24"/>
              </w:rPr>
            </w:pPr>
            <w:r>
              <w:rPr>
                <w:kern w:val="2"/>
                <w:szCs w:val="24"/>
              </w:rPr>
              <w:t>Netaikoma</w:t>
            </w:r>
          </w:p>
        </w:tc>
      </w:tr>
      <w:tr>
        <w:trPr>
          <w:trHeight w:val="135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4.3. Užsakymų teikimo tvarka</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szCs w:val="24"/>
              </w:rPr>
            </w:pPr>
            <w:r>
              <w:rPr>
                <w:kern w:val="2"/>
                <w:szCs w:val="24"/>
              </w:rPr>
              <w:t>Užsakymai teikiami elektroninėje užsakymų sistemoje / Tiekėjo nurodytu elektroniniu paštu /</w:t>
            </w:r>
            <w:r>
              <w:rPr>
                <w:szCs w:val="24"/>
              </w:rPr>
              <w:t xml:space="preserve"> tekstiniu pranešimu</w:t>
            </w:r>
            <w:r>
              <w:rPr>
                <w:kern w:val="2"/>
                <w:szCs w:val="24"/>
              </w:rPr>
              <w:t xml:space="preserve"> ir laikomi gautais nedelsiant nuo Užsakymo pateikimo.</w:t>
            </w:r>
          </w:p>
        </w:tc>
      </w:tr>
      <w:tr>
        <w:trPr>
          <w:trHeight w:val="141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4.4. Dėl minimalios Užsakymo vertės ar apimties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4.5. Pateikiami dokumentai</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szCs w:val="24"/>
              </w:rPr>
            </w:pPr>
            <w:r>
              <w:rPr>
                <w:kern w:val="2"/>
                <w:szCs w:val="24"/>
              </w:rPr>
              <w:t>Turi būti pateikiami šie dokumentai: sąskaita faktūra; atliktų paslaugų perdavimo – priėmimo aktas. Tiekėjui nepateikus nurodytų  dokumentų, laikoma, kad Paslaugos neatitinka Sutartyje nustatytų reikalavimų.</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5. SUTARTIES KAINA IR ATSISKAITYMO TVARKA</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5.1. Sutarčiai taikomas kainos apskaičiavimo būdas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pPr>
            <w:r>
              <w:rPr>
                <w:kern w:val="2"/>
                <w:szCs w:val="24"/>
              </w:rPr>
              <w:t>Fiksuotos įkainio kainodara</w:t>
            </w:r>
          </w:p>
          <w:p>
            <w:pPr>
              <w:pStyle w:val="Normal"/>
              <w:rPr>
                <w:color w:val="4472C4"/>
                <w:kern w:val="2"/>
                <w:szCs w:val="24"/>
              </w:rPr>
            </w:pPr>
            <w:r>
              <w:rPr>
                <w:color w:val="4472C4"/>
                <w:kern w:val="2"/>
                <w:szCs w:val="24"/>
              </w:rPr>
            </w:r>
          </w:p>
          <w:p>
            <w:pPr>
              <w:pStyle w:val="Normal"/>
              <w:rPr>
                <w:kern w:val="2"/>
                <w:szCs w:val="24"/>
              </w:rPr>
            </w:pPr>
            <w:r>
              <w:rPr>
                <w:kern w:val="2"/>
                <w:szCs w:val="24"/>
              </w:rPr>
            </w:r>
          </w:p>
        </w:tc>
      </w:tr>
      <w:tr>
        <w:trPr>
          <w:trHeight w:val="2085"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pPr>
              <w:pStyle w:val="Normal"/>
              <w:rPr>
                <w:b/>
                <w:kern w:val="2"/>
                <w:szCs w:val="24"/>
              </w:rPr>
            </w:pPr>
            <w:r>
              <w:rPr>
                <w:b/>
                <w:kern w:val="2"/>
                <w:szCs w:val="24"/>
              </w:rPr>
            </w:r>
          </w:p>
          <w:p>
            <w:pPr>
              <w:pStyle w:val="Normal"/>
              <w:rPr>
                <w:b/>
                <w:kern w:val="2"/>
                <w:szCs w:val="24"/>
              </w:rPr>
            </w:pPr>
            <w:r>
              <w:rPr>
                <w:b/>
                <w:kern w:val="2"/>
                <w:szCs w:val="24"/>
              </w:rPr>
            </w:r>
          </w:p>
          <w:p>
            <w:pPr>
              <w:pStyle w:val="Normal"/>
              <w:rPr>
                <w:b/>
                <w:kern w:val="2"/>
                <w:szCs w:val="24"/>
              </w:rPr>
            </w:pPr>
            <w:r>
              <w:rPr>
                <w:b/>
                <w:kern w:val="2"/>
                <w:szCs w:val="24"/>
              </w:rPr>
            </w:r>
          </w:p>
          <w:p>
            <w:pPr>
              <w:pStyle w:val="Normal"/>
              <w:jc w:val="both"/>
              <w:rPr>
                <w:b/>
                <w:color w:val="FF0000"/>
                <w:kern w:val="2"/>
                <w:szCs w:val="24"/>
              </w:rPr>
            </w:pPr>
            <w:r>
              <w:rPr>
                <w:b/>
                <w:color w:val="FF0000"/>
                <w:kern w:val="2"/>
                <w:szCs w:val="24"/>
              </w:rPr>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szCs w:val="24"/>
              </w:rPr>
            </w:pPr>
            <w:r>
              <w:rPr>
                <w:kern w:val="2"/>
                <w:szCs w:val="24"/>
              </w:rPr>
              <w:t xml:space="preserve">Pradinės Sutarties vertė yra  Eur </w:t>
            </w:r>
            <w:r>
              <w:rPr>
                <w:color w:val="4472C4"/>
                <w:kern w:val="2"/>
                <w:szCs w:val="24"/>
              </w:rPr>
              <w:t>(nurodyti sumą žodžiais)</w:t>
            </w:r>
            <w:r>
              <w:rPr>
                <w:kern w:val="2"/>
                <w:szCs w:val="24"/>
              </w:rPr>
              <w:t xml:space="preserve"> be PVM.</w:t>
            </w:r>
          </w:p>
          <w:p>
            <w:pPr>
              <w:pStyle w:val="Normal"/>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pPr>
              <w:pStyle w:val="Normal"/>
              <w:rPr>
                <w:szCs w:val="24"/>
              </w:rPr>
            </w:pPr>
            <w:r>
              <w:rPr>
                <w:kern w:val="2"/>
                <w:szCs w:val="24"/>
              </w:rPr>
              <w:t xml:space="preserve">Sutarties įkainis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pPr>
              <w:pStyle w:val="Normal"/>
              <w:rPr>
                <w:color w:val="000000"/>
                <w:kern w:val="2"/>
                <w:szCs w:val="24"/>
              </w:rPr>
            </w:pPr>
            <w:r>
              <w:rPr>
                <w:color w:val="000000"/>
                <w:kern w:val="2"/>
                <w:szCs w:val="24"/>
              </w:rPr>
              <w:t xml:space="preserve">Šioje Sutartyje Pradinės Sutarties vertė yra lygi Tiekėjo pasiūlymo kainai be PVM, apskaičiuotai sudauginus </w:t>
            </w:r>
            <w:r>
              <w:rPr>
                <w:b/>
                <w:color w:val="000000"/>
                <w:kern w:val="2"/>
                <w:szCs w:val="24"/>
              </w:rPr>
              <w:t>maksimalų Paslaugų kiekį</w:t>
            </w:r>
            <w:r>
              <w:rPr>
                <w:color w:val="000000"/>
                <w:kern w:val="2"/>
                <w:szCs w:val="24"/>
              </w:rPr>
              <w:t xml:space="preserve"> iš Tiekėjo pasiūlyto įkainio be PVM. Pirkėjas perka Paslaugas pagal poreikį Sutartyje arba jos priede Nr.</w:t>
            </w:r>
            <w:r>
              <w:rPr>
                <w:kern w:val="2"/>
                <w:szCs w:val="24"/>
                <w:shd w:fill="auto" w:val="clear"/>
              </w:rPr>
              <w:t xml:space="preserve"> [...]</w:t>
            </w:r>
            <w:r>
              <w:rPr>
                <w:kern w:val="2"/>
                <w:szCs w:val="24"/>
                <w:shd w:fill="auto" w:val="clear"/>
              </w:rPr>
              <w:t xml:space="preserve"> </w:t>
            </w:r>
            <w:r>
              <w:rPr>
                <w:color w:val="000000"/>
                <w:kern w:val="2"/>
                <w:szCs w:val="24"/>
              </w:rPr>
              <w:t>nurodytais įkainiais, neviršijant jame nurodyto Paslaugų maksimalaus kiekio.</w:t>
            </w:r>
          </w:p>
        </w:tc>
      </w:tr>
      <w:tr>
        <w:trPr>
          <w:trHeight w:val="300" w:hRule="atLeast"/>
        </w:trPr>
        <w:tc>
          <w:tcPr>
            <w:tcW w:w="3095" w:type="dxa"/>
            <w:gridSpan w:val="2"/>
            <w:tcBorders>
              <w:left w:val="single" w:sz="4" w:space="0" w:color="000000"/>
              <w:bottom w:val="single" w:sz="4" w:space="0" w:color="000000"/>
              <w:right w:val="single" w:sz="4" w:space="0" w:color="000000"/>
            </w:tcBorders>
          </w:tcPr>
          <w:p>
            <w:pPr>
              <w:pStyle w:val="Normal"/>
              <w:rPr>
                <w:b/>
                <w:kern w:val="2"/>
                <w:szCs w:val="24"/>
              </w:rPr>
            </w:pPr>
            <w:r>
              <w:rPr>
                <w:b/>
                <w:kern w:val="2"/>
                <w:szCs w:val="24"/>
              </w:rPr>
              <w:t>5.3. Sutarties kainos / įkainių perskaičiavimas taikant peržiūros taisykles</w:t>
            </w:r>
          </w:p>
        </w:tc>
        <w:tc>
          <w:tcPr>
            <w:tcW w:w="6440" w:type="dxa"/>
            <w:gridSpan w:val="2"/>
            <w:tcBorders>
              <w:left w:val="single" w:sz="4" w:space="0" w:color="000000"/>
              <w:bottom w:val="single" w:sz="4" w:space="0" w:color="000000"/>
              <w:right w:val="single" w:sz="4" w:space="0" w:color="000000"/>
            </w:tcBorders>
          </w:tcPr>
          <w:p>
            <w:pPr>
              <w:pStyle w:val="Normal"/>
              <w:rPr>
                <w:b/>
                <w:kern w:val="2"/>
                <w:szCs w:val="24"/>
              </w:rPr>
            </w:pPr>
            <w:r>
              <w:rPr>
                <w:kern w:val="2"/>
                <w:szCs w:val="24"/>
              </w:rPr>
              <w:t>Sutarties įkainiai bus perskaičiuojami: 5.3.1. dėl PVM tarifo pasikeitimo</w:t>
            </w:r>
          </w:p>
        </w:tc>
      </w:tr>
      <w:tr>
        <w:trPr>
          <w:trHeight w:val="2306"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5.3.1. Sutarties kainos / įkainių peržiūra dėl PVM tarifo pasikeitimo</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nurodytiems įkainiams, Sutarties įkainiai perskaičiuojami nekeičiant P</w:t>
            </w:r>
            <w:r>
              <w:rPr>
                <w:szCs w:val="24"/>
              </w:rPr>
              <w:t>aslaugų</w:t>
            </w:r>
            <w:r>
              <w:rPr>
                <w:kern w:val="2"/>
                <w:szCs w:val="24"/>
              </w:rPr>
              <w:t xml:space="preserve"> įkainio be PVM.</w:t>
            </w:r>
          </w:p>
          <w:p>
            <w:pPr>
              <w:pStyle w:val="Normal"/>
              <w:rPr>
                <w:kern w:val="2"/>
                <w:szCs w:val="24"/>
              </w:rPr>
            </w:pPr>
            <w:r>
              <w:rPr>
                <w:kern w:val="2"/>
                <w:szCs w:val="24"/>
              </w:rPr>
            </w:r>
          </w:p>
          <w:p>
            <w:pPr>
              <w:pStyle w:val="Normal"/>
              <w:rPr>
                <w:szCs w:val="24"/>
              </w:rPr>
            </w:pPr>
            <w:r>
              <w:rPr>
                <w:kern w:val="2"/>
                <w:szCs w:val="24"/>
              </w:rPr>
              <w:t>Perskaičiuota (-i) Sutarties  įkainiai įforminama (-i) Susitarimu ir turi būti taikoma (-i) nuo naujo PVM įvedimo datos (nepriklausomai nuo to, kada pasirašytas Susitarimas).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Cs/>
                <w:kern w:val="2"/>
                <w:szCs w:val="24"/>
              </w:rPr>
            </w:pPr>
            <w:r>
              <w:rPr>
                <w:b/>
                <w:kern w:val="2"/>
                <w:szCs w:val="24"/>
              </w:rPr>
              <w:t>5.3.3. Sutarties kainos / įkainių peržiūra dėl kainų lygio pokyčio</w:t>
            </w:r>
          </w:p>
          <w:p>
            <w:pPr>
              <w:pStyle w:val="Normal"/>
              <w:rPr>
                <w:kern w:val="2"/>
                <w:szCs w:val="24"/>
              </w:rPr>
            </w:pPr>
            <w:r>
              <w:rPr>
                <w:kern w:val="2"/>
                <w:szCs w:val="24"/>
              </w:rPr>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themeColor="text1" w:val="000000"/>
                <w:szCs w:val="24"/>
              </w:rPr>
            </w:pPr>
            <w:r>
              <w:rPr>
                <w:color w:themeColor="text1" w:val="000000"/>
                <w:szCs w:val="24"/>
              </w:rPr>
              <w:t xml:space="preserve">5.3.3.1. Bet kuri Sutarties Šalis Sutarties galiojimo metu turi teisę inicijuoti Sutarties įkainio peržiūrą (keitimą) ne anksčiau kaip po </w:t>
            </w:r>
            <w:r>
              <w:rPr>
                <w:color w:themeColor="text1" w:val="000000"/>
                <w:kern w:val="2"/>
                <w:szCs w:val="24"/>
              </w:rPr>
              <w:t xml:space="preserve">6 (šešių) mėnesių </w:t>
            </w:r>
            <w:r>
              <w:rPr>
                <w:color w:themeColor="text1" w:val="000000"/>
                <w:szCs w:val="24"/>
              </w:rPr>
              <w:t xml:space="preserve">nuo Sutarties įsigaliojimo dienos (jeigu peržiūra jau buvo atlikta – nuo Susitarimo dėl paskutinio perskaičiavimo pagal šį Specialiųjų sąlygų punktą įsigaliojimo dienos), jeigu Vartojimo prekių ir paslaugų įkainio pokytis (k), apskaičiuotas kaip nustatyta 5.3.3.6 punkte, viršija 5 procentus. Sutarties įkainių peržiūra atliekama ne rečiau kaip kas </w:t>
            </w:r>
            <w:r>
              <w:rPr>
                <w:color w:themeColor="text1" w:val="000000"/>
                <w:kern w:val="2"/>
                <w:szCs w:val="24"/>
              </w:rPr>
              <w:t xml:space="preserve">6 (šeši) </w:t>
            </w:r>
            <w:r>
              <w:rPr>
                <w:color w:themeColor="text1" w:val="000000"/>
                <w:szCs w:val="24"/>
              </w:rPr>
              <w:t>mėnesiai.</w:t>
            </w:r>
          </w:p>
          <w:p>
            <w:pPr>
              <w:pStyle w:val="Normal"/>
              <w:rPr>
                <w:color w:themeColor="text1" w:val="000000"/>
                <w:kern w:val="2"/>
                <w:szCs w:val="24"/>
                <w:shd w:fill="FFFFFF" w:val="clear"/>
              </w:rPr>
            </w:pPr>
            <w:r>
              <w:rPr>
                <w:color w:themeColor="text1" w:val="000000"/>
                <w:kern w:val="2"/>
                <w:szCs w:val="24"/>
              </w:rPr>
              <w:t>5.3.3.2. Sutarties įkainiai</w:t>
            </w:r>
            <w:r>
              <w:rPr>
                <w:color w:themeColor="text1" w:val="000000"/>
                <w:kern w:val="2"/>
                <w:szCs w:val="24"/>
                <w:shd w:fill="FFFFFF" w:val="clear"/>
              </w:rPr>
              <w:t xml:space="preserve"> peržiūrimi tik tai Sutarties daliai, kuri nėra išpirkta, t. y. Paslaugoms, kurios nėra priimtos ir apmokėtos. Vėlesnė Sutarties įkainio peržiūra negali apimti laikotarpio, už kurį jau buvo atlikta peržiūra.</w:t>
            </w:r>
          </w:p>
          <w:p>
            <w:pPr>
              <w:pStyle w:val="Normal"/>
              <w:rPr>
                <w:color w:themeColor="text1" w:val="000000"/>
                <w:kern w:val="2"/>
                <w:szCs w:val="24"/>
                <w:shd w:fill="FFFFFF" w:val="clear"/>
              </w:rPr>
            </w:pPr>
            <w:r>
              <w:rPr>
                <w:color w:themeColor="text1" w:val="000000"/>
                <w:kern w:val="2"/>
                <w:szCs w:val="24"/>
              </w:rPr>
              <w:t xml:space="preserve">5.3.3.3. </w:t>
            </w:r>
            <w:r>
              <w:rPr>
                <w:color w:themeColor="text1" w:val="000000"/>
                <w:kern w:val="2"/>
                <w:szCs w:val="24"/>
                <w:shd w:fill="FFFFFF" w:val="clear"/>
              </w:rPr>
              <w:t>Jeigu P</w:t>
            </w:r>
            <w:r>
              <w:rPr>
                <w:color w:themeColor="text1" w:val="000000"/>
                <w:szCs w:val="24"/>
              </w:rPr>
              <w:t>aslaugų teikimas</w:t>
            </w:r>
            <w:r>
              <w:rPr>
                <w:color w:themeColor="text1" w:val="000000"/>
                <w:kern w:val="2"/>
                <w:szCs w:val="24"/>
                <w:shd w:fill="FFFFFF" w:val="clear"/>
              </w:rPr>
              <w:t xml:space="preserve"> vėluoja dėl Tiekėjo kaltės, uždelstų suteikti P</w:t>
            </w:r>
            <w:r>
              <w:rPr>
                <w:color w:themeColor="text1" w:val="000000"/>
                <w:szCs w:val="24"/>
              </w:rPr>
              <w:t>aslaugų</w:t>
            </w:r>
            <w:r>
              <w:rPr>
                <w:color w:themeColor="text1" w:val="000000"/>
                <w:kern w:val="2"/>
                <w:szCs w:val="24"/>
                <w:shd w:fill="FFFFFF" w:val="clear"/>
              </w:rPr>
              <w:t xml:space="preserve"> įkainiai nėra perskaičiuojami dėl įkainų lygio kilimo (gali būti mažinami, tačiau negali būti didinami).</w:t>
            </w:r>
          </w:p>
          <w:p>
            <w:pPr>
              <w:pStyle w:val="Normal"/>
              <w:rPr>
                <w:color w:themeColor="text1" w:val="000000"/>
                <w:kern w:val="2"/>
                <w:szCs w:val="24"/>
                <w:shd w:fill="FFFFFF" w:val="clear"/>
              </w:rPr>
            </w:pPr>
            <w:r>
              <w:rPr>
                <w:color w:themeColor="text1" w:val="000000"/>
                <w:kern w:val="2"/>
                <w:szCs w:val="24"/>
              </w:rPr>
              <w:t xml:space="preserve">5.3.3.4. Atlikdamos Sutarties įkainio peržiūrą </w:t>
            </w:r>
            <w:r>
              <w:rPr>
                <w:color w:themeColor="text1" w:val="000000"/>
                <w:kern w:val="2"/>
                <w:szCs w:val="24"/>
                <w:shd w:fill="FFFFFF" w:val="clear"/>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pPr>
              <w:pStyle w:val="Normal"/>
              <w:rPr>
                <w:color w:themeColor="text1" w:val="000000"/>
                <w:kern w:val="2"/>
                <w:szCs w:val="24"/>
                <w:shd w:fill="FFFFFF" w:val="clear"/>
              </w:rPr>
            </w:pPr>
            <w:r>
              <w:rPr>
                <w:color w:val="000000"/>
                <w:kern w:val="2"/>
                <w:szCs w:val="24"/>
                <w:shd w:fill="FFFFFF" w:val="clear"/>
              </w:rPr>
              <w:t xml:space="preserve">5.3.3.5. Šalys privalo Susitarime nurodyti vartojimo prekių ir paslaugų indekso reikšmę laikotarpio pradžioje ir jo nustatymo </w:t>
            </w:r>
            <w:r>
              <w:rPr>
                <w:color w:themeColor="text1" w:val="000000"/>
                <w:kern w:val="2"/>
                <w:szCs w:val="24"/>
                <w:shd w:fill="FFFFFF" w:val="clear"/>
              </w:rPr>
              <w:t>datą, indekso reikšmę laikotarpio pabaigoje ir jo nustatymo datą, kainų pokytį (k), perskaičiuotą Sutarties įkainį, perskaičiuotą Pradinės Sutarties vertę.</w:t>
            </w:r>
          </w:p>
          <w:p>
            <w:pPr>
              <w:pStyle w:val="Normal"/>
              <w:rPr>
                <w:color w:themeColor="text1" w:val="000000"/>
                <w:szCs w:val="24"/>
              </w:rPr>
            </w:pPr>
            <w:r>
              <w:rPr>
                <w:color w:themeColor="text1" w:val="000000"/>
                <w:kern w:val="2"/>
                <w:szCs w:val="24"/>
                <w:shd w:fill="FFFFFF" w:val="clear"/>
              </w:rPr>
              <w:t>5.3.3.6. Naujas Sutarties įkainis apskaičiuojamas pagal žemiau pateiktą formulę:</w:t>
            </w:r>
          </w:p>
          <w:p>
            <w:pPr>
              <w:pStyle w:val="Normal"/>
              <w:jc w:val="both"/>
              <w:textAlignment w:val="baseline"/>
              <w:rPr>
                <w:kern w:val="2"/>
                <w:szCs w:val="24"/>
              </w:rPr>
            </w:pPr>
            <w:r>
              <w:rPr/>
            </w:r>
            <m:oMath xmlns:m="http://schemas.openxmlformats.org/officeDocument/2006/math">
              <m:sSub>
                <m:e>
                  <m:r>
                    <w:rPr>
                      <w:rFonts w:ascii="Cambria Math" w:hAnsi="Cambria Math"/>
                    </w:rPr>
                    <m:t xml:space="preserve">a</m:t>
                  </m:r>
                </m:e>
                <m:sub>
                  <m:r>
                    <w:rPr>
                      <w:rFonts w:ascii="Cambria Math" w:hAnsi="Cambria Math"/>
                    </w:rPr>
                    <m:t xml:space="preserve">1</m:t>
                  </m:r>
                </m:sub>
              </m:sSub>
              <m:r>
                <m:rPr>
                  <m:lit/>
                  <m:nor/>
                </m:rPr>
                <w:rPr>
                  <w:rFonts w:ascii="Cambria Math" w:hAnsi="Cambria Math"/>
                </w:rPr>
                <m:t xml:space="preserve">=</m:t>
              </m:r>
              <m:r>
                <w:rPr>
                  <w:rFonts w:ascii="Cambria Math" w:hAnsi="Cambria Math"/>
                </w:rPr>
                <m:t xml:space="preserve">a</m:t>
              </m:r>
              <m:r>
                <m:rPr>
                  <m:lit/>
                  <m:nor/>
                </m:rPr>
                <w:rPr>
                  <w:rFonts w:ascii="Cambria Math" w:hAnsi="Cambria Math"/>
                </w:rPr>
                <m:t xml:space="preserve">+</m:t>
              </m:r>
              <m:d>
                <m:dPr>
                  <m:begChr m:val="("/>
                  <m:endChr m:val=")"/>
                </m:dPr>
                <m:e>
                  <m:f>
                    <m:num>
                      <m:r>
                        <w:rPr>
                          <w:rFonts w:ascii="Cambria Math" w:hAnsi="Cambria Math"/>
                        </w:rPr>
                        <m:t xml:space="preserve">k</m:t>
                      </m:r>
                    </m:num>
                    <m:den>
                      <m:r>
                        <w:rPr>
                          <w:rFonts w:ascii="Cambria Math" w:hAnsi="Cambria Math"/>
                        </w:rPr>
                        <m:t xml:space="preserve">100</m:t>
                      </m:r>
                    </m:den>
                  </m:f>
                  <m:r>
                    <w:rPr>
                      <w:rFonts w:ascii="Cambria Math" w:hAnsi="Cambria Math"/>
                    </w:rPr>
                    <m:t xml:space="preserve">×</m:t>
                  </m:r>
                  <m:r>
                    <w:rPr>
                      <w:rFonts w:ascii="Cambria Math" w:hAnsi="Cambria Math"/>
                    </w:rPr>
                    <m:t xml:space="preserve">a</m:t>
                  </m:r>
                </m:e>
              </m:d>
            </m:oMath>
            <w:r>
              <w:rPr>
                <w:kern w:val="2"/>
                <w:szCs w:val="24"/>
              </w:rPr>
              <w:t xml:space="preserve">, kur </w:t>
            </w:r>
            <w:r>
              <w:rPr>
                <w:color w:themeColor="text1" w:val="000000"/>
                <w:kern w:val="2"/>
                <w:szCs w:val="24"/>
              </w:rPr>
              <w:t xml:space="preserve">a –įkainis </w:t>
            </w:r>
            <w:r>
              <w:rPr>
                <w:kern w:val="2"/>
                <w:szCs w:val="24"/>
              </w:rPr>
              <w:t>(Eur be PVM) (jei peržiūra jau buvo atlikta, tai po paskutinio perskaičiavimo)</w:t>
            </w:r>
          </w:p>
          <w:p>
            <w:pPr>
              <w:pStyle w:val="Normal"/>
              <w:jc w:val="both"/>
              <w:textAlignment w:val="baseline"/>
              <w:rPr>
                <w:szCs w:val="24"/>
              </w:rPr>
            </w:pPr>
            <w:r>
              <w:rPr>
                <w:kern w:val="2"/>
                <w:szCs w:val="24"/>
              </w:rPr>
              <w:t>a</w:t>
            </w:r>
            <w:r>
              <w:rPr>
                <w:kern w:val="2"/>
                <w:szCs w:val="24"/>
                <w:vertAlign w:val="subscript"/>
              </w:rPr>
              <w:t>1</w:t>
            </w:r>
            <w:r>
              <w:rPr>
                <w:kern w:val="2"/>
                <w:szCs w:val="24"/>
              </w:rPr>
              <w:t xml:space="preserve"> – perskaičiuotas (</w:t>
            </w:r>
            <w:r>
              <w:rPr>
                <w:color w:themeColor="text1" w:val="000000"/>
                <w:kern w:val="2"/>
                <w:szCs w:val="24"/>
              </w:rPr>
              <w:t xml:space="preserve">pakeistas) įkainis (Eur </w:t>
            </w:r>
            <w:r>
              <w:rPr>
                <w:kern w:val="2"/>
                <w:szCs w:val="24"/>
              </w:rPr>
              <w:t>be PVM)</w:t>
            </w:r>
          </w:p>
          <w:p>
            <w:pPr>
              <w:pStyle w:val="Normal"/>
              <w:jc w:val="both"/>
              <w:textAlignment w:val="baseline"/>
              <w:rPr>
                <w:szCs w:val="24"/>
              </w:rPr>
            </w:pPr>
            <w:r>
              <w:rPr>
                <w:kern w:val="2"/>
                <w:szCs w:val="24"/>
              </w:rPr>
              <w:t xml:space="preserve">k – pagal vartotojų įkainių indeksą </w:t>
            </w:r>
            <w:r>
              <w:rPr>
                <w:color w:themeColor="text1" w:val="000000"/>
                <w:kern w:val="2"/>
                <w:szCs w:val="24"/>
              </w:rPr>
              <w:t>(</w:t>
            </w:r>
            <w:r>
              <w:rPr/>
              <w:t xml:space="preserve">Vartojimo prekių ir paslaugų) </w:t>
            </w:r>
            <w:r>
              <w:rPr>
                <w:kern w:val="2"/>
                <w:szCs w:val="24"/>
              </w:rPr>
              <w:t>apskaičiuotas Vartojimo prekių ir paslaugų įkainių pokytis (padidėjimas arba sumažėjimas) (%). „k“ reikšmė skaičiuojama pagal formulę:</w:t>
            </w:r>
          </w:p>
          <w:p>
            <w:pPr>
              <w:pStyle w:val="Normal"/>
              <w:jc w:val="both"/>
              <w:textAlignment w:val="baseline"/>
              <w:rPr>
                <w:kern w:val="2"/>
                <w:szCs w:val="24"/>
              </w:rPr>
            </w:pPr>
            <w:r>
              <w:rPr/>
            </w:r>
            <m:oMath xmlns:m="http://schemas.openxmlformats.org/officeDocument/2006/math">
              <m:r>
                <w:rPr>
                  <w:rFonts w:ascii="Cambria Math" w:hAnsi="Cambria Math"/>
                </w:rPr>
                <m:t xml:space="preserve">k</m:t>
              </m:r>
              <m:r>
                <m:rPr>
                  <m:lit/>
                  <m:nor/>
                </m:rPr>
                <w:rPr>
                  <w:rFonts w:ascii="Cambria Math" w:hAnsi="Cambria Math"/>
                </w:rPr>
                <m:t xml:space="preserve">=</m:t>
              </m:r>
              <m:f>
                <m:num>
                  <m:sSub>
                    <m:e>
                      <m:r>
                        <w:rPr>
                          <w:rFonts w:ascii="Cambria Math" w:hAnsi="Cambria Math"/>
                        </w:rPr>
                        <m:t xml:space="preserve">Ind</m:t>
                      </m:r>
                    </m:e>
                    <m:sub>
                      <m:r>
                        <w:rPr>
                          <w:rFonts w:ascii="Cambria Math" w:hAnsi="Cambria Math"/>
                        </w:rPr>
                        <m:t xml:space="preserve">naujausias</m:t>
                      </m:r>
                    </m:sub>
                  </m:sSub>
                </m:num>
                <m:den>
                  <m:sSub>
                    <m:e>
                      <m:r>
                        <w:rPr>
                          <w:rFonts w:ascii="Cambria Math" w:hAnsi="Cambria Math"/>
                        </w:rPr>
                        <m:t xml:space="preserve">Ind</m:t>
                      </m:r>
                    </m:e>
                    <m:sub>
                      <m:r>
                        <w:rPr>
                          <w:rFonts w:ascii="Cambria Math" w:hAnsi="Cambria Math"/>
                        </w:rPr>
                        <m:t xml:space="preserve">pradžia</m:t>
                      </m:r>
                    </m:sub>
                  </m:sSub>
                </m:den>
              </m:f>
              <m:r>
                <w:rPr>
                  <w:rFonts w:ascii="Cambria Math" w:hAnsi="Cambria Math"/>
                </w:rPr>
                <m:t xml:space="preserve">×</m:t>
              </m:r>
              <m:r>
                <w:rPr>
                  <w:rFonts w:ascii="Cambria Math" w:hAnsi="Cambria Math"/>
                </w:rPr>
                <m:t xml:space="preserve">100</m:t>
              </m:r>
              <m:r>
                <m:rPr>
                  <m:lit/>
                  <m:nor/>
                </m:rPr>
                <w:rPr>
                  <w:rFonts w:ascii="Cambria Math" w:hAnsi="Cambria Math"/>
                </w:rPr>
                <m:t xml:space="preserve">-</m:t>
              </m:r>
              <m:r>
                <w:rPr>
                  <w:rFonts w:ascii="Cambria Math" w:hAnsi="Cambria Math"/>
                </w:rPr>
                <m:t xml:space="preserve">100</m:t>
              </m:r>
            </m:oMath>
            <w:r>
              <w:rPr>
                <w:kern w:val="2"/>
                <w:szCs w:val="24"/>
              </w:rPr>
              <w:t>, (proc.) kur</w:t>
            </w:r>
          </w:p>
          <w:p>
            <w:pPr>
              <w:pStyle w:val="Normal"/>
              <w:jc w:val="both"/>
              <w:textAlignment w:val="baseline"/>
              <w:rPr/>
            </w:pPr>
            <w:r>
              <w:rPr>
                <w:kern w:val="2"/>
              </w:rPr>
              <w:t>Ind</w:t>
            </w:r>
            <w:r>
              <w:rPr>
                <w:kern w:val="2"/>
                <w:vertAlign w:val="subscript"/>
              </w:rPr>
              <w:t>naujausias</w:t>
            </w:r>
            <w:r>
              <w:rPr>
                <w:kern w:val="2"/>
              </w:rPr>
              <w:t xml:space="preserve"> – </w:t>
            </w:r>
            <w:r>
              <w:rPr>
                <w:color w:themeColor="text1" w:val="000000"/>
                <w:kern w:val="2"/>
              </w:rPr>
              <w:t xml:space="preserve">kreipimosi dėl įkainio peržiūros </w:t>
            </w:r>
            <w:r>
              <w:rPr>
                <w:kern w:val="2"/>
              </w:rPr>
              <w:t xml:space="preserve">išsiuntimo kitai Šaliai dieną paskelbtas naujausias vartojimo prekių ir paslaugų indeksas </w:t>
            </w:r>
            <w:r>
              <w:rPr>
                <w:color w:themeColor="text1" w:val="000000"/>
                <w:kern w:val="2"/>
                <w:szCs w:val="24"/>
              </w:rPr>
              <w:t>(</w:t>
            </w:r>
            <w:r>
              <w:rPr/>
              <w:t>Vartojimo prekių ir paslaugų).</w:t>
            </w:r>
          </w:p>
          <w:p>
            <w:pPr>
              <w:pStyle w:val="Normal"/>
              <w:rPr/>
            </w:pPr>
            <w:r>
              <w:rPr>
                <w:kern w:val="2"/>
              </w:rPr>
              <w:t>Ind</w:t>
            </w:r>
            <w:r>
              <w:rPr>
                <w:kern w:val="2"/>
                <w:vertAlign w:val="subscript"/>
              </w:rPr>
              <w:t>pradžia</w:t>
            </w:r>
            <w:r>
              <w:rPr>
                <w:kern w:val="2"/>
              </w:rPr>
              <w:t xml:space="preserve"> – laikotarpio pradžios datos (mėnesio) vartojimo prekių ir paslaugų indeksas </w:t>
            </w:r>
            <w:r>
              <w:rPr>
                <w:color w:themeColor="text1" w:val="000000"/>
                <w:kern w:val="2"/>
                <w:szCs w:val="24"/>
              </w:rPr>
              <w:t>(</w:t>
            </w:r>
            <w:r>
              <w:rPr/>
              <w:t xml:space="preserve">Vartojimo prekių ir paslaugų). </w:t>
            </w:r>
            <w:r>
              <w:rPr>
                <w:color w:themeColor="text1" w:val="000000"/>
                <w:kern w:val="2"/>
                <w:szCs w:val="24"/>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pPr>
              <w:pStyle w:val="Normal"/>
              <w:rPr>
                <w:color w:themeColor="text1" w:val="000000"/>
                <w:kern w:val="2"/>
                <w:szCs w:val="24"/>
                <w:shd w:fill="FFFFFF" w:val="clear"/>
              </w:rPr>
            </w:pPr>
            <w:r>
              <w:rPr>
                <w:color w:val="000000"/>
                <w:kern w:val="2"/>
                <w:szCs w:val="24"/>
              </w:rPr>
              <w:t xml:space="preserve">5.3.3.7. </w:t>
            </w:r>
            <w:r>
              <w:rPr>
                <w:color w:val="000000"/>
                <w:kern w:val="2"/>
                <w:szCs w:val="24"/>
                <w:shd w:fill="FFFFFF" w:val="clear"/>
              </w:rPr>
              <w:t xml:space="preserve">Skaičiavimams indeksų reikšmės </w:t>
            </w:r>
            <w:r>
              <w:rPr>
                <w:color w:themeColor="text1" w:val="000000"/>
                <w:kern w:val="2"/>
                <w:szCs w:val="24"/>
                <w:shd w:fill="FFFFFF" w:val="clear"/>
              </w:rPr>
              <w:t xml:space="preserve">imamos </w:t>
            </w:r>
            <w:r>
              <w:rPr>
                <w:b/>
                <w:color w:themeColor="text1" w:val="000000"/>
                <w:kern w:val="2"/>
                <w:szCs w:val="24"/>
                <w:shd w:fill="FFFFFF" w:val="clear"/>
              </w:rPr>
              <w:t>keturių</w:t>
            </w:r>
            <w:r>
              <w:rPr>
                <w:color w:themeColor="text1" w:val="000000"/>
                <w:kern w:val="2"/>
                <w:szCs w:val="24"/>
                <w:shd w:fill="FFFFFF" w:val="clear"/>
              </w:rPr>
              <w:t xml:space="preserve"> skaitmenų po kablelio tikslumu. Apskaičiuotas pokytis (k) tolimesniems skaičiavimams naudojamas suapvalinus iki </w:t>
            </w:r>
            <w:r>
              <w:rPr>
                <w:b/>
                <w:color w:themeColor="text1" w:val="000000"/>
                <w:kern w:val="2"/>
                <w:szCs w:val="24"/>
                <w:shd w:fill="FFFFFF" w:val="clear"/>
              </w:rPr>
              <w:t>vieno</w:t>
            </w:r>
            <w:r>
              <w:rPr>
                <w:color w:themeColor="text1" w:val="000000"/>
                <w:kern w:val="2"/>
                <w:szCs w:val="24"/>
                <w:shd w:fill="FFFFFF" w:val="clear"/>
              </w:rPr>
              <w:t xml:space="preserve"> skaitmens po kablelio, o apskaičiuotas įkainis „a</w:t>
            </w:r>
            <w:r>
              <w:rPr>
                <w:color w:themeColor="text1" w:val="000000"/>
                <w:kern w:val="2"/>
                <w:szCs w:val="24"/>
                <w:shd w:fill="FFFFFF" w:val="clear"/>
                <w:vertAlign w:val="subscript"/>
              </w:rPr>
              <w:t>1</w:t>
            </w:r>
            <w:r>
              <w:rPr>
                <w:color w:themeColor="text1" w:val="000000"/>
                <w:kern w:val="2"/>
                <w:szCs w:val="24"/>
                <w:shd w:fill="FFFFFF" w:val="clear"/>
              </w:rPr>
              <w:t xml:space="preserve">“ suapvalinamas iki </w:t>
            </w:r>
            <w:r>
              <w:rPr>
                <w:b/>
                <w:color w:themeColor="text1" w:val="000000"/>
                <w:kern w:val="2"/>
                <w:szCs w:val="24"/>
                <w:shd w:fill="FFFFFF" w:val="clear"/>
              </w:rPr>
              <w:t xml:space="preserve">dviejų </w:t>
            </w:r>
            <w:r>
              <w:rPr>
                <w:color w:themeColor="text1" w:val="000000"/>
                <w:kern w:val="2"/>
                <w:szCs w:val="24"/>
                <w:shd w:fill="FFFFFF" w:val="clear"/>
              </w:rPr>
              <w:t>skaitmenų po kablelio.</w:t>
            </w:r>
          </w:p>
          <w:p>
            <w:pPr>
              <w:pStyle w:val="Normal"/>
              <w:rPr>
                <w:color w:val="000000"/>
                <w:kern w:val="2"/>
                <w:szCs w:val="24"/>
                <w:shd w:fill="FFFFFF" w:val="clear"/>
              </w:rPr>
            </w:pPr>
            <w:r>
              <w:rPr>
                <w:color w:val="000000"/>
                <w:kern w:val="2"/>
                <w:szCs w:val="24"/>
                <w:shd w:fill="FFFFFF" w:val="clear"/>
              </w:rPr>
              <w:t xml:space="preserve">5.3.3.8. Šalis, siekianti </w:t>
            </w:r>
            <w:r>
              <w:rPr>
                <w:color w:themeColor="text1" w:val="000000"/>
                <w:kern w:val="2"/>
                <w:szCs w:val="24"/>
                <w:shd w:fill="FFFFFF" w:val="clear"/>
              </w:rPr>
              <w:t>Sutarties įkainio peržiūros</w:t>
            </w:r>
            <w:r>
              <w:rPr>
                <w:color w:val="000000"/>
                <w:kern w:val="2"/>
                <w:szCs w:val="24"/>
                <w:shd w:fill="FFFFFF" w:val="clear"/>
              </w:rPr>
              <w:t xml:space="preserve">,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rPr>
              <w:t>kitus oficialius šaltinių duomenis</w:t>
            </w:r>
            <w:r>
              <w:rPr>
                <w:color w:val="000000"/>
                <w:kern w:val="2"/>
                <w:szCs w:val="24"/>
                <w:shd w:fill="FFFFFF" w:val="clear"/>
              </w:rPr>
              <w:t>, kita svarbi informacija. Prašyme Šalis neturi teisės nurodyti kito indekso ar prašyti perskaičiavimo pagal kitą indeksą nei nurodytas šioje procedūroje.</w:t>
            </w:r>
          </w:p>
          <w:p>
            <w:pPr>
              <w:pStyle w:val="Normal"/>
              <w:rPr>
                <w:color w:val="000000"/>
                <w:kern w:val="2"/>
                <w:szCs w:val="24"/>
                <w:shd w:fill="FFFFFF" w:val="clear"/>
              </w:rPr>
            </w:pPr>
            <w:r>
              <w:rPr>
                <w:color w:val="000000"/>
                <w:kern w:val="2"/>
                <w:szCs w:val="24"/>
                <w:shd w:fill="FFFFFF" w:val="clear"/>
              </w:rPr>
              <w:t>5</w:t>
            </w:r>
            <w:r>
              <w:rPr>
                <w:kern w:val="2"/>
                <w:szCs w:val="24"/>
              </w:rPr>
              <w:t xml:space="preserve">.3.3.9. </w:t>
            </w:r>
            <w:r>
              <w:rPr>
                <w:color w:val="000000"/>
                <w:kern w:val="2"/>
                <w:szCs w:val="24"/>
                <w:shd w:fill="FFFFFF" w:val="clear"/>
              </w:rPr>
              <w:t xml:space="preserve">Susitarimas turi būti sudarytas per </w:t>
            </w:r>
            <w:r>
              <w:rPr>
                <w:color w:themeColor="text1" w:val="000000"/>
                <w:kern w:val="2"/>
                <w:szCs w:val="24"/>
                <w:shd w:fill="FFFFFF" w:val="clear"/>
              </w:rPr>
              <w:t>20 kalendorinių dienų nuo Šalies pateikto tinkamo prašymo perskaičiuoti S</w:t>
            </w:r>
            <w:r>
              <w:rPr>
                <w:color w:themeColor="text1" w:val="000000"/>
                <w:kern w:val="2"/>
                <w:szCs w:val="24"/>
              </w:rPr>
              <w:t>utarties įkainio</w:t>
            </w:r>
            <w:r>
              <w:rPr>
                <w:color w:themeColor="text1" w:val="000000"/>
                <w:kern w:val="2"/>
                <w:szCs w:val="24"/>
                <w:shd w:fill="FFFFFF" w:val="clear"/>
              </w:rPr>
              <w:t xml:space="preserve"> gavimo dienos</w:t>
            </w:r>
            <w:r>
              <w:rPr>
                <w:color w:val="000000"/>
                <w:kern w:val="2"/>
                <w:szCs w:val="24"/>
                <w:shd w:fill="FFFFFF" w:val="clear"/>
              </w:rPr>
              <w:t>.</w:t>
            </w:r>
          </w:p>
          <w:p>
            <w:pPr>
              <w:pStyle w:val="Normal"/>
              <w:rPr>
                <w:color w:val="000000"/>
                <w:kern w:val="2"/>
                <w:szCs w:val="24"/>
              </w:rPr>
            </w:pPr>
            <w:r>
              <w:rPr>
                <w:color w:val="000000"/>
                <w:kern w:val="2"/>
                <w:szCs w:val="24"/>
                <w:shd w:fill="FFFFFF" w:val="clear"/>
              </w:rPr>
              <w:t xml:space="preserve">5.3.3.10. </w:t>
            </w:r>
            <w:r>
              <w:rPr>
                <w:color w:val="000000"/>
                <w:kern w:val="2"/>
                <w:szCs w:val="24"/>
              </w:rPr>
              <w:t>Susitarimu Šalys neturi teisės keisti procedūroje nurodytos tvarkos ar kitų Sutarties nuostatų, išskyrus, jei keitimas atliekamas pagal VPĮ nuostatas.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p>
            <w:pPr>
              <w:pStyle w:val="Normal"/>
              <w:rPr>
                <w:color w:val="FF0000"/>
                <w:kern w:val="2"/>
                <w:szCs w:val="24"/>
              </w:rPr>
            </w:pPr>
            <w:r>
              <w:rPr>
                <w:color w:val="FF0000"/>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5.5. Atsiskaitymo su Tiekėju terminas ir tvarka</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000000"/>
              </w:rPr>
            </w:pPr>
            <w:r>
              <w:rPr>
                <w:color w:val="000000"/>
                <w:kern w:val="2"/>
                <w:szCs w:val="24"/>
              </w:rPr>
              <w:t>Pirkėjas atsiskaito su Tiekėju ne vėliau kaip per 30 (trisdešimt) kalendorinių dienų nuo Sąskaitos gavimo dienos.</w:t>
            </w:r>
          </w:p>
          <w:p>
            <w:pPr>
              <w:pStyle w:val="Normal"/>
              <w:rPr/>
            </w:pPr>
            <w:r>
              <w:rPr>
                <w:color w:val="000000"/>
                <w:kern w:val="2"/>
                <w:szCs w:val="24"/>
                <w:shd w:fill="FFFFFF" w:val="clear"/>
              </w:rPr>
              <w:t>Apmokėjimo sąlygos: už įvykdytus Užsakymus mokama kartą per mėnesį;</w:t>
            </w:r>
          </w:p>
          <w:p>
            <w:pPr>
              <w:pStyle w:val="Normal"/>
              <w:rPr>
                <w:color w:val="000000"/>
              </w:rPr>
            </w:pPr>
            <w:r>
              <w:rPr>
                <w:color w:val="000000"/>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5.6. Avansas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5.7. Avanso užtikrinimas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6. PASLAUGŲ KOKYBĖ IR GARANTINIAI ĮSIPAREIGOJIMAI</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6.1. Garantinis terminas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szCs w:val="24"/>
              </w:rPr>
              <w:t>6.2. Terminas Paslaugų trūkumams pašalinti</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szCs w:val="24"/>
              </w:rPr>
            </w:pPr>
            <w:r>
              <w:rPr>
                <w:b/>
                <w:szCs w:val="24"/>
              </w:rPr>
              <w:t>6.3. Kokybinių kriterijų įgyvendinimo ir tikrinimo tvarka</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4472C4"/>
                <w:kern w:val="2"/>
                <w:szCs w:val="24"/>
              </w:rPr>
            </w:pPr>
            <w:r>
              <w:rPr>
                <w:kern w:val="2"/>
                <w:szCs w:val="24"/>
              </w:rPr>
              <w:t>Netaikoma</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7. SUTARTIES VYKDYMUI PASITELKIAMI SUBTIEKĖJAI IR (AR) SPECIALISTAI</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bCs/>
                <w:kern w:val="2"/>
                <w:szCs w:val="24"/>
              </w:rPr>
            </w:pPr>
            <w:r>
              <w:rPr>
                <w:b/>
                <w:bCs/>
                <w:kern w:val="2"/>
                <w:szCs w:val="24"/>
              </w:rPr>
              <w:t>7.1. Sutarties vykdymui pasitelkiami subtiekėjai ir (ar) specialistai</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pPr>
            <w:r>
              <w:rPr/>
              <w:t>Sutarties vykdymui pasitelkiami subtiekėjai ir (ar) specialistai yra nurodyti Sutarties priede Nr. 1.</w:t>
            </w:r>
          </w:p>
          <w:p>
            <w:pPr>
              <w:pStyle w:val="Normal"/>
              <w:rPr>
                <w:kern w:val="2"/>
                <w:szCs w:val="24"/>
              </w:rPr>
            </w:pPr>
            <w:r>
              <w:rPr/>
              <w:t>arba</w:t>
            </w:r>
          </w:p>
          <w:p>
            <w:pPr>
              <w:pStyle w:val="Normal"/>
              <w:suppressAutoHyphens w:val="false"/>
              <w:rPr>
                <w:kern w:val="2"/>
                <w:szCs w:val="24"/>
              </w:rPr>
            </w:pPr>
            <w:r>
              <w:rPr>
                <w:kern w:val="2"/>
                <w:szCs w:val="24"/>
              </w:rPr>
              <w:t>Sutarties vykdymui subtiekėjai ir (ar) specialistai nepasitelkiami.</w:t>
            </w:r>
          </w:p>
          <w:p>
            <w:pPr>
              <w:pStyle w:val="Normal"/>
              <w:rPr>
                <w:color w:val="FF0000"/>
                <w:kern w:val="2"/>
                <w:szCs w:val="24"/>
              </w:rPr>
            </w:pPr>
            <w:r>
              <w:rPr>
                <w:color w:val="FF0000"/>
                <w:kern w:val="2"/>
                <w:szCs w:val="24"/>
              </w:rPr>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8. PRIEVOLIŲ PAGAL SUTARTĮ ĮVYKDYMO UŽTIKRINIMAS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8.1. Prievolių pagal Sutartį įvykdymo užtikrinimas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Prievolių pagal Sutartį įvykdymas užtikrinamas</w:t>
            </w:r>
          </w:p>
          <w:p>
            <w:pPr>
              <w:pStyle w:val="Normal"/>
              <w:rPr>
                <w:kern w:val="2"/>
                <w:szCs w:val="24"/>
              </w:rPr>
            </w:pPr>
            <w:r>
              <w:rPr>
                <w:kern w:val="2"/>
                <w:szCs w:val="24"/>
              </w:rPr>
              <w:t>Netesybomis (delspinigiais, bauda);</w:t>
            </w:r>
          </w:p>
          <w:p>
            <w:pPr>
              <w:pStyle w:val="Normal"/>
              <w:rPr>
                <w:color w:val="000000"/>
              </w:rPr>
            </w:pPr>
            <w:r>
              <w:rPr>
                <w:color w:val="000000"/>
                <w:kern w:val="2"/>
                <w:szCs w:val="24"/>
              </w:rPr>
              <w:t>Kitais Lietuvos Respublikos civiliniame kodekse ir (ar) Sutartyje nurodytais prievolių įvykdymo užtikrinimo būdais.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8.2 Sutarties įvykdymo užtikrinimo galiojimo terminas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8.3. Sutarties įvykdymo užtikrinimo pateikimas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9. ŠALIŲ ATSAKOMYBĖ</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9.1. Pirkėjui taikomos netesybos už mokėjimų pagal Sutartį vėlavimą</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color w:val="FF0000"/>
                <w:kern w:val="2"/>
                <w:szCs w:val="24"/>
              </w:rPr>
            </w:pPr>
            <w:r>
              <w:rPr>
                <w:bCs/>
                <w:color w:val="000000"/>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0,05 (penkios šimtosios) procentų dydžio delspinigius nuo neapmokėtos sumos be PVM už kiekvieną vėlavimo dieną.</w:t>
            </w:r>
          </w:p>
          <w:p>
            <w:pPr>
              <w:pStyle w:val="Normal"/>
              <w:rPr>
                <w:bCs/>
                <w:kern w:val="2"/>
                <w:szCs w:val="24"/>
              </w:rPr>
            </w:pPr>
            <w:r>
              <w:rPr>
                <w:bCs/>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szCs w:val="24"/>
              </w:rPr>
              <w:t>9.2. Tiekėjui taikomos netesybos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000000"/>
                <w:kern w:val="2"/>
                <w:szCs w:val="24"/>
              </w:rPr>
            </w:pPr>
            <w:r>
              <w:rPr>
                <w:color w:val="000000"/>
                <w:kern w:val="2"/>
                <w:szCs w:val="24"/>
              </w:rPr>
              <w:t>9.2.1. Jeigu Tiekėjas vėluoja suteikti Paslaugas arba nevykdo kitų sutartinių įsipareigojimų, Pirkėjas nuo kitos nei nustatytas terminas dienos Tiekėjui skaičiuoja 0,05 (penkios šimtosios) dydžio delspinigius už kiekvieną uždelstą dieną nuo laiku nesuteiktų Paslaugų ar kitų sutartinių įsipareigojimų nevykdymo kainos be PVM. 9.2.2. Jeigu Tiekėjas vėluoja grąžinti dėl Tiekėjui mokėtinos sumos sumažinimo susidariusią permoką pagal Bendrųjų sąlygų 7.4.1.2 papunktį, Pirkėjas nuo kitos nei nustatytas terminas dienos Tiekėjui skaičiuoja 0,05 (penkios šimtosios) procento dydžio delspinigius už kiekvieną uždelstą dieną nuo laiku negrąžintos permokos kainos be PVM. 9.2.3. Tiekėjas privalo sumokėti Pirkėjui netesybas per 30 (trisdešimt) dienų nuo Pirkėjo pareikalavimo, jeigu netesybų suma nėra išskaitoma iš Tiekėjui mokėtinos sumos.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szCs w:val="24"/>
              </w:rPr>
            </w:pPr>
            <w:r>
              <w:rPr>
                <w:bCs/>
                <w:kern w:val="2"/>
                <w:szCs w:val="24"/>
              </w:rPr>
              <w:t>9.3.1. Nutraukus Sutartį dėl esminio Sutarties pažeidimo, nustatyto Sutarties Specialiosiose sąlygose, mokama 10</w:t>
            </w:r>
            <w:r>
              <w:rPr>
                <w:bCs/>
                <w:color w:val="000000"/>
                <w:kern w:val="2"/>
                <w:szCs w:val="24"/>
              </w:rPr>
              <w:t xml:space="preserve"> (dešimt)</w:t>
            </w:r>
            <w:r>
              <w:rPr>
                <w:bCs/>
                <w:kern w:val="2"/>
                <w:szCs w:val="24"/>
              </w:rPr>
              <w:t xml:space="preserve"> procentų dydžio bauda nuo Pradinės Sutarties vertės, nurodytos Specialiųjų sąlygų 5.2 punkte.</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color w:val="000000"/>
                <w:kern w:val="2"/>
                <w:szCs w:val="24"/>
              </w:rPr>
            </w:pPr>
            <w:r>
              <w:rPr>
                <w:bCs/>
                <w:color w:val="000000"/>
                <w:kern w:val="2"/>
                <w:szCs w:val="24"/>
              </w:rPr>
              <w:t>Netaikoma</w:t>
            </w:r>
          </w:p>
          <w:p>
            <w:pPr>
              <w:pStyle w:val="Normal"/>
              <w:rPr>
                <w:bCs/>
                <w:kern w:val="2"/>
                <w:szCs w:val="24"/>
              </w:rPr>
            </w:pPr>
            <w:r>
              <w:rPr>
                <w:bCs/>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9.5. Tiekėjui taikomos baudos dėl aplinkosauginių ir (arba) socialinių kriterijų nesilaikymo</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kern w:val="2"/>
                <w:szCs w:val="24"/>
              </w:rPr>
            </w:pPr>
            <w:r>
              <w:rPr>
                <w:bCs/>
                <w:color w:val="000000"/>
                <w:kern w:val="2"/>
                <w:szCs w:val="24"/>
              </w:rPr>
              <w:t>Netaikoma</w:t>
            </w:r>
          </w:p>
          <w:p>
            <w:pPr>
              <w:pStyle w:val="Normal"/>
              <w:rPr>
                <w:bCs/>
                <w:color w:val="FF0000"/>
                <w:kern w:val="2"/>
                <w:szCs w:val="24"/>
              </w:rPr>
            </w:pPr>
            <w:r>
              <w:rPr>
                <w:bCs/>
                <w:color w:val="FF0000"/>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9.6. Tiekėjui / Pirkėjui taikoma bauda dėl konfidencialumo reikalavimų nesilaikymo</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kern w:val="2"/>
                <w:szCs w:val="24"/>
              </w:rPr>
            </w:pPr>
            <w:r>
              <w:rPr>
                <w:bCs/>
                <w:kern w:val="2"/>
                <w:szCs w:val="24"/>
              </w:rPr>
              <w:t>Netaikoma</w:t>
            </w:r>
          </w:p>
          <w:p>
            <w:pPr>
              <w:pStyle w:val="Normal"/>
              <w:rPr>
                <w:bCs/>
                <w:kern w:val="2"/>
                <w:szCs w:val="24"/>
              </w:rPr>
            </w:pPr>
            <w:r>
              <w:rPr>
                <w:bCs/>
                <w:kern w:val="2"/>
                <w:szCs w:val="24"/>
              </w:rPr>
            </w:r>
          </w:p>
          <w:p>
            <w:pPr>
              <w:pStyle w:val="Normal"/>
              <w:rPr>
                <w:bCs/>
                <w:color w:val="FF0000"/>
                <w:kern w:val="2"/>
                <w:szCs w:val="24"/>
              </w:rPr>
            </w:pPr>
            <w:r>
              <w:rPr>
                <w:bCs/>
                <w:color w:val="FF0000"/>
                <w:kern w:val="2"/>
                <w:szCs w:val="24"/>
              </w:rPr>
            </w:r>
          </w:p>
        </w:tc>
      </w:tr>
      <w:tr>
        <w:trPr>
          <w:trHeight w:val="988"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rPr>
              <w:t>9.7. Tiekėjui taikomos netesybos dėl pirkimo dokumentuose nustatytų Kokybinių kriterijų nepasiekimo Sutarties vykdymo metu</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color w:val="4472C4"/>
                <w:szCs w:val="24"/>
              </w:rPr>
            </w:pPr>
            <w:r>
              <w:rPr>
                <w:bCs/>
                <w:szCs w:val="24"/>
              </w:rPr>
              <w:t>Netaikoma</w:t>
            </w:r>
          </w:p>
        </w:tc>
      </w:tr>
      <w:tr>
        <w:trPr>
          <w:trHeight w:val="156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 xml:space="preserve">9.8. Tiekėjui taikomos netesybos dėl Sutarties įvykdymo užtikrinimo </w:t>
            </w:r>
            <w:r>
              <w:rPr>
                <w:b/>
                <w:szCs w:val="24"/>
              </w:rPr>
              <w:t>nepratęsimo</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kern w:val="2"/>
                <w:szCs w:val="24"/>
              </w:rPr>
            </w:pPr>
            <w:r>
              <w:rPr>
                <w:bCs/>
                <w:kern w:val="2"/>
                <w:szCs w:val="24"/>
              </w:rPr>
              <w:t>Netaikoma</w:t>
            </w:r>
          </w:p>
          <w:p>
            <w:pPr>
              <w:pStyle w:val="Normal"/>
              <w:rPr>
                <w:bCs/>
                <w:kern w:val="2"/>
                <w:szCs w:val="24"/>
              </w:rPr>
            </w:pPr>
            <w:r>
              <w:rPr>
                <w:bCs/>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bCs/>
                <w:kern w:val="2"/>
                <w:szCs w:val="24"/>
              </w:rPr>
            </w:pPr>
            <w:r>
              <w:rPr>
                <w:bCs/>
                <w:color w:val="000000"/>
                <w:kern w:val="2"/>
                <w:szCs w:val="24"/>
              </w:rPr>
              <w:t>Netaikoma</w:t>
            </w:r>
          </w:p>
          <w:p>
            <w:pPr>
              <w:pStyle w:val="Normal"/>
              <w:rPr>
                <w:bCs/>
                <w:color w:val="000000"/>
                <w:szCs w:val="24"/>
              </w:rPr>
            </w:pPr>
            <w:r>
              <w:rPr>
                <w:bCs/>
                <w:color w:val="000000"/>
                <w:szCs w:val="24"/>
              </w:rPr>
            </w:r>
          </w:p>
          <w:p>
            <w:pPr>
              <w:pStyle w:val="Normal"/>
              <w:rPr>
                <w:color w:val="000000"/>
                <w:kern w:val="2"/>
                <w:szCs w:val="24"/>
              </w:rPr>
            </w:pPr>
            <w:r>
              <w:rPr>
                <w:color w:val="000000"/>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lang w:val="en-US"/>
              </w:rPr>
            </w:pPr>
            <w:r>
              <w:rPr>
                <w:b/>
                <w:kern w:val="2"/>
                <w:szCs w:val="24"/>
                <w:lang w:val="en-US"/>
              </w:rPr>
              <w:t xml:space="preserve">9.10. </w:t>
            </w:r>
            <w:r>
              <w:rPr>
                <w:b/>
                <w:kern w:val="2"/>
                <w:szCs w:val="24"/>
              </w:rPr>
              <w:t>Kitos netesybos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000000"/>
              </w:rPr>
            </w:pPr>
            <w:r>
              <w:rPr>
                <w:bCs/>
                <w:color w:val="000000"/>
                <w:kern w:val="2"/>
                <w:szCs w:val="24"/>
              </w:rPr>
              <w:t>Netaikoma</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color w:val="4472C4"/>
                <w:kern w:val="2"/>
                <w:szCs w:val="24"/>
              </w:rPr>
            </w:pPr>
            <w:r>
              <w:rPr>
                <w:b/>
                <w:kern w:val="2"/>
                <w:szCs w:val="24"/>
              </w:rPr>
              <w:t>10. ESMINĖS SUTARTIES SĄLYGOS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lang w:val="en-US"/>
              </w:rPr>
            </w:pPr>
            <w:r>
              <w:rPr>
                <w:b/>
                <w:kern w:val="2"/>
                <w:szCs w:val="24"/>
                <w:lang w:val="en-US"/>
              </w:rPr>
              <w:t xml:space="preserve">10.1. </w:t>
            </w:r>
            <w:r>
              <w:rPr>
                <w:b/>
                <w:kern w:val="2"/>
                <w:szCs w:val="24"/>
              </w:rPr>
              <w:t>Esminės Sutarties sąlygos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000000"/>
              </w:rPr>
            </w:pPr>
            <w:r>
              <w:rPr>
                <w:bCs/>
                <w:color w:val="000000"/>
                <w:kern w:val="2"/>
                <w:szCs w:val="24"/>
              </w:rPr>
              <w:t>Netaikoma</w:t>
            </w:r>
          </w:p>
        </w:tc>
      </w:tr>
      <w:tr>
        <w:trPr>
          <w:trHeight w:val="139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lang w:val="en-US"/>
              </w:rPr>
            </w:pPr>
            <w:r>
              <w:rPr>
                <w:b/>
                <w:bCs/>
              </w:rPr>
              <w:t>10.2. Dideli arba nuolatiniai esminės Sutarties sąlygos vykdymo trūkumai</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000000"/>
              </w:rPr>
            </w:pPr>
            <w:r>
              <w:rPr>
                <w:bCs/>
                <w:color w:val="000000"/>
                <w:kern w:val="2"/>
                <w:szCs w:val="24"/>
              </w:rPr>
              <w:t>Netaikoma</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11. SUTARTIES GALIOJIMAS IR KEITIMAS</w:t>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szCs w:val="24"/>
              </w:rPr>
              <w:t>11.1. Sutarties sudarymas ir įsigaliojimas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color w:val="000000"/>
                <w:kern w:val="2"/>
                <w:szCs w:val="24"/>
              </w:rPr>
            </w:pPr>
            <w:r>
              <w:rPr>
                <w:color w:val="000000"/>
                <w:kern w:val="2"/>
                <w:szCs w:val="24"/>
              </w:rPr>
              <w:t>Ši Sutartis laikoma sudaryta ir įsigalioja nuo Sutarties pasirašymo dienos (antrosios Šalies pasirašymo dieną). Sutartis galioja iki visiško prievolių įvykdymo (kol bus išnaudota Pradinės Sutarties vertė, bet jos terminas negali būti ilgesnis kaip 37 (trisdešimt septyni) mėnesiai.</w:t>
            </w:r>
          </w:p>
          <w:p>
            <w:pPr>
              <w:pStyle w:val="Normal"/>
              <w:rPr>
                <w:kern w:val="2"/>
                <w:szCs w:val="24"/>
              </w:rPr>
            </w:pPr>
            <w:r>
              <w:rPr>
                <w:kern w:val="2"/>
                <w:szCs w:val="24"/>
              </w:rPr>
            </w:r>
          </w:p>
        </w:tc>
      </w:tr>
      <w:tr>
        <w:trPr>
          <w:trHeight w:val="300" w:hRule="atLeast"/>
        </w:trPr>
        <w:tc>
          <w:tcPr>
            <w:tcW w:w="3095" w:type="dxa"/>
            <w:gridSpan w:val="2"/>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11.2. Sutarties galiojimo termino pratęsimas</w:t>
            </w:r>
          </w:p>
        </w:tc>
        <w:tc>
          <w:tcPr>
            <w:tcW w:w="6440" w:type="dxa"/>
            <w:gridSpan w:val="2"/>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Netaikoma</w:t>
            </w:r>
          </w:p>
          <w:p>
            <w:pPr>
              <w:pStyle w:val="Normal"/>
              <w:rPr>
                <w:kern w:val="2"/>
                <w:szCs w:val="24"/>
              </w:rPr>
            </w:pPr>
            <w:r>
              <w:rPr>
                <w:kern w:val="2"/>
                <w:szCs w:val="24"/>
              </w:rPr>
            </w:r>
          </w:p>
          <w:p>
            <w:pPr>
              <w:pStyle w:val="Normal"/>
              <w:rPr>
                <w:color w:val="4472C4"/>
                <w:kern w:val="2"/>
                <w:szCs w:val="24"/>
              </w:rPr>
            </w:pPr>
            <w:r>
              <w:rPr>
                <w:color w:val="4472C4"/>
                <w:kern w:val="2"/>
                <w:szCs w:val="24"/>
              </w:rPr>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12. SUTARTIES NUTRAUKIMAS</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12.1. Sutarties nutraukimo pagrindai</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Sutartis gali būti nutraukiama rašytiniu Šalių susitarimu arba vienašališkai, Bendrosiose sąlygose ir šiais Specialiosiose sąlygose nurodytais atvejais ir nustatyta tvarka.</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 xml:space="preserve">12.2. Esminiai Sutarties </w:t>
            </w:r>
            <w:r>
              <w:rPr>
                <w:b/>
                <w:szCs w:val="24"/>
              </w:rPr>
              <w:t>pažeidimai</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tabs>
                <w:tab w:val="clear" w:pos="1296"/>
                <w:tab w:val="left" w:pos="567" w:leader="none"/>
                <w:tab w:val="left" w:pos="851" w:leader="none"/>
                <w:tab w:val="left" w:pos="992" w:leader="none"/>
                <w:tab w:val="left" w:pos="1134" w:leader="none"/>
              </w:tabs>
              <w:spacing w:lineRule="auto" w:line="257"/>
              <w:jc w:val="both"/>
              <w:rPr>
                <w:rFonts w:eastAsia="Arial"/>
                <w:color w:val="000000"/>
                <w:kern w:val="2"/>
                <w:szCs w:val="24"/>
              </w:rPr>
            </w:pPr>
            <w:r>
              <w:rPr>
                <w:rFonts w:eastAsia="Arial"/>
                <w:color w:val="000000"/>
                <w:kern w:val="2"/>
                <w:szCs w:val="24"/>
              </w:rPr>
              <w:t>12.2.1. jeigu Tiekėjas nevykdo prisiimtų įsipareigojimų už Sutartyje nustatytą Sutarties įkainį;</w:t>
            </w:r>
          </w:p>
          <w:p>
            <w:pPr>
              <w:pStyle w:val="Normal"/>
              <w:tabs>
                <w:tab w:val="clear" w:pos="1296"/>
                <w:tab w:val="left" w:pos="567" w:leader="none"/>
                <w:tab w:val="left" w:pos="851" w:leader="none"/>
                <w:tab w:val="left" w:pos="992" w:leader="none"/>
                <w:tab w:val="left" w:pos="1134" w:leader="none"/>
              </w:tabs>
              <w:spacing w:lineRule="auto" w:line="257"/>
              <w:jc w:val="both"/>
              <w:rPr>
                <w:rFonts w:eastAsia="Arial"/>
                <w:color w:val="000000"/>
                <w:kern w:val="2"/>
                <w:szCs w:val="24"/>
              </w:rPr>
            </w:pPr>
            <w:r>
              <w:rPr>
                <w:rFonts w:eastAsia="Arial"/>
                <w:color w:val="000000"/>
                <w:kern w:val="2"/>
                <w:szCs w:val="24"/>
              </w:rPr>
              <w:t>12.2.2. Tiekėjas pažeidžia Paslaugų suteikimo terminus ir dėl Paslaugų suteikimo vėlavimo Paslaugos tampa nebereikalingos;</w:t>
            </w:r>
          </w:p>
          <w:p>
            <w:pPr>
              <w:pStyle w:val="Normal"/>
              <w:tabs>
                <w:tab w:val="clear" w:pos="1296"/>
                <w:tab w:val="left" w:pos="567" w:leader="none"/>
                <w:tab w:val="left" w:pos="851" w:leader="none"/>
                <w:tab w:val="left" w:pos="992" w:leader="none"/>
                <w:tab w:val="left" w:pos="1134" w:leader="none"/>
              </w:tabs>
              <w:spacing w:lineRule="auto" w:line="257"/>
              <w:jc w:val="both"/>
              <w:rPr>
                <w:rFonts w:eastAsia="Arial"/>
                <w:color w:themeColor="text1" w:val="000000"/>
                <w:kern w:val="2"/>
                <w:szCs w:val="24"/>
              </w:rPr>
            </w:pPr>
            <w:r>
              <w:rPr>
                <w:color w:themeColor="text1" w:val="000000"/>
              </w:rPr>
              <w:t>12.2.3. Tiekėjas daugiau kaip 2 (du) kartus suteikia Paslaugas, kurios neatitinka Sutartyje ir (ar) įstatymuose nustatytų reikalavimų Paslaugoms;</w:t>
            </w:r>
          </w:p>
          <w:p>
            <w:pPr>
              <w:pStyle w:val="Normal"/>
              <w:tabs>
                <w:tab w:val="clear" w:pos="1296"/>
                <w:tab w:val="left" w:pos="567" w:leader="none"/>
                <w:tab w:val="left" w:pos="851" w:leader="none"/>
                <w:tab w:val="left" w:pos="992" w:leader="none"/>
                <w:tab w:val="left" w:pos="1134" w:leader="none"/>
              </w:tabs>
              <w:spacing w:lineRule="auto" w:line="257"/>
              <w:jc w:val="both"/>
              <w:rPr>
                <w:color w:val="000000"/>
              </w:rPr>
            </w:pPr>
            <w:r>
              <w:rPr>
                <w:color w:val="000000"/>
              </w:rPr>
              <w:t>12.2.4. jeigu Tiekėjas pažeidžia Paslaugų suteikimo terminus ir priskaičiuotų netesybų už vėlavimą suma viršija 20 (dvidešimt) proc. Pradinės sutarties vertės;</w:t>
            </w:r>
          </w:p>
          <w:p>
            <w:pPr>
              <w:pStyle w:val="Normal"/>
              <w:tabs>
                <w:tab w:val="clear" w:pos="1296"/>
                <w:tab w:val="left" w:pos="567" w:leader="none"/>
                <w:tab w:val="left" w:pos="851" w:leader="none"/>
                <w:tab w:val="left" w:pos="992" w:leader="none"/>
                <w:tab w:val="left" w:pos="1134" w:leader="none"/>
              </w:tabs>
              <w:spacing w:lineRule="auto" w:line="257"/>
              <w:jc w:val="both"/>
              <w:rPr>
                <w:color w:val="000000"/>
              </w:rPr>
            </w:pPr>
            <w:r>
              <w:rPr>
                <w:color w:val="000000"/>
              </w:rPr>
            </w:r>
          </w:p>
          <w:p>
            <w:pPr>
              <w:pStyle w:val="Normal"/>
              <w:tabs>
                <w:tab w:val="clear" w:pos="1296"/>
                <w:tab w:val="left" w:pos="567" w:leader="none"/>
                <w:tab w:val="left" w:pos="851" w:leader="none"/>
                <w:tab w:val="left" w:pos="992" w:leader="none"/>
                <w:tab w:val="left" w:pos="1134" w:leader="none"/>
              </w:tabs>
              <w:spacing w:lineRule="auto" w:line="257"/>
              <w:jc w:val="both"/>
              <w:rPr>
                <w:rFonts w:eastAsia="Arial"/>
                <w:color w:themeColor="text1" w:val="000000"/>
                <w:kern w:val="2"/>
                <w:szCs w:val="24"/>
              </w:rPr>
            </w:pPr>
            <w:r>
              <w:rPr>
                <w:rFonts w:eastAsia="Arial"/>
                <w:color w:themeColor="text1" w:val="000000"/>
                <w:kern w:val="2"/>
                <w:szCs w:val="24"/>
              </w:rPr>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kern w:val="2"/>
                <w:szCs w:val="24"/>
              </w:rPr>
            </w:pPr>
            <w:r>
              <w:rPr>
                <w:b/>
                <w:kern w:val="2"/>
                <w:szCs w:val="24"/>
              </w:rPr>
              <w:t xml:space="preserve">13. APLINKOS APSAUGOS IR SOCIALINIAI KRITERIJAI </w:t>
            </w:r>
            <w:r>
              <w:rPr>
                <w:color w:val="000000"/>
                <w:kern w:val="2"/>
                <w:szCs w:val="24"/>
              </w:rPr>
              <w:t>(taikoma, jeigu aplinkosauginiai ir (arba) socialiniai kriterijai nustatomi kaip Sutarties vykdymo sąlygos)</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13.1. Su perkamomis paslaugomis susiję  aplinkos apsaugos kriterijai</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highlight w:val="none"/>
                <w:shd w:fill="auto" w:val="clear"/>
              </w:rPr>
            </w:pPr>
            <w:r>
              <w:rPr>
                <w:color w:val="000000"/>
                <w:kern w:val="2"/>
                <w:szCs w:val="24"/>
                <w:shd w:fill="auto" w:val="clear"/>
              </w:rPr>
              <w:t xml:space="preserve">Aplinkosauginiai kriterijai Paslaugoms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ir 4.4.1 papunkčiu, nes perkamos </w:t>
            </w:r>
            <w:r>
              <w:rPr>
                <w:color w:val="000000"/>
                <w:kern w:val="2"/>
                <w:szCs w:val="24"/>
                <w:shd w:fill="auto" w:val="clear"/>
                <w:lang w:val="lt-LT"/>
              </w:rPr>
              <w:t>ž</w:t>
            </w:r>
            <w:r>
              <w:rPr>
                <w:color w:val="000000"/>
                <w:kern w:val="2"/>
                <w:szCs w:val="24"/>
                <w:shd w:fill="auto" w:val="clear"/>
              </w:rPr>
              <w:t>aliųjų atliekų išvežimo paslaugos priskiriamos aplinkos apsaugos paslaugoms, pagal 2015 m. lapkričio 24 d. Komisijos įgyvendinamą reglamentą (ES)2015/2174.</w:t>
            </w:r>
          </w:p>
          <w:p>
            <w:pPr>
              <w:pStyle w:val="Normal"/>
              <w:rPr>
                <w:color w:val="000000"/>
                <w:kern w:val="2"/>
                <w:szCs w:val="24"/>
                <w:shd w:fill="FFFFFF" w:val="clear"/>
              </w:rPr>
            </w:pPr>
            <w:r>
              <w:rPr>
                <w:color w:val="000000"/>
                <w:kern w:val="2"/>
                <w:szCs w:val="24"/>
                <w:shd w:fill="FFFFFF" w:val="clear"/>
              </w:rPr>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13.2. Su perkamomis Paslaugomis susiję socialiniai kriterijai</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color w:val="000000"/>
                <w:kern w:val="2"/>
                <w:szCs w:val="24"/>
                <w:shd w:fill="FFFFFF" w:val="clear"/>
              </w:rPr>
            </w:pPr>
            <w:r>
              <w:rPr>
                <w:color w:val="000000"/>
                <w:kern w:val="2"/>
                <w:szCs w:val="24"/>
                <w:shd w:fill="FFFFFF" w:val="clear"/>
              </w:rPr>
              <w:t>Netaikoma</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14. BENDRŲJŲ SĄLYGŲ PAKEITIMAI IR PAPILDYMAI</w:t>
            </w:r>
          </w:p>
          <w:p>
            <w:pPr>
              <w:pStyle w:val="Normal"/>
              <w:jc w:val="center"/>
              <w:rPr>
                <w:kern w:val="2"/>
                <w:szCs w:val="24"/>
              </w:rPr>
            </w:pPr>
            <w:r>
              <w:rPr>
                <w:kern w:val="2"/>
                <w:szCs w:val="24"/>
              </w:rPr>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14.1.</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Šalys susitaria pakeisti nurodytą Sutarties Bendrųjų sąlygų punktą ir išdėstyti jį nauja redakcija: netaikoma.</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14.2.</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Šalys susitaria papildyti Sutarties Bendrąsias sąlygas nurodytu punktu, tačiau kitų punktų numeracijos nekeisti: netaikoma.</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14.3.</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Šalys susitaria išbraukti nurodytą Sutarties Bendrųjų sąlygų punktą, tačiau kitų punktų numeracijos nekeisti: netaikoma</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14.4.</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color w:val="000000"/>
                <w:kern w:val="2"/>
                <w:szCs w:val="24"/>
              </w:rPr>
            </w:pPr>
            <w:r>
              <w:rPr>
                <w:color w:val="000000"/>
                <w:kern w:val="2"/>
                <w:szCs w:val="24"/>
              </w:rPr>
              <w:t>Nustatomos kitokios nei Sutarties Bendrosiose sąlygose nustatytos nuostatos dėl Paslaugų intelektinės nuosavybės: netaikoma.</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rPr>
                <w:b/>
                <w:kern w:val="2"/>
                <w:szCs w:val="24"/>
              </w:rPr>
            </w:pPr>
            <w:r>
              <w:rPr>
                <w:b/>
                <w:kern w:val="2"/>
                <w:szCs w:val="24"/>
              </w:rPr>
              <w:t>14.5.</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trPr>
          <w:trHeight w:val="300" w:hRule="atLeast"/>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15. SUTARTIES PRIEDAI</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15.1. Priedas Nr. 1</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jc w:val="center"/>
              <w:rPr>
                <w:kern w:val="2"/>
                <w:szCs w:val="24"/>
              </w:rPr>
            </w:pPr>
            <w:r>
              <w:rPr>
                <w:kern w:val="2"/>
                <w:szCs w:val="24"/>
              </w:rPr>
              <w:t>Pasiūlymas</w:t>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15.2. Priedas Nr. 2</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jc w:val="center"/>
              <w:rPr>
                <w:kern w:val="2"/>
                <w:szCs w:val="24"/>
              </w:rPr>
            </w:pPr>
            <w:r>
              <w:rPr>
                <w:kern w:val="2"/>
                <w:szCs w:val="24"/>
              </w:rPr>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15.3. Priedas Nr. 3</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15.4. Priedas Nr. 4</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r>
          </w:p>
        </w:tc>
      </w:tr>
      <w:tr>
        <w:trPr>
          <w:trHeight w:val="300" w:hRule="atLeast"/>
        </w:trPr>
        <w:tc>
          <w:tcPr>
            <w:tcW w:w="3055" w:type="dxa"/>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15.5. Priedas Nr. 5</w:t>
            </w:r>
          </w:p>
        </w:tc>
        <w:tc>
          <w:tcPr>
            <w:tcW w:w="6480" w:type="dxa"/>
            <w:gridSpan w:val="3"/>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r>
          </w:p>
        </w:tc>
      </w:tr>
      <w:tr>
        <w:trPr/>
        <w:tc>
          <w:tcPr>
            <w:tcW w:w="9535" w:type="dxa"/>
            <w:gridSpan w:val="4"/>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16. ŠALIŲ ATSTOVŲ PARAŠAI</w:t>
            </w:r>
          </w:p>
        </w:tc>
      </w:tr>
      <w:tr>
        <w:trPr/>
        <w:tc>
          <w:tcPr>
            <w:tcW w:w="5225" w:type="dxa"/>
            <w:gridSpan w:val="3"/>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PIRKĖJAS</w:t>
            </w:r>
          </w:p>
        </w:tc>
        <w:tc>
          <w:tcPr>
            <w:tcW w:w="4310" w:type="dxa"/>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b/>
                <w:kern w:val="2"/>
                <w:szCs w:val="24"/>
              </w:rPr>
              <w:t>TIEKĖJAS</w:t>
            </w:r>
          </w:p>
        </w:tc>
      </w:tr>
      <w:tr>
        <w:trPr/>
        <w:tc>
          <w:tcPr>
            <w:tcW w:w="5225" w:type="dxa"/>
            <w:gridSpan w:val="3"/>
            <w:tcBorders>
              <w:top w:val="single" w:sz="4" w:space="0" w:color="000000"/>
              <w:left w:val="single" w:sz="4" w:space="0" w:color="000000"/>
              <w:bottom w:val="single" w:sz="4" w:space="0" w:color="000000"/>
              <w:right w:val="single" w:sz="4" w:space="0" w:color="000000"/>
            </w:tcBorders>
          </w:tcPr>
          <w:p>
            <w:pPr>
              <w:pStyle w:val="Normal"/>
              <w:jc w:val="center"/>
              <w:rPr>
                <w:color w:val="4472C4"/>
                <w:kern w:val="2"/>
                <w:szCs w:val="24"/>
              </w:rPr>
            </w:pPr>
            <w:r>
              <w:rPr>
                <w:color w:val="4472C4"/>
                <w:kern w:val="2"/>
                <w:szCs w:val="24"/>
              </w:rPr>
              <w:t>(nurodomos atstovo pareigos, vardas, pavardė)</w:t>
            </w:r>
          </w:p>
        </w:tc>
        <w:tc>
          <w:tcPr>
            <w:tcW w:w="4310" w:type="dxa"/>
            <w:tcBorders>
              <w:top w:val="single" w:sz="4" w:space="0" w:color="000000"/>
              <w:left w:val="single" w:sz="4" w:space="0" w:color="000000"/>
              <w:bottom w:val="single" w:sz="4" w:space="0" w:color="000000"/>
              <w:right w:val="single" w:sz="4" w:space="0" w:color="000000"/>
            </w:tcBorders>
          </w:tcPr>
          <w:p>
            <w:pPr>
              <w:pStyle w:val="Normal"/>
              <w:jc w:val="center"/>
              <w:rPr>
                <w:b/>
                <w:kern w:val="2"/>
                <w:szCs w:val="24"/>
              </w:rPr>
            </w:pPr>
            <w:r>
              <w:rPr>
                <w:color w:val="4472C4"/>
                <w:kern w:val="2"/>
                <w:szCs w:val="24"/>
              </w:rPr>
              <w:t>(nurodomos atstovo pareigos, vardas, pavardė)</w:t>
            </w:r>
          </w:p>
        </w:tc>
      </w:tr>
      <w:tr>
        <w:trPr/>
        <w:tc>
          <w:tcPr>
            <w:tcW w:w="5225" w:type="dxa"/>
            <w:gridSpan w:val="3"/>
            <w:tcBorders>
              <w:top w:val="single" w:sz="4" w:space="0" w:color="000000"/>
              <w:left w:val="single" w:sz="4" w:space="0" w:color="000000"/>
              <w:bottom w:val="single" w:sz="4" w:space="0" w:color="000000"/>
              <w:right w:val="single" w:sz="4" w:space="0" w:color="000000"/>
            </w:tcBorders>
          </w:tcPr>
          <w:p>
            <w:pPr>
              <w:pStyle w:val="Normal"/>
              <w:jc w:val="center"/>
              <w:rPr>
                <w:b/>
                <w:color w:val="4472C4"/>
                <w:kern w:val="2"/>
                <w:szCs w:val="24"/>
              </w:rPr>
            </w:pPr>
            <w:r>
              <w:rPr>
                <w:b/>
                <w:color w:val="4472C4"/>
                <w:kern w:val="2"/>
                <w:szCs w:val="24"/>
              </w:rPr>
            </w:r>
          </w:p>
          <w:p>
            <w:pPr>
              <w:pStyle w:val="Normal"/>
              <w:jc w:val="center"/>
              <w:rPr>
                <w:b/>
                <w:color w:val="4472C4"/>
                <w:kern w:val="2"/>
                <w:szCs w:val="24"/>
              </w:rPr>
            </w:pPr>
            <w:r>
              <w:rPr>
                <w:b/>
                <w:color w:val="4472C4"/>
                <w:kern w:val="2"/>
                <w:szCs w:val="24"/>
              </w:rPr>
              <w:t>(parašas)</w:t>
            </w:r>
          </w:p>
          <w:p>
            <w:pPr>
              <w:pStyle w:val="Normal"/>
              <w:jc w:val="center"/>
              <w:rPr>
                <w:b/>
                <w:color w:val="4472C4"/>
                <w:kern w:val="2"/>
                <w:szCs w:val="24"/>
              </w:rPr>
            </w:pPr>
            <w:r>
              <w:rPr>
                <w:b/>
                <w:color w:val="4472C4"/>
                <w:kern w:val="2"/>
                <w:szCs w:val="24"/>
              </w:rPr>
            </w:r>
          </w:p>
          <w:p>
            <w:pPr>
              <w:pStyle w:val="Normal"/>
              <w:jc w:val="center"/>
              <w:rPr>
                <w:b/>
                <w:color w:val="4472C4"/>
                <w:kern w:val="2"/>
                <w:szCs w:val="24"/>
              </w:rPr>
            </w:pPr>
            <w:r>
              <w:rPr>
                <w:b/>
                <w:color w:val="4472C4"/>
                <w:kern w:val="2"/>
                <w:szCs w:val="24"/>
              </w:rPr>
            </w:r>
          </w:p>
        </w:tc>
        <w:tc>
          <w:tcPr>
            <w:tcW w:w="4310" w:type="dxa"/>
            <w:tcBorders>
              <w:top w:val="single" w:sz="4" w:space="0" w:color="000000"/>
              <w:left w:val="single" w:sz="4" w:space="0" w:color="000000"/>
              <w:bottom w:val="single" w:sz="4" w:space="0" w:color="000000"/>
              <w:right w:val="single" w:sz="4" w:space="0" w:color="000000"/>
            </w:tcBorders>
          </w:tcPr>
          <w:p>
            <w:pPr>
              <w:pStyle w:val="Normal"/>
              <w:jc w:val="center"/>
              <w:rPr>
                <w:b/>
                <w:color w:val="4472C4"/>
                <w:kern w:val="2"/>
                <w:szCs w:val="24"/>
              </w:rPr>
            </w:pPr>
            <w:r>
              <w:rPr>
                <w:b/>
                <w:color w:val="4472C4"/>
                <w:kern w:val="2"/>
                <w:szCs w:val="24"/>
              </w:rPr>
            </w:r>
          </w:p>
          <w:p>
            <w:pPr>
              <w:pStyle w:val="Normal"/>
              <w:jc w:val="center"/>
              <w:rPr>
                <w:b/>
                <w:color w:val="4472C4"/>
                <w:kern w:val="2"/>
                <w:szCs w:val="24"/>
              </w:rPr>
            </w:pPr>
            <w:r>
              <w:rPr>
                <w:b/>
                <w:color w:val="4472C4"/>
                <w:kern w:val="2"/>
                <w:szCs w:val="24"/>
              </w:rPr>
              <w:t>(parašas)</w:t>
            </w:r>
          </w:p>
        </w:tc>
      </w:tr>
    </w:tbl>
    <w:p>
      <w:pPr>
        <w:pStyle w:val="Normal"/>
        <w:rPr>
          <w:szCs w:val="24"/>
        </w:rPr>
      </w:pPr>
      <w:r>
        <w:rPr>
          <w:szCs w:val="24"/>
        </w:rPr>
      </w:r>
    </w:p>
    <w:p>
      <w:pPr>
        <w:pStyle w:val="Normal"/>
        <w:rPr>
          <w:szCs w:val="24"/>
        </w:rPr>
      </w:pPr>
      <w:r>
        <w:rPr>
          <w:szCs w:val="24"/>
        </w:rPr>
      </w:r>
    </w:p>
    <w:p>
      <w:pPr>
        <w:pStyle w:val="Normal"/>
        <w:tabs>
          <w:tab w:val="clear" w:pos="1296"/>
          <w:tab w:val="left" w:pos="5400" w:leader="none"/>
        </w:tabs>
        <w:jc w:val="center"/>
        <w:textAlignment w:val="center"/>
        <w:rPr/>
      </w:pPr>
      <w:r>
        <w:rPr>
          <w:b/>
          <w:bCs/>
        </w:rPr>
        <w:t>______________</w:t>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701" w:right="567" w:gutter="0" w:header="720" w:top="1134" w:footer="720"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 w:name="Liberation Sans">
    <w:altName w:val="Arial"/>
    <w:charset w:val="ba"/>
    <w:family w:val="swiss"/>
    <w:pitch w:val="variable"/>
  </w:font>
  <w:font w:name="Helvetica Neue Light">
    <w:charset w:val="ba"/>
    <w:family w:val="roman"/>
    <w:pitch w:val="variable"/>
  </w:font>
  <w:font w:name="Helvetica Neue Medium">
    <w:charset w:val="ba"/>
    <w:family w:val="roman"/>
    <w:pitch w:val="variable"/>
  </w:font>
  <w:font w:name="Segoe UI">
    <w:charset w:val="ba"/>
    <w:family w:val="swiss"/>
    <w:pitch w:val="variable"/>
  </w:font>
  <w:font w:name="Arial">
    <w:charset w:val="ba"/>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1296"/>
        <w:tab w:val="center" w:pos="4680" w:leader="none"/>
        <w:tab w:val="right" w:pos="9360" w:leader="none"/>
      </w:tabs>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1296"/>
        <w:tab w:val="center" w:pos="4680" w:leader="none"/>
        <w:tab w:val="right" w:pos="9360" w:leader="none"/>
      </w:tabs>
      <w:jc w:val="center"/>
      <w:rPr>
        <w:rFonts w:ascii="Arial" w:hAnsi="Arial" w:eastAsia="Arial" w:cs="Arial"/>
        <w:sz w:val="18"/>
        <w:szCs w:val="18"/>
      </w:rPr>
    </w:pPr>
    <w:r>
      <w:rPr>
        <w:rFonts w:eastAsia="Arial" w:cs="Arial" w:ascii="Arial" w:hAnsi="Arial"/>
        <w:sz w:val="18"/>
        <w:szCs w:val="18"/>
      </w:rPr>
      <w:fldChar w:fldCharType="begin"/>
    </w:r>
    <w:r>
      <w:rPr>
        <w:rFonts w:eastAsia="Arial" w:cs="Arial" w:ascii="Arial" w:hAnsi="Arial"/>
        <w:sz w:val="18"/>
        <w:szCs w:val="18"/>
      </w:rPr>
      <w:instrText xml:space="preserve"> PAGE </w:instrText>
    </w:r>
    <w:r>
      <w:rPr>
        <w:rFonts w:eastAsia="Arial" w:cs="Arial" w:ascii="Arial" w:hAnsi="Arial"/>
        <w:sz w:val="18"/>
        <w:szCs w:val="18"/>
      </w:rPr>
      <w:fldChar w:fldCharType="separate"/>
    </w:r>
    <w:r>
      <w:rPr>
        <w:rFonts w:eastAsia="Arial" w:cs="Arial" w:ascii="Arial" w:hAnsi="Arial"/>
        <w:sz w:val="18"/>
        <w:szCs w:val="18"/>
      </w:rPr>
      <w:t>9</w:t>
    </w:r>
    <w:r>
      <w:rPr>
        <w:rFonts w:eastAsia="Arial" w:cs="Arial" w:ascii="Arial" w:hAnsi="Arial"/>
        <w:sz w:val="18"/>
        <w:szCs w:val="18"/>
      </w:rPr>
      <w:fldChar w:fldCharType="end"/>
    </w:r>
  </w:p>
  <w:p>
    <w:pPr>
      <w:pStyle w:val="Normal"/>
      <w:tabs>
        <w:tab w:val="clear" w:pos="1296"/>
        <w:tab w:val="center" w:pos="4680" w:leader="none"/>
        <w:tab w:val="right" w:pos="9360" w:leader="none"/>
      </w:tabs>
      <w:jc w:val="both"/>
      <w:rPr>
        <w:rFonts w:ascii="Arial" w:hAnsi="Arial" w:eastAsia="Arial" w:cs="Arial"/>
        <w:sz w:val="18"/>
        <w:szCs w:val="18"/>
      </w:rPr>
    </w:pPr>
    <w:r>
      <w:rPr>
        <w:rFonts w:eastAsia="Arial" w:cs="Arial" w:ascii="Arial" w:hAnsi="Arial"/>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1296"/>
  <w:autoHyphenation w:val="true"/>
  <w:hyphenationZone w:val="396"/>
  <w:doNotHyphenateCap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lt-LT"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lang w:val="lt-LT" w:eastAsia="en-US" w:bidi="ar-SA"/>
      </w:rPr>
    </w:rPrDefault>
    <w:pPrDefault>
      <w:pPr>
        <w:suppressAutoHyphens w:val="true"/>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lt-LT" w:eastAsia="en-US" w:bidi="ar-SA"/>
    </w:rPr>
  </w:style>
  <w:style w:type="character" w:styleId="DefaultParagraphFont" w:default="1">
    <w:name w:val="Default Paragraph Font"/>
    <w:uiPriority w:val="1"/>
    <w:unhideWhenUsed/>
    <w:qFormat/>
    <w:rPr/>
  </w:style>
  <w:style w:type="character" w:styleId="PlaceholderText">
    <w:name w:val="Placeholder Text"/>
    <w:basedOn w:val="DefaultParagraphFont"/>
    <w:qFormat/>
    <w:rsid w:val="00f60bd9"/>
    <w:rPr>
      <w:color w:val="808080"/>
    </w:rPr>
  </w:style>
  <w:style w:type="character" w:styleId="AntratsDiagrama1" w:customStyle="1">
    <w:name w:val="Antraštės Diagrama1"/>
    <w:basedOn w:val="DefaultParagraphFont"/>
    <w:qFormat/>
    <w:rsid w:val="007a75c6"/>
    <w:rPr/>
  </w:style>
  <w:style w:type="character" w:styleId="PoratDiagrama1" w:customStyle="1">
    <w:name w:val="Poraštė Diagrama1"/>
    <w:basedOn w:val="DefaultParagraphFont"/>
    <w:qFormat/>
    <w:rsid w:val="007a75c6"/>
    <w:rPr/>
  </w:style>
  <w:style w:type="character" w:styleId="normaltextrun" w:customStyle="1">
    <w:name w:val="normaltextrun"/>
    <w:basedOn w:val="DefaultParagraphFont"/>
    <w:qFormat/>
    <w:rsid w:val="00c74fa2"/>
    <w:rPr/>
  </w:style>
  <w:style w:type="character" w:styleId="eop" w:customStyle="1">
    <w:name w:val="eop"/>
    <w:basedOn w:val="DefaultParagraphFont"/>
    <w:qFormat/>
    <w:rsid w:val="00c74fa2"/>
    <w:rPr/>
  </w:style>
  <w:style w:type="character" w:styleId="Galinsinaosramenys" w:customStyle="1">
    <w:name w:val="Galinės išnašos rašmenys"/>
    <w:qFormat/>
    <w:rPr/>
  </w:style>
  <w:style w:type="character" w:styleId="UnresolvedMention">
    <w:name w:val="Unresolved Mention"/>
    <w:basedOn w:val="DefaultParagraphFont"/>
    <w:qFormat/>
    <w:rPr>
      <w:color w:val="605E5C"/>
      <w:shd w:fill="E1DFDD" w:val="clear"/>
    </w:rPr>
  </w:style>
  <w:style w:type="character" w:styleId="Hyperlink">
    <w:name w:val="Hyperlink"/>
    <w:basedOn w:val="DefaultParagraphFont"/>
    <w:rPr>
      <w:color w:themeColor="hyperlink" w:val="0563C1"/>
      <w:u w:val="single"/>
    </w:rPr>
  </w:style>
  <w:style w:type="character" w:styleId="PoratDiagrama" w:customStyle="1">
    <w:name w:val="Poraštė Diagrama"/>
    <w:basedOn w:val="DefaultParagraphFont"/>
    <w:qFormat/>
    <w:rPr>
      <w:rFonts w:ascii="Times New Roman" w:hAnsi="Times New Roman" w:eastAsia="Arial Unicode MS" w:cs="Times New Roman"/>
    </w:rPr>
  </w:style>
  <w:style w:type="character" w:styleId="AntratsDiagrama" w:customStyle="1">
    <w:name w:val="Antraštės Diagrama"/>
    <w:basedOn w:val="DefaultParagraphFont"/>
    <w:qFormat/>
    <w:rPr>
      <w:rFonts w:ascii="Times New Roman" w:hAnsi="Times New Roman" w:eastAsia="Arial Unicode MS" w:cs="Times New Roman"/>
    </w:rPr>
  </w:style>
  <w:style w:type="character" w:styleId="Inaosramenys" w:customStyle="1">
    <w:name w:val="Išnašos rašmenys"/>
    <w:qFormat/>
    <w:rPr/>
  </w:style>
  <w:style w:type="character" w:styleId="FollowedHyperlink">
    <w:name w:val="FollowedHyperlink"/>
    <w:rPr>
      <w:color w:val="800000"/>
      <w:u w:val="single"/>
    </w:rPr>
  </w:style>
  <w:style w:type="paragraph" w:styleId="Antrat" w:customStyle="1">
    <w:name w:val="Antraštė"/>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next w:val="BodyText"/>
    <w:qFormat/>
    <w:pPr>
      <w:suppressLineNumbers/>
      <w:spacing w:before="120" w:after="120"/>
    </w:pPr>
    <w:rPr>
      <w:rFonts w:cs="Lucida Sans"/>
      <w:i/>
      <w:iCs/>
      <w:szCs w:val="24"/>
    </w:rPr>
  </w:style>
  <w:style w:type="paragraph" w:styleId="Rodykl" w:customStyle="1">
    <w:name w:val="Rodyklė"/>
    <w:basedOn w:val="Normal"/>
    <w:qFormat/>
    <w:pPr>
      <w:suppressLineNumbers/>
    </w:pPr>
    <w:rPr>
      <w:rFonts w:cs="Lucida Sans"/>
    </w:rPr>
  </w:style>
  <w:style w:type="paragraph" w:styleId="Antratuser">
    <w:name w:val="Antraštė (user)"/>
    <w:basedOn w:val="Normal"/>
    <w:next w:val="BodyText"/>
    <w:qFormat/>
    <w:pPr>
      <w:keepNext w:val="true"/>
      <w:spacing w:before="240" w:after="120"/>
    </w:pPr>
    <w:rPr>
      <w:rFonts w:ascii="Liberation Sans" w:hAnsi="Liberation Sans" w:eastAsia="Microsoft YaHei" w:cs="Lucida Sans"/>
      <w:sz w:val="28"/>
      <w:szCs w:val="28"/>
    </w:rPr>
  </w:style>
  <w:style w:type="paragraph" w:styleId="Rodykluser" w:customStyle="1">
    <w:name w:val="Rodyklė (user)"/>
    <w:basedOn w:val="Normal"/>
    <w:qFormat/>
    <w:pPr>
      <w:suppressLineNumbers/>
    </w:pPr>
    <w:rPr>
      <w:rFonts w:cs="Lucida Sans"/>
    </w:rPr>
  </w:style>
  <w:style w:type="paragraph" w:styleId="HeaderandFooter" w:customStyle="1">
    <w:name w:val="Header and Footer"/>
    <w:basedOn w:val="Normal"/>
    <w:qFormat/>
    <w:pPr/>
    <w:rPr/>
  </w:style>
  <w:style w:type="paragraph" w:styleId="Header">
    <w:name w:val="header"/>
    <w:basedOn w:val="Normal"/>
    <w:link w:val="AntratsDiagrama1"/>
    <w:unhideWhenUsed/>
    <w:rsid w:val="007a75c6"/>
    <w:pPr>
      <w:tabs>
        <w:tab w:val="clear" w:pos="1296"/>
        <w:tab w:val="center" w:pos="4513" w:leader="none"/>
        <w:tab w:val="right" w:pos="9026" w:leader="none"/>
      </w:tabs>
    </w:pPr>
    <w:rPr/>
  </w:style>
  <w:style w:type="paragraph" w:styleId="Footer">
    <w:name w:val="footer"/>
    <w:basedOn w:val="Normal"/>
    <w:link w:val="PoratDiagrama1"/>
    <w:unhideWhenUsed/>
    <w:rsid w:val="007a75c6"/>
    <w:pPr>
      <w:tabs>
        <w:tab w:val="clear" w:pos="1296"/>
        <w:tab w:val="center" w:pos="4513" w:leader="none"/>
        <w:tab w:val="right" w:pos="9026" w:leader="none"/>
      </w:tabs>
    </w:pPr>
    <w:rPr/>
  </w:style>
  <w:style w:type="paragraph" w:styleId="paragraph" w:customStyle="1">
    <w:name w:val="paragraph"/>
    <w:basedOn w:val="Normal"/>
    <w:qFormat/>
    <w:rsid w:val="00c74fa2"/>
    <w:pPr>
      <w:spacing w:beforeAutospacing="1" w:afterAutospacing="1"/>
    </w:pPr>
    <w:rPr>
      <w:szCs w:val="24"/>
      <w:lang w:val="en-US"/>
    </w:rPr>
  </w:style>
  <w:style w:type="paragraph" w:styleId="Lentelsturinys" w:customStyle="1">
    <w:name w:val="Lentelės turinys"/>
    <w:basedOn w:val="Normal"/>
    <w:qFormat/>
    <w:pPr>
      <w:widowControl w:val="false"/>
      <w:suppressLineNumbers/>
    </w:pPr>
    <w:rPr/>
  </w:style>
  <w:style w:type="paragraph" w:styleId="Lentelsantrat" w:customStyle="1">
    <w:name w:val="Lentelės antraštė"/>
    <w:basedOn w:val="Lentelsturinys"/>
    <w:qFormat/>
    <w:pPr>
      <w:jc w:val="center"/>
    </w:pPr>
    <w:rPr>
      <w:b/>
      <w:bCs/>
    </w:rPr>
  </w:style>
  <w:style w:type="paragraph" w:styleId="Body" w:customStyle="1">
    <w:name w:val="Body"/>
    <w:qFormat/>
    <w:pPr>
      <w:widowControl/>
      <w:suppressAutoHyphens w:val="true"/>
      <w:bidi w:val="0"/>
      <w:spacing w:lineRule="auto" w:line="312" w:before="0" w:after="0"/>
      <w:jc w:val="left"/>
    </w:pPr>
    <w:rPr>
      <w:rFonts w:ascii="Helvetica Neue Light" w:hAnsi="Helvetica Neue Light" w:eastAsia="Helvetica Neue Light" w:cs="Helvetica Neue Light"/>
      <w:color w:val="000000"/>
      <w:kern w:val="0"/>
      <w:sz w:val="20"/>
      <w:szCs w:val="20"/>
      <w:lang w:val="en-US" w:eastAsia="en-US" w:bidi="ar-SA"/>
    </w:rPr>
  </w:style>
  <w:style w:type="paragraph" w:styleId="Body2" w:customStyle="1">
    <w:name w:val="Body 2"/>
    <w:qFormat/>
    <w:pPr>
      <w:widowControl/>
      <w:suppressAutoHyphens w:val="true"/>
      <w:bidi w:val="0"/>
      <w:spacing w:before="0" w:after="40"/>
      <w:jc w:val="both"/>
    </w:pPr>
    <w:rPr>
      <w:rFonts w:ascii="Times New Roman" w:hAnsi="Times New Roman" w:eastAsia="Arial Unicode MS" w:cs="Arial Unicode MS"/>
      <w:color w:val="000000"/>
      <w:kern w:val="0"/>
      <w:sz w:val="22"/>
      <w:szCs w:val="22"/>
      <w:lang w:val="en-US" w:eastAsia="en-US" w:bidi="ar-SA"/>
    </w:rPr>
  </w:style>
  <w:style w:type="paragraph" w:styleId="HeaderFooter" w:customStyle="1">
    <w:name w:val="Header &amp; Footer"/>
    <w:qFormat/>
    <w:pPr>
      <w:widowControl/>
      <w:tabs>
        <w:tab w:val="clear" w:pos="1296"/>
        <w:tab w:val="right" w:pos="9020" w:leader="none"/>
      </w:tabs>
      <w:suppressAutoHyphens w:val="true"/>
      <w:bidi w:val="0"/>
      <w:spacing w:lineRule="auto" w:line="288" w:before="0" w:after="0"/>
      <w:jc w:val="left"/>
    </w:pPr>
    <w:rPr>
      <w:rFonts w:ascii="Helvetica Neue Medium" w:hAnsi="Helvetica Neue Medium" w:eastAsia="Arial Unicode MS" w:cs="Arial Unicode MS"/>
      <w:color w:val="5F5F5F"/>
      <w:kern w:val="0"/>
      <w:sz w:val="20"/>
      <w:szCs w:val="20"/>
      <w:lang w:val="en-US" w:eastAsia="en-US" w:bidi="ar-SA"/>
    </w:rPr>
  </w:style>
  <w:style w:type="paragraph" w:styleId="Sraoturinys" w:customStyle="1">
    <w:name w:val="Sąrašo turinys"/>
    <w:basedOn w:val="Normal"/>
    <w:qFormat/>
    <w:pPr>
      <w:ind w:left="567"/>
    </w:pPr>
    <w:rPr/>
  </w:style>
  <w:style w:type="numbering" w:styleId="NoList" w:default="1">
    <w:name w:val="No List"/>
    <w:uiPriority w:val="99"/>
    <w:semiHidden/>
    <w:unhideWhenUsed/>
    <w:qFormat/>
  </w:style>
  <w:style w:type="table" w:default="1" w:styleId="prastojilent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Application>LibreOffice/26.2.5.2$Windows_X86_64 LibreOffice_project/cd7284b4cbbfeb507e630c1aac019f4157393acb</Application>
  <AppVersion>15.0000</AppVersion>
  <Pages>9</Pages>
  <Words>2000</Words>
  <Characters>14054</Characters>
  <CharactersWithSpaces>15876</CharactersWithSpaces>
  <Paragraphs>203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2026-07-21T07:43:00Z</dcterms:created>
  <dc:creator>Kristina Svetlauskė</dc:creator>
  <dc:description/>
  <dc:language>lt-LT</dc:language>
  <cp:lastModifiedBy/>
  <dcterms:modified xsi:type="dcterms:W3CDTF">2026-08-07T08:44:01Z</dcterms:modified>
  <cp:revision>103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