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C189" w14:textId="0D3D19DF" w:rsidR="00FE69BB" w:rsidRPr="00824FCD" w:rsidRDefault="007C4A68" w:rsidP="00FE69BB">
      <w:pPr>
        <w:tabs>
          <w:tab w:val="center" w:pos="7568"/>
          <w:tab w:val="left" w:pos="10800"/>
        </w:tabs>
        <w:autoSpaceDE w:val="0"/>
        <w:spacing w:after="120"/>
        <w:jc w:val="center"/>
        <w:outlineLvl w:val="0"/>
        <w:rPr>
          <w:b/>
          <w:bCs/>
          <w:color w:val="auto"/>
        </w:rPr>
      </w:pPr>
      <w:r w:rsidRPr="00824FCD">
        <w:rPr>
          <w:b/>
          <w:caps/>
          <w:color w:val="auto"/>
        </w:rPr>
        <w:t xml:space="preserve">Saugaus interneto naudojimo </w:t>
      </w:r>
      <w:r w:rsidR="00FE69BB" w:rsidRPr="00824FCD">
        <w:rPr>
          <w:b/>
          <w:caps/>
          <w:color w:val="auto"/>
        </w:rPr>
        <w:t>te</w:t>
      </w:r>
      <w:r w:rsidR="00B742E6" w:rsidRPr="00824FCD">
        <w:rPr>
          <w:b/>
          <w:bCs/>
          <w:color w:val="auto"/>
        </w:rPr>
        <w:t>CHNINĖS SPECIFIKACIJA</w:t>
      </w:r>
    </w:p>
    <w:p w14:paraId="34CD776B" w14:textId="77777777" w:rsidR="00FE69BB" w:rsidRPr="00824FCD" w:rsidRDefault="00FE69BB" w:rsidP="00FE69BB">
      <w:pPr>
        <w:rPr>
          <w:color w:val="auto"/>
        </w:rPr>
      </w:pPr>
    </w:p>
    <w:p w14:paraId="496B04C2" w14:textId="77777777" w:rsidR="00FE69BB" w:rsidRPr="00824FCD" w:rsidRDefault="00FE69BB" w:rsidP="00FE69BB">
      <w:pPr>
        <w:ind w:firstLine="720"/>
        <w:rPr>
          <w:b/>
          <w:color w:val="auto"/>
        </w:rPr>
      </w:pP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3466"/>
      </w:tblGrid>
      <w:tr w:rsidR="00824FCD" w:rsidRPr="00824FCD" w14:paraId="2F38ACA3" w14:textId="77777777" w:rsidTr="00FE69BB">
        <w:trPr>
          <w:trHeight w:val="324"/>
        </w:trPr>
        <w:tc>
          <w:tcPr>
            <w:tcW w:w="851" w:type="dxa"/>
            <w:noWrap/>
          </w:tcPr>
          <w:p w14:paraId="29A26BDB" w14:textId="77777777" w:rsidR="00FE69BB" w:rsidRPr="00824FCD" w:rsidRDefault="00FE69BB" w:rsidP="009543BC">
            <w:pPr>
              <w:rPr>
                <w:b/>
                <w:bCs/>
                <w:color w:val="auto"/>
              </w:rPr>
            </w:pPr>
          </w:p>
        </w:tc>
        <w:tc>
          <w:tcPr>
            <w:tcW w:w="13466" w:type="dxa"/>
          </w:tcPr>
          <w:p w14:paraId="5710812E" w14:textId="77777777" w:rsidR="00FE69BB" w:rsidRPr="00824FCD" w:rsidRDefault="00FE69BB" w:rsidP="009543BC">
            <w:pPr>
              <w:jc w:val="center"/>
              <w:rPr>
                <w:b/>
                <w:color w:val="auto"/>
                <w:lang w:eastAsia="en-US"/>
              </w:rPr>
            </w:pPr>
            <w:r w:rsidRPr="00824FCD">
              <w:rPr>
                <w:b/>
                <w:color w:val="auto"/>
              </w:rPr>
              <w:t>Pirkimo dokumentuose nustatyti prekių techniniai rodikliai</w:t>
            </w:r>
          </w:p>
        </w:tc>
      </w:tr>
      <w:tr w:rsidR="00824FCD" w:rsidRPr="00824FCD" w14:paraId="3CFCDB96" w14:textId="77777777" w:rsidTr="00FE69BB">
        <w:trPr>
          <w:trHeight w:val="268"/>
        </w:trPr>
        <w:tc>
          <w:tcPr>
            <w:tcW w:w="851" w:type="dxa"/>
            <w:noWrap/>
          </w:tcPr>
          <w:p w14:paraId="2C43A469" w14:textId="77777777" w:rsidR="00FE69BB" w:rsidRPr="00824FCD" w:rsidRDefault="00FE69BB" w:rsidP="00FE69BB">
            <w:pPr>
              <w:spacing w:after="0"/>
              <w:ind w:firstLine="0"/>
              <w:rPr>
                <w:b/>
                <w:bCs/>
                <w:color w:val="auto"/>
              </w:rPr>
            </w:pPr>
            <w:r w:rsidRPr="00824FCD">
              <w:rPr>
                <w:b/>
                <w:bCs/>
                <w:color w:val="auto"/>
              </w:rPr>
              <w:t>1.</w:t>
            </w:r>
          </w:p>
        </w:tc>
        <w:tc>
          <w:tcPr>
            <w:tcW w:w="13466" w:type="dxa"/>
          </w:tcPr>
          <w:p w14:paraId="3A0716A7" w14:textId="77777777" w:rsidR="00FE69BB" w:rsidRPr="00824FCD" w:rsidRDefault="00FE69BB" w:rsidP="00FE69BB">
            <w:pPr>
              <w:pStyle w:val="Heading1"/>
              <w:spacing w:after="0"/>
              <w:jc w:val="both"/>
              <w:rPr>
                <w:color w:val="auto"/>
              </w:rPr>
            </w:pPr>
            <w:r w:rsidRPr="00824FCD">
              <w:rPr>
                <w:color w:val="auto"/>
              </w:rPr>
              <w:t>Bendrieji reikalavimai siūlomai įrangai</w:t>
            </w:r>
          </w:p>
        </w:tc>
      </w:tr>
      <w:tr w:rsidR="007D028A" w:rsidRPr="00824FCD" w14:paraId="1178EC3C" w14:textId="77777777" w:rsidTr="00FE69BB">
        <w:trPr>
          <w:trHeight w:val="324"/>
        </w:trPr>
        <w:tc>
          <w:tcPr>
            <w:tcW w:w="851" w:type="dxa"/>
            <w:shd w:val="clear" w:color="auto" w:fill="auto"/>
            <w:noWrap/>
          </w:tcPr>
          <w:p w14:paraId="4B80D7F1" w14:textId="77777777" w:rsidR="007D028A" w:rsidRPr="00824FCD" w:rsidRDefault="007D028A" w:rsidP="007D028A">
            <w:pPr>
              <w:spacing w:after="0"/>
              <w:ind w:firstLine="0"/>
              <w:rPr>
                <w:bCs/>
                <w:color w:val="auto"/>
              </w:rPr>
            </w:pPr>
            <w:r w:rsidRPr="00824FCD">
              <w:rPr>
                <w:bCs/>
                <w:color w:val="auto"/>
              </w:rPr>
              <w:t>1.1.</w:t>
            </w:r>
          </w:p>
        </w:tc>
        <w:tc>
          <w:tcPr>
            <w:tcW w:w="13466" w:type="dxa"/>
            <w:shd w:val="clear" w:color="auto" w:fill="auto"/>
          </w:tcPr>
          <w:p w14:paraId="28E91936" w14:textId="03435BDC" w:rsidR="007D028A" w:rsidRPr="007D028A" w:rsidRDefault="007D028A" w:rsidP="007D028A">
            <w:pPr>
              <w:pStyle w:val="Heading1"/>
              <w:spacing w:after="0"/>
              <w:jc w:val="both"/>
              <w:rPr>
                <w:b w:val="0"/>
                <w:color w:val="auto"/>
              </w:rPr>
            </w:pPr>
            <w:r w:rsidRPr="007D028A">
              <w:rPr>
                <w:b w:val="0"/>
                <w:color w:val="auto"/>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tc>
      </w:tr>
      <w:tr w:rsidR="007D028A" w:rsidRPr="00824FCD" w14:paraId="06AF1CEC" w14:textId="77777777" w:rsidTr="00FE69BB">
        <w:trPr>
          <w:trHeight w:val="324"/>
        </w:trPr>
        <w:tc>
          <w:tcPr>
            <w:tcW w:w="851" w:type="dxa"/>
            <w:shd w:val="clear" w:color="auto" w:fill="auto"/>
            <w:noWrap/>
          </w:tcPr>
          <w:p w14:paraId="670B7570" w14:textId="77777777" w:rsidR="007D028A" w:rsidRPr="00824FCD" w:rsidRDefault="007D028A" w:rsidP="007D028A">
            <w:pPr>
              <w:spacing w:after="0"/>
              <w:ind w:firstLine="0"/>
              <w:rPr>
                <w:bCs/>
                <w:color w:val="auto"/>
              </w:rPr>
            </w:pPr>
            <w:r w:rsidRPr="00824FCD">
              <w:rPr>
                <w:bCs/>
                <w:color w:val="auto"/>
              </w:rPr>
              <w:t>1.2.</w:t>
            </w:r>
          </w:p>
        </w:tc>
        <w:tc>
          <w:tcPr>
            <w:tcW w:w="13466" w:type="dxa"/>
            <w:shd w:val="clear" w:color="auto" w:fill="auto"/>
          </w:tcPr>
          <w:p w14:paraId="3DA53A01" w14:textId="4A27AABD" w:rsidR="007D028A" w:rsidRPr="007D028A" w:rsidRDefault="007D028A" w:rsidP="007D028A">
            <w:pPr>
              <w:pStyle w:val="Heading1"/>
              <w:spacing w:after="0"/>
              <w:jc w:val="both"/>
              <w:rPr>
                <w:b w:val="0"/>
                <w:color w:val="auto"/>
              </w:rPr>
            </w:pPr>
            <w:r w:rsidRPr="007D028A">
              <w:rPr>
                <w:b w:val="0"/>
                <w:color w:val="auto"/>
              </w:rPr>
              <w:t>Visa siūloma įranga turi būti nauja, nenaudota, gamykliniame įpakavime. Pateikiama įranga negali būti gamintojo atnaujinta („</w:t>
            </w:r>
            <w:proofErr w:type="spellStart"/>
            <w:r w:rsidRPr="007D028A">
              <w:rPr>
                <w:b w:val="0"/>
                <w:color w:val="auto"/>
              </w:rPr>
              <w:t>Refurbished</w:t>
            </w:r>
            <w:proofErr w:type="spellEnd"/>
            <w:r w:rsidRPr="007D028A">
              <w:rPr>
                <w:b w:val="0"/>
                <w:color w:val="auto"/>
              </w:rPr>
              <w:t>“ arba „</w:t>
            </w:r>
            <w:proofErr w:type="spellStart"/>
            <w:r w:rsidRPr="007D028A">
              <w:rPr>
                <w:b w:val="0"/>
                <w:color w:val="auto"/>
              </w:rPr>
              <w:t>Remarketed</w:t>
            </w:r>
            <w:proofErr w:type="spellEnd"/>
            <w:r w:rsidRPr="007D028A">
              <w:rPr>
                <w:b w:val="0"/>
                <w:color w:val="auto"/>
              </w:rPr>
              <w:t>“).</w:t>
            </w:r>
          </w:p>
        </w:tc>
      </w:tr>
      <w:tr w:rsidR="007D028A" w:rsidRPr="00824FCD" w14:paraId="064E039D" w14:textId="77777777" w:rsidTr="00FE69BB">
        <w:trPr>
          <w:trHeight w:val="324"/>
        </w:trPr>
        <w:tc>
          <w:tcPr>
            <w:tcW w:w="851" w:type="dxa"/>
            <w:shd w:val="clear" w:color="auto" w:fill="auto"/>
            <w:noWrap/>
          </w:tcPr>
          <w:p w14:paraId="06F53413" w14:textId="77777777" w:rsidR="007D028A" w:rsidRPr="00824FCD" w:rsidRDefault="007D028A" w:rsidP="007D028A">
            <w:pPr>
              <w:spacing w:after="0"/>
              <w:ind w:firstLine="0"/>
              <w:rPr>
                <w:bCs/>
                <w:color w:val="auto"/>
              </w:rPr>
            </w:pPr>
            <w:r w:rsidRPr="00824FCD">
              <w:rPr>
                <w:bCs/>
                <w:color w:val="auto"/>
              </w:rPr>
              <w:t>1.3.</w:t>
            </w:r>
          </w:p>
        </w:tc>
        <w:tc>
          <w:tcPr>
            <w:tcW w:w="13466" w:type="dxa"/>
            <w:shd w:val="clear" w:color="auto" w:fill="auto"/>
          </w:tcPr>
          <w:p w14:paraId="07DB6212" w14:textId="6ECDE7C1" w:rsidR="007D028A" w:rsidRPr="00824FCD" w:rsidRDefault="007D028A" w:rsidP="007D028A">
            <w:pPr>
              <w:spacing w:after="0"/>
              <w:ind w:firstLine="0"/>
              <w:rPr>
                <w:bCs/>
                <w:color w:val="auto"/>
              </w:rPr>
            </w:pPr>
            <w:r w:rsidRPr="00824FCD">
              <w:rPr>
                <w:color w:val="auto"/>
              </w:rPr>
              <w:t>Įrangos tiekėjas turi užtikrinti, kad gamintojas nėra paskelbęs žinios apie siūlomos įrangos gamybos arba tobulinimo nutraukimą (pvz., angl. „</w:t>
            </w:r>
            <w:proofErr w:type="spellStart"/>
            <w:r w:rsidRPr="00824FCD">
              <w:rPr>
                <w:color w:val="auto"/>
              </w:rPr>
              <w:t>End</w:t>
            </w:r>
            <w:proofErr w:type="spellEnd"/>
            <w:r w:rsidRPr="00824FCD">
              <w:rPr>
                <w:color w:val="auto"/>
              </w:rPr>
              <w:t>-</w:t>
            </w:r>
            <w:proofErr w:type="spellStart"/>
            <w:r w:rsidRPr="00824FCD">
              <w:rPr>
                <w:color w:val="auto"/>
              </w:rPr>
              <w:t>of</w:t>
            </w:r>
            <w:proofErr w:type="spellEnd"/>
            <w:r w:rsidRPr="00824FCD">
              <w:rPr>
                <w:color w:val="auto"/>
              </w:rPr>
              <w:t>-Sales“, „</w:t>
            </w:r>
            <w:proofErr w:type="spellStart"/>
            <w:r w:rsidRPr="00824FCD">
              <w:rPr>
                <w:color w:val="auto"/>
              </w:rPr>
              <w:t>End</w:t>
            </w:r>
            <w:proofErr w:type="spellEnd"/>
            <w:r w:rsidRPr="00824FCD">
              <w:rPr>
                <w:color w:val="auto"/>
              </w:rPr>
              <w:t xml:space="preserve"> </w:t>
            </w:r>
            <w:proofErr w:type="spellStart"/>
            <w:r w:rsidRPr="00824FCD">
              <w:rPr>
                <w:color w:val="auto"/>
              </w:rPr>
              <w:t>of</w:t>
            </w:r>
            <w:proofErr w:type="spellEnd"/>
            <w:r w:rsidRPr="00824FCD">
              <w:rPr>
                <w:color w:val="auto"/>
              </w:rPr>
              <w:t xml:space="preserve"> </w:t>
            </w:r>
            <w:proofErr w:type="spellStart"/>
            <w:r w:rsidRPr="00824FCD">
              <w:rPr>
                <w:color w:val="auto"/>
              </w:rPr>
              <w:t>Lifetime</w:t>
            </w:r>
            <w:proofErr w:type="spellEnd"/>
            <w:r w:rsidRPr="00824FCD">
              <w:rPr>
                <w:color w:val="auto"/>
              </w:rPr>
              <w:t>“ arba „</w:t>
            </w:r>
            <w:proofErr w:type="spellStart"/>
            <w:r w:rsidRPr="00824FCD">
              <w:rPr>
                <w:color w:val="auto"/>
              </w:rPr>
              <w:t>Discontinued</w:t>
            </w:r>
            <w:proofErr w:type="spellEnd"/>
            <w:r w:rsidRPr="00824FCD">
              <w:rPr>
                <w:color w:val="auto"/>
              </w:rPr>
              <w:t>“).</w:t>
            </w:r>
          </w:p>
        </w:tc>
      </w:tr>
      <w:tr w:rsidR="007D028A" w:rsidRPr="00824FCD" w14:paraId="3751657D" w14:textId="77777777" w:rsidTr="00FE69BB">
        <w:trPr>
          <w:trHeight w:val="324"/>
        </w:trPr>
        <w:tc>
          <w:tcPr>
            <w:tcW w:w="851" w:type="dxa"/>
            <w:shd w:val="clear" w:color="auto" w:fill="auto"/>
            <w:noWrap/>
          </w:tcPr>
          <w:p w14:paraId="79ED64EA" w14:textId="77777777" w:rsidR="007D028A" w:rsidRPr="00824FCD" w:rsidRDefault="007D028A" w:rsidP="007D028A">
            <w:pPr>
              <w:spacing w:after="0"/>
              <w:ind w:firstLine="0"/>
              <w:rPr>
                <w:bCs/>
                <w:color w:val="auto"/>
              </w:rPr>
            </w:pPr>
            <w:r w:rsidRPr="00824FCD">
              <w:rPr>
                <w:bCs/>
                <w:color w:val="auto"/>
              </w:rPr>
              <w:t>1.4.</w:t>
            </w:r>
          </w:p>
        </w:tc>
        <w:tc>
          <w:tcPr>
            <w:tcW w:w="13466" w:type="dxa"/>
            <w:shd w:val="clear" w:color="auto" w:fill="auto"/>
          </w:tcPr>
          <w:p w14:paraId="23455EC5" w14:textId="6C40D8D0" w:rsidR="007D028A" w:rsidRPr="00824FCD" w:rsidRDefault="007D028A" w:rsidP="007D028A">
            <w:pPr>
              <w:tabs>
                <w:tab w:val="left" w:pos="1562"/>
              </w:tabs>
              <w:spacing w:after="0"/>
              <w:ind w:firstLine="0"/>
              <w:rPr>
                <w:color w:val="auto"/>
              </w:rPr>
            </w:pPr>
            <w:r w:rsidRPr="00824FCD">
              <w:rPr>
                <w:color w:val="auto"/>
              </w:rPr>
              <w:t>Įrangos dokumentai turi būti lietuvių arba anglų kalba. Užrašai ant įrenginio ir jo dalių turi būti anglų arba lietuvių kalba. Gamintojo interneto svetainėje tvarkyklių ir dokumentų paieška atliekama anglų arba lietuvių kalba.</w:t>
            </w:r>
          </w:p>
        </w:tc>
      </w:tr>
      <w:tr w:rsidR="007D028A" w:rsidRPr="00824FCD" w14:paraId="72B8A040" w14:textId="77777777" w:rsidTr="00FE69BB">
        <w:trPr>
          <w:trHeight w:val="324"/>
        </w:trPr>
        <w:tc>
          <w:tcPr>
            <w:tcW w:w="851" w:type="dxa"/>
            <w:shd w:val="clear" w:color="auto" w:fill="auto"/>
            <w:noWrap/>
          </w:tcPr>
          <w:p w14:paraId="48AF2F8C" w14:textId="77777777" w:rsidR="007D028A" w:rsidRPr="00824FCD" w:rsidRDefault="007D028A" w:rsidP="007D028A">
            <w:pPr>
              <w:ind w:firstLine="0"/>
              <w:rPr>
                <w:bCs/>
                <w:color w:val="auto"/>
              </w:rPr>
            </w:pPr>
            <w:r w:rsidRPr="00824FCD">
              <w:rPr>
                <w:bCs/>
                <w:color w:val="auto"/>
              </w:rPr>
              <w:t>1.5.</w:t>
            </w:r>
          </w:p>
        </w:tc>
        <w:tc>
          <w:tcPr>
            <w:tcW w:w="13466" w:type="dxa"/>
            <w:shd w:val="clear" w:color="auto" w:fill="auto"/>
          </w:tcPr>
          <w:p w14:paraId="03BFDE1D" w14:textId="0ECA8D97" w:rsidR="007D028A" w:rsidRPr="00824FCD" w:rsidRDefault="007D028A" w:rsidP="007D028A">
            <w:pPr>
              <w:tabs>
                <w:tab w:val="left" w:pos="1562"/>
              </w:tabs>
              <w:ind w:firstLine="0"/>
              <w:rPr>
                <w:color w:val="auto"/>
              </w:rPr>
            </w:pPr>
            <w:r w:rsidRPr="00824FCD">
              <w:rPr>
                <w:color w:val="auto"/>
              </w:rPr>
              <w:t>Visi funkciniai ir našumo reikalavimai turi būti pagrįsti tiksliomis nuorodomis į gamintojo internetiniame puslapyje esančią informaciją arba kitus gamintojo oficialius dokumentus ar gamintojo deklaracijas, nurodant dokumentą ir puslapio numerį.</w:t>
            </w:r>
          </w:p>
        </w:tc>
      </w:tr>
      <w:tr w:rsidR="007D028A" w:rsidRPr="00824FCD" w14:paraId="2DB0AD7A" w14:textId="77777777" w:rsidTr="00FE69BB">
        <w:trPr>
          <w:trHeight w:val="324"/>
        </w:trPr>
        <w:tc>
          <w:tcPr>
            <w:tcW w:w="851" w:type="dxa"/>
            <w:shd w:val="clear" w:color="auto" w:fill="auto"/>
            <w:noWrap/>
          </w:tcPr>
          <w:p w14:paraId="2FE8AD6A" w14:textId="77777777" w:rsidR="007D028A" w:rsidRPr="00824FCD" w:rsidRDefault="007D028A" w:rsidP="007D028A">
            <w:pPr>
              <w:ind w:firstLine="0"/>
              <w:rPr>
                <w:bCs/>
                <w:color w:val="auto"/>
              </w:rPr>
            </w:pPr>
            <w:r w:rsidRPr="00824FCD">
              <w:rPr>
                <w:bCs/>
                <w:color w:val="auto"/>
              </w:rPr>
              <w:t>1.6.</w:t>
            </w:r>
          </w:p>
        </w:tc>
        <w:tc>
          <w:tcPr>
            <w:tcW w:w="13466" w:type="dxa"/>
            <w:shd w:val="clear" w:color="auto" w:fill="auto"/>
          </w:tcPr>
          <w:p w14:paraId="0C518038" w14:textId="0BA68E3C" w:rsidR="007D028A" w:rsidRPr="00824FCD" w:rsidRDefault="007D028A" w:rsidP="007D028A">
            <w:pPr>
              <w:tabs>
                <w:tab w:val="left" w:pos="1562"/>
              </w:tabs>
              <w:ind w:firstLine="0"/>
              <w:rPr>
                <w:color w:val="auto"/>
              </w:rPr>
            </w:pPr>
            <w:r w:rsidRPr="00824FCD">
              <w:rPr>
                <w:color w:val="auto"/>
              </w:rPr>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r>
      <w:tr w:rsidR="007D028A" w:rsidRPr="00824FCD" w14:paraId="6478CD73" w14:textId="77777777" w:rsidTr="00FE69BB">
        <w:trPr>
          <w:trHeight w:val="324"/>
        </w:trPr>
        <w:tc>
          <w:tcPr>
            <w:tcW w:w="851" w:type="dxa"/>
            <w:shd w:val="clear" w:color="auto" w:fill="auto"/>
            <w:noWrap/>
          </w:tcPr>
          <w:p w14:paraId="6DFBDF95" w14:textId="77777777" w:rsidR="007D028A" w:rsidRPr="00824FCD" w:rsidRDefault="007D028A" w:rsidP="007D028A">
            <w:pPr>
              <w:ind w:firstLine="0"/>
              <w:rPr>
                <w:bCs/>
                <w:color w:val="auto"/>
              </w:rPr>
            </w:pPr>
            <w:r w:rsidRPr="00824FCD">
              <w:rPr>
                <w:bCs/>
                <w:color w:val="auto"/>
              </w:rPr>
              <w:t>1.7.</w:t>
            </w:r>
          </w:p>
        </w:tc>
        <w:tc>
          <w:tcPr>
            <w:tcW w:w="13466" w:type="dxa"/>
            <w:shd w:val="clear" w:color="auto" w:fill="auto"/>
          </w:tcPr>
          <w:p w14:paraId="72BD5528" w14:textId="0FAB4601" w:rsidR="007D028A" w:rsidRPr="00824FCD" w:rsidRDefault="007D028A" w:rsidP="007D028A">
            <w:pPr>
              <w:tabs>
                <w:tab w:val="left" w:pos="1562"/>
              </w:tabs>
              <w:ind w:firstLine="0"/>
              <w:rPr>
                <w:color w:val="auto"/>
              </w:rPr>
            </w:pPr>
            <w:r w:rsidRPr="00824FCD">
              <w:rPr>
                <w:bCs/>
                <w:color w:val="auto"/>
              </w:rPr>
              <w:t>Visi 25Gbps, ir 10Gbps siūlomi optiniai keitikliai turi būti to paties gamintojo, kaip ir siūlomos įrangos arba skirtingų gamintojų, suderinami bendram darbui, ir būti visiškai su jais suderinami. Jei siūlomi skirtingų gamintojų optiniai keitikliai, turi būti pateiktas siūlomos įrangos gamintojo raštiškas patvirtinimas, kad siūlomi optiniai keitikliai yra visiškai suderinami bendram darbui, bei kad visą įrangos eksploatacijos laikotarpį atnaujinus programinę įrangą, įranga atpažins pasiūlytus optinius keitiklius, korektiškai rodys jų serijinius numerius, gamintoją ir kitus parametrus bei įrangai bus teikiama gamintojo garantija be apribojimų.</w:t>
            </w:r>
          </w:p>
        </w:tc>
      </w:tr>
      <w:tr w:rsidR="007D028A" w:rsidRPr="00824FCD" w14:paraId="3CD272B0" w14:textId="77777777" w:rsidTr="00FE69BB">
        <w:trPr>
          <w:trHeight w:val="324"/>
        </w:trPr>
        <w:tc>
          <w:tcPr>
            <w:tcW w:w="851" w:type="dxa"/>
            <w:shd w:val="clear" w:color="auto" w:fill="auto"/>
            <w:noWrap/>
          </w:tcPr>
          <w:p w14:paraId="096EA09A" w14:textId="77777777" w:rsidR="007D028A" w:rsidRPr="00824FCD" w:rsidRDefault="007D028A" w:rsidP="007D028A">
            <w:pPr>
              <w:ind w:firstLine="0"/>
              <w:rPr>
                <w:bCs/>
                <w:color w:val="auto"/>
              </w:rPr>
            </w:pPr>
            <w:r w:rsidRPr="00824FCD">
              <w:rPr>
                <w:bCs/>
                <w:color w:val="auto"/>
              </w:rPr>
              <w:t>1.8.</w:t>
            </w:r>
          </w:p>
        </w:tc>
        <w:tc>
          <w:tcPr>
            <w:tcW w:w="13466" w:type="dxa"/>
            <w:shd w:val="clear" w:color="auto" w:fill="auto"/>
          </w:tcPr>
          <w:p w14:paraId="7413F607" w14:textId="38A93C4D" w:rsidR="007D028A" w:rsidRPr="00824FCD" w:rsidRDefault="007D028A" w:rsidP="007D028A">
            <w:pPr>
              <w:tabs>
                <w:tab w:val="left" w:pos="1562"/>
              </w:tabs>
              <w:ind w:firstLine="0"/>
              <w:rPr>
                <w:color w:val="auto"/>
              </w:rPr>
            </w:pPr>
            <w:r w:rsidRPr="00824FCD">
              <w:rPr>
                <w:bCs/>
                <w:color w:val="auto"/>
              </w:rPr>
              <w:t>Standieji ar puslaidininkiniai diskai (angl. HDD/SSD) ar kitos atminties laikmenos gedimo atveju turi būti keičiamos naujomis. sugedusios atminties laikmenos sunaikinamos pirkėjo patalpose ir tiekėjui negrąžinamos.</w:t>
            </w:r>
          </w:p>
        </w:tc>
      </w:tr>
      <w:tr w:rsidR="007D028A" w:rsidRPr="00824FCD" w14:paraId="24FB28B7" w14:textId="77777777" w:rsidTr="00FE69BB">
        <w:trPr>
          <w:trHeight w:val="324"/>
        </w:trPr>
        <w:tc>
          <w:tcPr>
            <w:tcW w:w="851" w:type="dxa"/>
            <w:shd w:val="clear" w:color="auto" w:fill="auto"/>
            <w:noWrap/>
          </w:tcPr>
          <w:p w14:paraId="7086A56C" w14:textId="7AB437E0" w:rsidR="007D028A" w:rsidRPr="00824FCD" w:rsidRDefault="007D028A" w:rsidP="007D028A">
            <w:pPr>
              <w:ind w:firstLine="0"/>
              <w:rPr>
                <w:color w:val="auto"/>
              </w:rPr>
            </w:pPr>
            <w:r w:rsidRPr="00824FCD">
              <w:rPr>
                <w:color w:val="auto"/>
              </w:rPr>
              <w:t>1.9.</w:t>
            </w:r>
          </w:p>
        </w:tc>
        <w:tc>
          <w:tcPr>
            <w:tcW w:w="13466" w:type="dxa"/>
            <w:shd w:val="clear" w:color="auto" w:fill="auto"/>
          </w:tcPr>
          <w:p w14:paraId="7885181E" w14:textId="4F7B28B1" w:rsidR="007D028A" w:rsidRPr="00824FCD" w:rsidRDefault="007D028A" w:rsidP="007D028A">
            <w:pPr>
              <w:tabs>
                <w:tab w:val="left" w:pos="1562"/>
              </w:tabs>
              <w:ind w:firstLine="0"/>
              <w:rPr>
                <w:bCs/>
                <w:color w:val="auto"/>
              </w:rPr>
            </w:pPr>
            <w:r w:rsidRPr="00824FCD">
              <w:rPr>
                <w:bCs/>
                <w:color w:val="auto"/>
              </w:rPr>
              <w:t>Įrangos gedimo atveju iš instaliacijos vietos remontui išvežamą pas tiekėją (jo atstovą) sugedusią įrangą pirkėjas pateikia be joje sumontuotų standžiųjų ar puslaidininkinių diskų (angl. HDD/SSD) ar kitų atminties laikmenų.</w:t>
            </w:r>
          </w:p>
        </w:tc>
      </w:tr>
      <w:tr w:rsidR="007D028A" w:rsidRPr="00824FCD" w14:paraId="48F5A83A" w14:textId="77777777" w:rsidTr="00FE69BB">
        <w:trPr>
          <w:trHeight w:val="324"/>
        </w:trPr>
        <w:tc>
          <w:tcPr>
            <w:tcW w:w="851" w:type="dxa"/>
            <w:shd w:val="clear" w:color="auto" w:fill="auto"/>
            <w:noWrap/>
          </w:tcPr>
          <w:p w14:paraId="041CAD00" w14:textId="1FADD50A" w:rsidR="007D028A" w:rsidRPr="00824FCD" w:rsidRDefault="007D028A" w:rsidP="007D028A">
            <w:pPr>
              <w:ind w:firstLine="0"/>
              <w:rPr>
                <w:color w:val="auto"/>
              </w:rPr>
            </w:pPr>
            <w:r w:rsidRPr="00824FCD">
              <w:rPr>
                <w:color w:val="auto"/>
              </w:rPr>
              <w:t>1.10.</w:t>
            </w:r>
          </w:p>
        </w:tc>
        <w:tc>
          <w:tcPr>
            <w:tcW w:w="13466" w:type="dxa"/>
            <w:shd w:val="clear" w:color="auto" w:fill="auto"/>
          </w:tcPr>
          <w:p w14:paraId="5B2581E9" w14:textId="1471F337" w:rsidR="007D028A" w:rsidRPr="00824FCD" w:rsidRDefault="007D028A" w:rsidP="007D028A">
            <w:pPr>
              <w:tabs>
                <w:tab w:val="left" w:pos="1562"/>
              </w:tabs>
              <w:ind w:firstLine="0"/>
              <w:rPr>
                <w:bCs/>
                <w:color w:val="auto"/>
              </w:rPr>
            </w:pPr>
            <w:r w:rsidRPr="00824FCD">
              <w:rPr>
                <w:color w:val="auto"/>
              </w:rPr>
              <w:t>Jei licencija pagal gamintojo taisykles galioja vienam įrenginiui, licencijų reikia pateikti tiek, kiek reikalaujama įrenginių.</w:t>
            </w:r>
          </w:p>
        </w:tc>
      </w:tr>
      <w:tr w:rsidR="007D028A" w:rsidRPr="00824FCD" w14:paraId="045C03CD" w14:textId="77777777" w:rsidTr="00FE69BB">
        <w:trPr>
          <w:trHeight w:val="324"/>
        </w:trPr>
        <w:tc>
          <w:tcPr>
            <w:tcW w:w="851" w:type="dxa"/>
            <w:shd w:val="clear" w:color="auto" w:fill="auto"/>
            <w:noWrap/>
          </w:tcPr>
          <w:p w14:paraId="753DEF89" w14:textId="0C41B7B8" w:rsidR="007D028A" w:rsidRPr="00824FCD" w:rsidRDefault="007D028A" w:rsidP="007D028A">
            <w:pPr>
              <w:ind w:firstLine="0"/>
              <w:rPr>
                <w:color w:val="auto"/>
              </w:rPr>
            </w:pPr>
            <w:r w:rsidRPr="00824FCD">
              <w:rPr>
                <w:color w:val="auto"/>
              </w:rPr>
              <w:t>1.11.</w:t>
            </w:r>
          </w:p>
        </w:tc>
        <w:tc>
          <w:tcPr>
            <w:tcW w:w="13466" w:type="dxa"/>
            <w:shd w:val="clear" w:color="auto" w:fill="auto"/>
          </w:tcPr>
          <w:p w14:paraId="641B3F65" w14:textId="728C5154" w:rsidR="007D028A" w:rsidRPr="00824FCD" w:rsidRDefault="007D028A" w:rsidP="007D028A">
            <w:pPr>
              <w:tabs>
                <w:tab w:val="left" w:pos="1562"/>
              </w:tabs>
              <w:ind w:firstLine="0"/>
              <w:rPr>
                <w:bCs/>
                <w:color w:val="auto"/>
              </w:rPr>
            </w:pPr>
            <w:r w:rsidRPr="00824FCD">
              <w:rPr>
                <w:color w:val="auto"/>
              </w:rPr>
              <w:t>Visos siūlomos Įrangos licencijos turi būti pateikiamos su ne mažiau kaip 5 metų gamintojo garantija.</w:t>
            </w:r>
          </w:p>
        </w:tc>
      </w:tr>
      <w:tr w:rsidR="007D028A" w:rsidRPr="00824FCD" w14:paraId="6999E211" w14:textId="77777777" w:rsidTr="00FE69BB">
        <w:trPr>
          <w:trHeight w:val="324"/>
        </w:trPr>
        <w:tc>
          <w:tcPr>
            <w:tcW w:w="851" w:type="dxa"/>
            <w:shd w:val="clear" w:color="auto" w:fill="auto"/>
            <w:noWrap/>
          </w:tcPr>
          <w:p w14:paraId="5255CB06" w14:textId="4D9BEBD8" w:rsidR="007D028A" w:rsidRPr="00824FCD" w:rsidRDefault="007D028A" w:rsidP="007D028A">
            <w:pPr>
              <w:ind w:firstLine="0"/>
              <w:rPr>
                <w:bCs/>
                <w:color w:val="auto"/>
              </w:rPr>
            </w:pPr>
            <w:r w:rsidRPr="00824FCD">
              <w:rPr>
                <w:color w:val="auto"/>
              </w:rPr>
              <w:t>1.12.</w:t>
            </w:r>
          </w:p>
        </w:tc>
        <w:tc>
          <w:tcPr>
            <w:tcW w:w="13466" w:type="dxa"/>
            <w:shd w:val="clear" w:color="auto" w:fill="auto"/>
          </w:tcPr>
          <w:p w14:paraId="405A7727" w14:textId="3DD2E0FE" w:rsidR="007D028A" w:rsidRPr="00824FCD" w:rsidRDefault="007D028A" w:rsidP="007D028A">
            <w:pPr>
              <w:tabs>
                <w:tab w:val="left" w:pos="1562"/>
              </w:tabs>
              <w:ind w:firstLine="0"/>
              <w:rPr>
                <w:color w:val="auto"/>
              </w:rPr>
            </w:pPr>
            <w:r w:rsidRPr="00824FCD">
              <w:rPr>
                <w:bCs/>
                <w:color w:val="auto"/>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Sutarties </w:t>
            </w:r>
            <w:r w:rsidRPr="00824FCD">
              <w:rPr>
                <w:bCs/>
                <w:color w:val="auto"/>
              </w:rPr>
              <w:lastRenderedPageBreak/>
              <w:t>reikalavimų nesilaikymas. Tokiu atveju įranga grąžinama tiekėjui arba keičiama nauja lygiaverte ar geresnių parametrų, tačiau saugumo reikalavimus atitinkančia įranga.</w:t>
            </w:r>
          </w:p>
        </w:tc>
      </w:tr>
      <w:tr w:rsidR="007D028A" w:rsidRPr="00824FCD" w14:paraId="08DEDCB2" w14:textId="77777777" w:rsidTr="00FE69BB">
        <w:trPr>
          <w:trHeight w:val="324"/>
        </w:trPr>
        <w:tc>
          <w:tcPr>
            <w:tcW w:w="851" w:type="dxa"/>
            <w:shd w:val="clear" w:color="auto" w:fill="auto"/>
            <w:noWrap/>
          </w:tcPr>
          <w:p w14:paraId="17F1F40A" w14:textId="1C9C70AD" w:rsidR="007D028A" w:rsidRPr="00824FCD" w:rsidRDefault="007D028A" w:rsidP="007D028A">
            <w:pPr>
              <w:ind w:firstLine="0"/>
              <w:rPr>
                <w:color w:val="auto"/>
              </w:rPr>
            </w:pPr>
            <w:r w:rsidRPr="00824FCD">
              <w:rPr>
                <w:color w:val="auto"/>
              </w:rPr>
              <w:lastRenderedPageBreak/>
              <w:t>1.13.</w:t>
            </w:r>
          </w:p>
        </w:tc>
        <w:tc>
          <w:tcPr>
            <w:tcW w:w="13466" w:type="dxa"/>
            <w:shd w:val="clear" w:color="auto" w:fill="auto"/>
          </w:tcPr>
          <w:p w14:paraId="382BF18F" w14:textId="182570C1" w:rsidR="007D028A" w:rsidRPr="00824FCD" w:rsidRDefault="007D028A" w:rsidP="007D028A">
            <w:pPr>
              <w:tabs>
                <w:tab w:val="left" w:pos="1562"/>
              </w:tabs>
              <w:ind w:firstLine="0"/>
              <w:rPr>
                <w:bCs/>
                <w:color w:val="auto"/>
              </w:rPr>
            </w:pPr>
            <w:r w:rsidRPr="00824FCD">
              <w:rPr>
                <w:bCs/>
                <w:color w:val="auto"/>
              </w:rPr>
              <w:t>Perkančioji organizacija, vadovaudamasi Viešųjų pirkimų įstatymo (toliau – Įstatymas) 37 straipsnio 9 dalimi, laikys, kad prekės kelia grėsmę nacionaliniam saugumui, kai prekių gamintojas ar jį kontroliuojantis asmuo yra registruoti (jeigu gamintojas ar jį kontroliuojantis asmuo yra fizinis asmuo – nuolat gyvenantis ar turintis pilietybę) Įstatymo 92 straipsnio 14 dalyje numatytame sąraše nurodytose valstybėse ar teritorijose.</w:t>
            </w:r>
          </w:p>
        </w:tc>
      </w:tr>
      <w:tr w:rsidR="007D028A" w:rsidRPr="00824FCD" w14:paraId="0F974C89" w14:textId="77777777" w:rsidTr="00FE69BB">
        <w:trPr>
          <w:trHeight w:val="324"/>
        </w:trPr>
        <w:tc>
          <w:tcPr>
            <w:tcW w:w="851" w:type="dxa"/>
            <w:shd w:val="clear" w:color="auto" w:fill="auto"/>
            <w:noWrap/>
          </w:tcPr>
          <w:p w14:paraId="0367DB43" w14:textId="242D1AE8" w:rsidR="007D028A" w:rsidRPr="00824FCD" w:rsidRDefault="007D028A" w:rsidP="007D028A">
            <w:pPr>
              <w:ind w:firstLine="0"/>
              <w:rPr>
                <w:color w:val="auto"/>
              </w:rPr>
            </w:pPr>
            <w:r w:rsidRPr="00824FCD">
              <w:rPr>
                <w:color w:val="auto"/>
              </w:rPr>
              <w:t>1.14.</w:t>
            </w:r>
          </w:p>
        </w:tc>
        <w:tc>
          <w:tcPr>
            <w:tcW w:w="13466" w:type="dxa"/>
            <w:shd w:val="clear" w:color="auto" w:fill="auto"/>
          </w:tcPr>
          <w:p w14:paraId="42534553" w14:textId="2638B201" w:rsidR="007D028A" w:rsidRPr="00824FCD" w:rsidRDefault="007D028A" w:rsidP="007D028A">
            <w:pPr>
              <w:tabs>
                <w:tab w:val="left" w:pos="1562"/>
              </w:tabs>
              <w:ind w:firstLine="0"/>
              <w:rPr>
                <w:bCs/>
                <w:color w:val="auto"/>
              </w:rPr>
            </w:pPr>
            <w:r w:rsidRPr="00824FCD">
              <w:rPr>
                <w:bCs/>
                <w:color w:val="auto"/>
              </w:rPr>
              <w:t>Perkančioji organizacija, vadovaudamasi Įstatymo 47 straipsnio 9 dalimi, laikys, kad prekės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Įstatymo 92 straipsnio 14 dalyje numatytame sąraše nurodytose valstybėse ar teritorijose.</w:t>
            </w:r>
          </w:p>
        </w:tc>
      </w:tr>
      <w:tr w:rsidR="0075151C" w:rsidRPr="0075151C" w14:paraId="3BBADB6B" w14:textId="77777777" w:rsidTr="00FE69BB">
        <w:trPr>
          <w:trHeight w:val="231"/>
        </w:trPr>
        <w:tc>
          <w:tcPr>
            <w:tcW w:w="851" w:type="dxa"/>
            <w:shd w:val="clear" w:color="auto" w:fill="auto"/>
            <w:noWrap/>
          </w:tcPr>
          <w:p w14:paraId="388BD0B6" w14:textId="3091F681" w:rsidR="0075151C" w:rsidRPr="0075151C" w:rsidRDefault="0075151C" w:rsidP="007D028A">
            <w:pPr>
              <w:ind w:firstLine="0"/>
              <w:rPr>
                <w:bCs/>
                <w:color w:val="auto"/>
              </w:rPr>
            </w:pPr>
            <w:r w:rsidRPr="0075151C">
              <w:rPr>
                <w:bCs/>
                <w:color w:val="auto"/>
              </w:rPr>
              <w:t>1.15.</w:t>
            </w:r>
          </w:p>
        </w:tc>
        <w:tc>
          <w:tcPr>
            <w:tcW w:w="13466" w:type="dxa"/>
            <w:vAlign w:val="center"/>
          </w:tcPr>
          <w:p w14:paraId="66D2B01B" w14:textId="1A8725DF" w:rsidR="0075151C" w:rsidRPr="0075151C" w:rsidRDefault="0075151C" w:rsidP="0075151C">
            <w:pPr>
              <w:ind w:firstLine="0"/>
              <w:contextualSpacing/>
              <w:rPr>
                <w:rFonts w:eastAsia="Calibri"/>
                <w:color w:val="auto"/>
                <w:lang w:eastAsia="en-US"/>
              </w:rPr>
            </w:pPr>
            <w:r w:rsidRPr="0075151C">
              <w:rPr>
                <w:rFonts w:eastAsia="Calibri"/>
                <w:i/>
                <w:color w:val="auto"/>
                <w:lang w:eastAsia="en-US"/>
              </w:rPr>
              <w:t xml:space="preserve">Kartu su pasiūlymu tiekėjas </w:t>
            </w:r>
            <w:r w:rsidRPr="0075151C">
              <w:rPr>
                <w:rFonts w:eastAsia="Calibri"/>
                <w:i/>
                <w:color w:val="auto"/>
                <w:u w:val="single"/>
                <w:lang w:eastAsia="en-US"/>
              </w:rPr>
              <w:t>turi pateikti</w:t>
            </w:r>
            <w:r w:rsidRPr="0075151C">
              <w:rPr>
                <w:rFonts w:eastAsia="Calibri"/>
                <w:i/>
                <w:color w:val="auto"/>
                <w:lang w:eastAsia="en-US"/>
              </w:rPr>
              <w:t xml:space="preserve">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75151C">
              <w:rPr>
                <w:rFonts w:eastAsia="Calibri"/>
                <w:i/>
                <w:color w:val="auto"/>
                <w:lang w:eastAsia="en-US"/>
              </w:rPr>
              <w:t>pdf</w:t>
            </w:r>
            <w:proofErr w:type="spellEnd"/>
            <w:r w:rsidRPr="0075151C">
              <w:rPr>
                <w:rFonts w:eastAsia="Calibri"/>
                <w:i/>
                <w:color w:val="auto"/>
                <w:lang w:eastAsia="en-US"/>
              </w:rPr>
              <w:t xml:space="preserve"> formatu). </w:t>
            </w:r>
            <w:r w:rsidRPr="0075151C">
              <w:rPr>
                <w:rFonts w:eastAsia="Calibri"/>
                <w:i/>
                <w:color w:val="auto"/>
                <w:u w:val="single"/>
                <w:lang w:eastAsia="en-US"/>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5151C">
              <w:rPr>
                <w:rFonts w:eastAsia="Calibri"/>
                <w:i/>
                <w:color w:val="auto"/>
                <w:lang w:eastAsia="en-US"/>
              </w:rPr>
              <w:t xml:space="preserve"> Jei gamintojo išleistame kataloge nėra Perkančiosios organizacijos reikalaujamos prekės parametro atitiktį patvirtinančios informacijos, Tiekėjas gali pateikti atitiktį patvirtinančią prekių gamintojo deklaraciją.</w:t>
            </w:r>
          </w:p>
        </w:tc>
      </w:tr>
      <w:tr w:rsidR="007D028A" w:rsidRPr="00824FCD" w14:paraId="4E09FB6D" w14:textId="77777777" w:rsidTr="00FE69BB">
        <w:trPr>
          <w:trHeight w:val="231"/>
        </w:trPr>
        <w:tc>
          <w:tcPr>
            <w:tcW w:w="851" w:type="dxa"/>
            <w:shd w:val="clear" w:color="auto" w:fill="auto"/>
            <w:noWrap/>
          </w:tcPr>
          <w:p w14:paraId="3A5FCCE8" w14:textId="77777777" w:rsidR="007D028A" w:rsidRPr="00824FCD" w:rsidRDefault="007D028A" w:rsidP="007D028A">
            <w:pPr>
              <w:ind w:firstLine="0"/>
              <w:rPr>
                <w:b/>
                <w:bCs/>
                <w:color w:val="auto"/>
              </w:rPr>
            </w:pPr>
            <w:r w:rsidRPr="00824FCD">
              <w:rPr>
                <w:b/>
                <w:bCs/>
                <w:color w:val="auto"/>
              </w:rPr>
              <w:t>2.</w:t>
            </w:r>
          </w:p>
        </w:tc>
        <w:tc>
          <w:tcPr>
            <w:tcW w:w="13466" w:type="dxa"/>
            <w:vAlign w:val="center"/>
          </w:tcPr>
          <w:p w14:paraId="0844AF69" w14:textId="3166DEE5" w:rsidR="007D028A" w:rsidRPr="00824FCD" w:rsidRDefault="007D028A" w:rsidP="007D028A">
            <w:pPr>
              <w:ind w:firstLine="0"/>
              <w:contextualSpacing/>
              <w:rPr>
                <w:rFonts w:eastAsia="Calibri"/>
                <w:b/>
                <w:color w:val="auto"/>
                <w:lang w:eastAsia="en-US"/>
              </w:rPr>
            </w:pPr>
            <w:r w:rsidRPr="00824FCD">
              <w:rPr>
                <w:rFonts w:eastAsia="Calibri"/>
                <w:b/>
                <w:color w:val="auto"/>
                <w:lang w:eastAsia="en-US"/>
              </w:rPr>
              <w:t>Saugaus interneto naršymo techninė įranga</w:t>
            </w:r>
          </w:p>
        </w:tc>
      </w:tr>
      <w:tr w:rsidR="007D028A" w:rsidRPr="00824FCD" w14:paraId="658C7913" w14:textId="77777777" w:rsidTr="00F41D86">
        <w:trPr>
          <w:trHeight w:val="231"/>
        </w:trPr>
        <w:tc>
          <w:tcPr>
            <w:tcW w:w="851" w:type="dxa"/>
            <w:shd w:val="clear" w:color="auto" w:fill="auto"/>
            <w:noWrap/>
          </w:tcPr>
          <w:p w14:paraId="6FFF6BD9" w14:textId="77777777" w:rsidR="007D028A" w:rsidRPr="00824FCD" w:rsidRDefault="007D028A" w:rsidP="007D028A">
            <w:pPr>
              <w:ind w:firstLine="0"/>
              <w:rPr>
                <w:bCs/>
                <w:color w:val="auto"/>
              </w:rPr>
            </w:pPr>
            <w:r w:rsidRPr="00824FCD">
              <w:rPr>
                <w:bCs/>
                <w:color w:val="auto"/>
              </w:rPr>
              <w:t>2.1.</w:t>
            </w:r>
          </w:p>
        </w:tc>
        <w:tc>
          <w:tcPr>
            <w:tcW w:w="13466" w:type="dxa"/>
            <w:vAlign w:val="center"/>
          </w:tcPr>
          <w:p w14:paraId="6CA087F3" w14:textId="43BA874B" w:rsidR="007D028A" w:rsidRPr="00824FCD" w:rsidRDefault="007D028A" w:rsidP="007D028A">
            <w:pPr>
              <w:ind w:firstLine="0"/>
              <w:contextualSpacing/>
              <w:rPr>
                <w:rFonts w:eastAsia="Calibri"/>
                <w:strike/>
                <w:color w:val="auto"/>
                <w:lang w:eastAsia="en-US"/>
              </w:rPr>
            </w:pPr>
            <w:r w:rsidRPr="00824FCD">
              <w:rPr>
                <w:color w:val="auto"/>
              </w:rPr>
              <w:t>Įranga turi būti specializuotas aparatinis-programinis įrenginys komplektuojamas paties gamintojo. Įrangą sudarantys aparatiniai komponentai (procesoriai, atmintis ir kt.) turi būti suderinti tarpusavyje, pagaminti vieno gamintojo arba kelių gamintojų, tačiau turi būti pateiktas įrangos gamintojo patvirtinimas dėl komponentų tarpusavio suderinamumo. Siūlomas sprendimas negali būti realizuotas virtualizacijos priemonėmis.</w:t>
            </w:r>
          </w:p>
        </w:tc>
      </w:tr>
      <w:tr w:rsidR="007D028A" w:rsidRPr="00824FCD" w14:paraId="4199671B" w14:textId="77777777" w:rsidTr="00F41D86">
        <w:trPr>
          <w:trHeight w:val="231"/>
        </w:trPr>
        <w:tc>
          <w:tcPr>
            <w:tcW w:w="851" w:type="dxa"/>
            <w:shd w:val="clear" w:color="auto" w:fill="auto"/>
            <w:noWrap/>
          </w:tcPr>
          <w:p w14:paraId="590DBB39" w14:textId="77777777" w:rsidR="007D028A" w:rsidRPr="00824FCD" w:rsidRDefault="007D028A" w:rsidP="007D028A">
            <w:pPr>
              <w:ind w:firstLine="0"/>
              <w:rPr>
                <w:bCs/>
                <w:color w:val="auto"/>
              </w:rPr>
            </w:pPr>
            <w:r w:rsidRPr="00824FCD">
              <w:rPr>
                <w:bCs/>
                <w:color w:val="auto"/>
              </w:rPr>
              <w:t>2.2.</w:t>
            </w:r>
          </w:p>
        </w:tc>
        <w:tc>
          <w:tcPr>
            <w:tcW w:w="13466" w:type="dxa"/>
            <w:vAlign w:val="center"/>
          </w:tcPr>
          <w:p w14:paraId="32AA12A1" w14:textId="1F0A7B04" w:rsidR="007D028A" w:rsidRPr="00824FCD" w:rsidRDefault="007D028A" w:rsidP="007D028A">
            <w:pPr>
              <w:ind w:firstLine="0"/>
              <w:contextualSpacing/>
              <w:rPr>
                <w:rFonts w:eastAsia="Calibri"/>
                <w:strike/>
                <w:color w:val="auto"/>
                <w:lang w:eastAsia="en-US"/>
              </w:rPr>
            </w:pPr>
            <w:r w:rsidRPr="00824FCD">
              <w:rPr>
                <w:color w:val="auto"/>
              </w:rPr>
              <w:t>Įrangos aukštis, ne daugiau kaip 1 U.</w:t>
            </w:r>
          </w:p>
        </w:tc>
      </w:tr>
      <w:tr w:rsidR="007D028A" w:rsidRPr="00824FCD" w14:paraId="6E5F095D" w14:textId="77777777" w:rsidTr="00F41D86">
        <w:trPr>
          <w:trHeight w:val="231"/>
        </w:trPr>
        <w:tc>
          <w:tcPr>
            <w:tcW w:w="851" w:type="dxa"/>
            <w:shd w:val="clear" w:color="auto" w:fill="auto"/>
            <w:noWrap/>
          </w:tcPr>
          <w:p w14:paraId="35154EA0" w14:textId="77777777" w:rsidR="007D028A" w:rsidRPr="00824FCD" w:rsidRDefault="007D028A" w:rsidP="007D028A">
            <w:pPr>
              <w:ind w:firstLine="0"/>
              <w:rPr>
                <w:bCs/>
                <w:color w:val="auto"/>
              </w:rPr>
            </w:pPr>
            <w:r w:rsidRPr="00824FCD">
              <w:rPr>
                <w:bCs/>
                <w:color w:val="auto"/>
              </w:rPr>
              <w:t>2.3.</w:t>
            </w:r>
          </w:p>
        </w:tc>
        <w:tc>
          <w:tcPr>
            <w:tcW w:w="13466" w:type="dxa"/>
            <w:vAlign w:val="center"/>
          </w:tcPr>
          <w:p w14:paraId="0888422A" w14:textId="35493D65" w:rsidR="007D028A" w:rsidRPr="00824FCD" w:rsidRDefault="007D028A" w:rsidP="007D028A">
            <w:pPr>
              <w:ind w:firstLine="0"/>
              <w:contextualSpacing/>
              <w:rPr>
                <w:rFonts w:eastAsia="Calibri"/>
                <w:color w:val="auto"/>
                <w:lang w:eastAsia="en-US"/>
              </w:rPr>
            </w:pPr>
            <w:r w:rsidRPr="00824FCD">
              <w:rPr>
                <w:color w:val="auto"/>
              </w:rPr>
              <w:t>Siūloma įranga turi būti pritaikyta montavimui į standartinę 19 colių įrangos montavimui skirtą spintą su visais montavimui reikalingais priedais (įskaitant bet neapsiribojant tvirtinimo elementais).</w:t>
            </w:r>
          </w:p>
        </w:tc>
      </w:tr>
      <w:tr w:rsidR="007D028A" w:rsidRPr="00824FCD" w14:paraId="64D0C883" w14:textId="77777777" w:rsidTr="00F41D86">
        <w:trPr>
          <w:trHeight w:val="231"/>
        </w:trPr>
        <w:tc>
          <w:tcPr>
            <w:tcW w:w="851" w:type="dxa"/>
            <w:shd w:val="clear" w:color="auto" w:fill="auto"/>
            <w:noWrap/>
          </w:tcPr>
          <w:p w14:paraId="5E6E1005" w14:textId="34FD3528" w:rsidR="007D028A" w:rsidRPr="00824FCD" w:rsidRDefault="007D028A" w:rsidP="007D028A">
            <w:pPr>
              <w:ind w:firstLine="0"/>
              <w:rPr>
                <w:bCs/>
                <w:color w:val="auto"/>
              </w:rPr>
            </w:pPr>
            <w:r w:rsidRPr="00824FCD">
              <w:rPr>
                <w:bCs/>
                <w:color w:val="auto"/>
              </w:rPr>
              <w:t>2.4.</w:t>
            </w:r>
          </w:p>
        </w:tc>
        <w:tc>
          <w:tcPr>
            <w:tcW w:w="13466" w:type="dxa"/>
            <w:tcBorders>
              <w:bottom w:val="single" w:sz="4" w:space="0" w:color="auto"/>
            </w:tcBorders>
            <w:vAlign w:val="center"/>
          </w:tcPr>
          <w:p w14:paraId="4EAD2E29" w14:textId="1C52D9C6" w:rsidR="007D028A" w:rsidRPr="00824FCD" w:rsidRDefault="007D028A" w:rsidP="007D028A">
            <w:pPr>
              <w:ind w:firstLine="0"/>
              <w:contextualSpacing/>
              <w:rPr>
                <w:rFonts w:eastAsia="Calibri"/>
                <w:color w:val="auto"/>
                <w:lang w:eastAsia="en-US"/>
              </w:rPr>
            </w:pPr>
            <w:r w:rsidRPr="00824FCD">
              <w:rPr>
                <w:color w:val="auto"/>
              </w:rPr>
              <w:t xml:space="preserve">Dubliuoti pakankamos galios vidiniai maitinimo šaltiniai, kurie užtikrina aukštą patikimumą. </w:t>
            </w:r>
            <w:r>
              <w:rPr>
                <w:color w:val="auto"/>
              </w:rPr>
              <w:t>Įranga</w:t>
            </w:r>
            <w:r w:rsidRPr="00824FCD">
              <w:rPr>
                <w:color w:val="auto"/>
              </w:rPr>
              <w:t xml:space="preserve"> turi veikti sugedus vienam maitinimo šaltiniui. Pritaikyti prijungti prie 220 – 240 V, 50 – 60 Hz kintamos srovės elektros tinklo.</w:t>
            </w:r>
          </w:p>
        </w:tc>
      </w:tr>
      <w:tr w:rsidR="007D028A" w:rsidRPr="00824FCD" w14:paraId="68FF5886" w14:textId="77777777" w:rsidTr="00F41D86">
        <w:trPr>
          <w:trHeight w:val="231"/>
        </w:trPr>
        <w:tc>
          <w:tcPr>
            <w:tcW w:w="851" w:type="dxa"/>
            <w:shd w:val="clear" w:color="auto" w:fill="auto"/>
            <w:noWrap/>
          </w:tcPr>
          <w:p w14:paraId="38A93FD4" w14:textId="0805D3DA" w:rsidR="007D028A" w:rsidRPr="00824FCD" w:rsidRDefault="007D028A" w:rsidP="007D028A">
            <w:pPr>
              <w:ind w:firstLine="0"/>
              <w:rPr>
                <w:bCs/>
                <w:color w:val="auto"/>
              </w:rPr>
            </w:pPr>
            <w:r w:rsidRPr="00824FCD">
              <w:rPr>
                <w:bCs/>
                <w:color w:val="auto"/>
              </w:rPr>
              <w:t>2.5.</w:t>
            </w:r>
          </w:p>
        </w:tc>
        <w:tc>
          <w:tcPr>
            <w:tcW w:w="13466" w:type="dxa"/>
            <w:tcBorders>
              <w:bottom w:val="single" w:sz="4" w:space="0" w:color="auto"/>
            </w:tcBorders>
            <w:vAlign w:val="center"/>
          </w:tcPr>
          <w:p w14:paraId="7C468B57" w14:textId="0F8F40C0" w:rsidR="007D028A" w:rsidRPr="00824FCD" w:rsidRDefault="007D028A" w:rsidP="007D028A">
            <w:pPr>
              <w:tabs>
                <w:tab w:val="left" w:pos="534"/>
              </w:tabs>
              <w:ind w:firstLine="0"/>
              <w:rPr>
                <w:color w:val="auto"/>
              </w:rPr>
            </w:pPr>
            <w:r w:rsidRPr="00824FCD">
              <w:rPr>
                <w:color w:val="auto"/>
              </w:rPr>
              <w:t>Tinklo prievadai:</w:t>
            </w:r>
          </w:p>
          <w:p w14:paraId="3A1F9762" w14:textId="55123E6E" w:rsidR="007D028A" w:rsidRPr="00824FCD" w:rsidRDefault="007D028A" w:rsidP="007D028A">
            <w:pPr>
              <w:tabs>
                <w:tab w:val="left" w:pos="534"/>
              </w:tabs>
              <w:ind w:firstLine="0"/>
              <w:rPr>
                <w:rFonts w:eastAsia="Calibri"/>
                <w:color w:val="auto"/>
                <w:lang w:eastAsia="en-US"/>
              </w:rPr>
            </w:pPr>
            <w:r w:rsidRPr="00824FCD">
              <w:rPr>
                <w:color w:val="auto"/>
              </w:rPr>
              <w:t xml:space="preserve">ne mažiau kaip 4 vnt. 1 GE RJ45 lizdų. </w:t>
            </w:r>
          </w:p>
        </w:tc>
      </w:tr>
      <w:tr w:rsidR="007D028A" w:rsidRPr="00824FCD" w14:paraId="6E9392AF" w14:textId="77777777" w:rsidTr="00F41D86">
        <w:trPr>
          <w:trHeight w:val="231"/>
        </w:trPr>
        <w:tc>
          <w:tcPr>
            <w:tcW w:w="851" w:type="dxa"/>
            <w:shd w:val="clear" w:color="auto" w:fill="auto"/>
            <w:noWrap/>
          </w:tcPr>
          <w:p w14:paraId="1DDC3F71" w14:textId="429A12FB" w:rsidR="007D028A" w:rsidRPr="00824FCD" w:rsidRDefault="007D028A" w:rsidP="007D028A">
            <w:pPr>
              <w:ind w:firstLine="0"/>
              <w:rPr>
                <w:bCs/>
                <w:color w:val="auto"/>
              </w:rPr>
            </w:pPr>
            <w:r w:rsidRPr="00824FCD">
              <w:rPr>
                <w:bCs/>
                <w:color w:val="auto"/>
              </w:rPr>
              <w:t>2.6.</w:t>
            </w:r>
          </w:p>
        </w:tc>
        <w:tc>
          <w:tcPr>
            <w:tcW w:w="13466" w:type="dxa"/>
            <w:tcBorders>
              <w:bottom w:val="single" w:sz="4" w:space="0" w:color="auto"/>
            </w:tcBorders>
            <w:vAlign w:val="center"/>
          </w:tcPr>
          <w:p w14:paraId="43AE28AA" w14:textId="77777777" w:rsidR="007D028A" w:rsidRPr="00824FCD" w:rsidRDefault="007D028A" w:rsidP="007D028A">
            <w:pPr>
              <w:tabs>
                <w:tab w:val="left" w:pos="1383"/>
              </w:tabs>
              <w:ind w:firstLine="0"/>
              <w:rPr>
                <w:color w:val="auto"/>
              </w:rPr>
            </w:pPr>
            <w:r w:rsidRPr="00824FCD">
              <w:rPr>
                <w:color w:val="auto"/>
              </w:rPr>
              <w:t>Valdymo prievadai:</w:t>
            </w:r>
          </w:p>
          <w:p w14:paraId="75EBB534" w14:textId="38ED1F6F" w:rsidR="007D028A" w:rsidRPr="00824FCD" w:rsidRDefault="007D028A" w:rsidP="007D028A">
            <w:pPr>
              <w:tabs>
                <w:tab w:val="left" w:pos="1383"/>
              </w:tabs>
              <w:ind w:firstLine="0"/>
              <w:rPr>
                <w:rFonts w:eastAsia="Calibri"/>
                <w:color w:val="auto"/>
                <w:lang w:eastAsia="en-US"/>
              </w:rPr>
            </w:pPr>
            <w:r w:rsidRPr="00824FCD">
              <w:rPr>
                <w:color w:val="auto"/>
              </w:rPr>
              <w:t>Ne mažiau kaip vienas konsolės prievadas.</w:t>
            </w:r>
          </w:p>
        </w:tc>
      </w:tr>
      <w:tr w:rsidR="007D028A" w:rsidRPr="00824FCD" w14:paraId="343AA45C" w14:textId="77777777" w:rsidTr="00F41D86">
        <w:trPr>
          <w:trHeight w:val="231"/>
        </w:trPr>
        <w:tc>
          <w:tcPr>
            <w:tcW w:w="851" w:type="dxa"/>
            <w:shd w:val="clear" w:color="auto" w:fill="auto"/>
            <w:noWrap/>
          </w:tcPr>
          <w:p w14:paraId="213D9633" w14:textId="68E48DB3" w:rsidR="007D028A" w:rsidRPr="00824FCD" w:rsidRDefault="007D028A" w:rsidP="007D028A">
            <w:pPr>
              <w:ind w:firstLine="0"/>
              <w:rPr>
                <w:bCs/>
                <w:color w:val="auto"/>
              </w:rPr>
            </w:pPr>
            <w:r w:rsidRPr="00824FCD">
              <w:rPr>
                <w:bCs/>
                <w:color w:val="auto"/>
              </w:rPr>
              <w:t>2.7.</w:t>
            </w:r>
          </w:p>
        </w:tc>
        <w:tc>
          <w:tcPr>
            <w:tcW w:w="13466" w:type="dxa"/>
            <w:vAlign w:val="center"/>
          </w:tcPr>
          <w:p w14:paraId="0A590D90" w14:textId="77777777" w:rsidR="007D028A" w:rsidRPr="00824FCD" w:rsidRDefault="007D028A" w:rsidP="007D028A">
            <w:pPr>
              <w:ind w:firstLine="0"/>
              <w:contextualSpacing/>
              <w:rPr>
                <w:color w:val="auto"/>
              </w:rPr>
            </w:pPr>
            <w:r w:rsidRPr="00824FCD">
              <w:rPr>
                <w:color w:val="auto"/>
              </w:rPr>
              <w:t>Saugaus interneto naršymo įrangos našumas:</w:t>
            </w:r>
          </w:p>
          <w:p w14:paraId="6838BFF9" w14:textId="0B692C60" w:rsidR="007D028A" w:rsidRPr="00824FCD" w:rsidRDefault="007D028A" w:rsidP="007D028A">
            <w:pPr>
              <w:ind w:firstLine="0"/>
              <w:contextualSpacing/>
              <w:rPr>
                <w:color w:val="auto"/>
              </w:rPr>
            </w:pPr>
            <w:r w:rsidRPr="00824FCD">
              <w:rPr>
                <w:color w:val="auto"/>
              </w:rPr>
              <w:t>operatyvinė atmintis ne mažiau kaip 16 GB;</w:t>
            </w:r>
          </w:p>
          <w:p w14:paraId="6429A9FE" w14:textId="77777777" w:rsidR="007D028A" w:rsidRPr="00824FCD" w:rsidRDefault="007D028A" w:rsidP="007D028A">
            <w:pPr>
              <w:ind w:firstLine="0"/>
              <w:contextualSpacing/>
              <w:rPr>
                <w:color w:val="auto"/>
              </w:rPr>
            </w:pPr>
            <w:r w:rsidRPr="00824FCD">
              <w:rPr>
                <w:color w:val="auto"/>
              </w:rPr>
              <w:t>diskų bendra talpa ne mažiau kaip 4 TB;</w:t>
            </w:r>
          </w:p>
          <w:p w14:paraId="2D6B5CC0" w14:textId="18065598" w:rsidR="007D028A" w:rsidRPr="00824FCD" w:rsidRDefault="007D028A" w:rsidP="007D028A">
            <w:pPr>
              <w:ind w:firstLine="0"/>
              <w:contextualSpacing/>
              <w:rPr>
                <w:color w:val="auto"/>
              </w:rPr>
            </w:pPr>
            <w:r w:rsidRPr="00824FCD">
              <w:rPr>
                <w:color w:val="auto"/>
              </w:rPr>
              <w:t xml:space="preserve">maksimalus palaikomas Interneto naudotojų skaičius ne mažiau </w:t>
            </w:r>
            <w:r>
              <w:rPr>
                <w:color w:val="auto"/>
              </w:rPr>
              <w:t>3</w:t>
            </w:r>
            <w:r w:rsidRPr="00824FCD">
              <w:rPr>
                <w:color w:val="auto"/>
              </w:rPr>
              <w:t xml:space="preserve"> tūkst.;</w:t>
            </w:r>
          </w:p>
          <w:p w14:paraId="0AD205AC" w14:textId="77777777" w:rsidR="007D028A" w:rsidRPr="00824FCD" w:rsidRDefault="007D028A" w:rsidP="007D028A">
            <w:pPr>
              <w:ind w:firstLine="0"/>
              <w:contextualSpacing/>
              <w:rPr>
                <w:color w:val="auto"/>
              </w:rPr>
            </w:pPr>
            <w:r w:rsidRPr="00824FCD">
              <w:rPr>
                <w:color w:val="auto"/>
              </w:rPr>
              <w:lastRenderedPageBreak/>
              <w:t>įranga turi palaikyti WEB ir vaizdo turinio apdorojimą spartinančiojoje atmintinėje (</w:t>
            </w:r>
            <w:r w:rsidRPr="00824FCD">
              <w:rPr>
                <w:i/>
                <w:color w:val="auto"/>
              </w:rPr>
              <w:t xml:space="preserve">angl. </w:t>
            </w:r>
            <w:proofErr w:type="spellStart"/>
            <w:r w:rsidRPr="00824FCD">
              <w:rPr>
                <w:i/>
                <w:color w:val="auto"/>
              </w:rPr>
              <w:t>Cache</w:t>
            </w:r>
            <w:proofErr w:type="spellEnd"/>
            <w:r w:rsidRPr="00824FCD">
              <w:rPr>
                <w:color w:val="auto"/>
              </w:rPr>
              <w:t>) su galimybe apdoroti ne mažesnius kaip 2048MB dydžio failus;</w:t>
            </w:r>
          </w:p>
          <w:p w14:paraId="36305BBF" w14:textId="77777777" w:rsidR="007D028A" w:rsidRPr="00824FCD" w:rsidRDefault="007D028A" w:rsidP="007D028A">
            <w:pPr>
              <w:ind w:firstLine="0"/>
              <w:contextualSpacing/>
              <w:rPr>
                <w:color w:val="auto"/>
              </w:rPr>
            </w:pPr>
            <w:r w:rsidRPr="00824FCD">
              <w:rPr>
                <w:color w:val="auto"/>
              </w:rPr>
              <w:t>įranga turi palaikyti srauto formavimo (</w:t>
            </w:r>
            <w:r w:rsidRPr="00824FCD">
              <w:rPr>
                <w:i/>
                <w:color w:val="auto"/>
              </w:rPr>
              <w:t xml:space="preserve">angl. </w:t>
            </w:r>
            <w:proofErr w:type="spellStart"/>
            <w:r w:rsidRPr="00824FCD">
              <w:rPr>
                <w:i/>
                <w:color w:val="auto"/>
              </w:rPr>
              <w:t>Traffic</w:t>
            </w:r>
            <w:proofErr w:type="spellEnd"/>
            <w:r w:rsidRPr="00824FCD">
              <w:rPr>
                <w:i/>
                <w:color w:val="auto"/>
              </w:rPr>
              <w:t xml:space="preserve"> </w:t>
            </w:r>
            <w:proofErr w:type="spellStart"/>
            <w:r w:rsidRPr="00824FCD">
              <w:rPr>
                <w:i/>
                <w:color w:val="auto"/>
              </w:rPr>
              <w:t>Shaping</w:t>
            </w:r>
            <w:proofErr w:type="spellEnd"/>
            <w:r w:rsidRPr="00824FCD">
              <w:rPr>
                <w:color w:val="auto"/>
              </w:rPr>
              <w:t>) ir paslaugos kokybės (</w:t>
            </w:r>
            <w:r w:rsidRPr="00824FCD">
              <w:rPr>
                <w:i/>
                <w:color w:val="auto"/>
              </w:rPr>
              <w:t xml:space="preserve">angl. </w:t>
            </w:r>
            <w:proofErr w:type="spellStart"/>
            <w:r w:rsidRPr="00824FCD">
              <w:rPr>
                <w:i/>
                <w:color w:val="auto"/>
              </w:rPr>
              <w:t>Quality</w:t>
            </w:r>
            <w:proofErr w:type="spellEnd"/>
            <w:r w:rsidRPr="00824FCD">
              <w:rPr>
                <w:i/>
                <w:color w:val="auto"/>
              </w:rPr>
              <w:t xml:space="preserve"> of </w:t>
            </w:r>
            <w:proofErr w:type="spellStart"/>
            <w:r w:rsidRPr="00824FCD">
              <w:rPr>
                <w:i/>
                <w:color w:val="auto"/>
              </w:rPr>
              <w:t>Service</w:t>
            </w:r>
            <w:proofErr w:type="spellEnd"/>
            <w:r w:rsidRPr="00824FCD">
              <w:rPr>
                <w:i/>
                <w:color w:val="auto"/>
              </w:rPr>
              <w:t xml:space="preserve">, </w:t>
            </w:r>
            <w:proofErr w:type="spellStart"/>
            <w:r w:rsidRPr="00824FCD">
              <w:rPr>
                <w:i/>
                <w:color w:val="auto"/>
              </w:rPr>
              <w:t>QoS</w:t>
            </w:r>
            <w:proofErr w:type="spellEnd"/>
            <w:r w:rsidRPr="00824FCD">
              <w:rPr>
                <w:color w:val="auto"/>
              </w:rPr>
              <w:t>) funkcijas;</w:t>
            </w:r>
          </w:p>
          <w:p w14:paraId="3CEBDCA3" w14:textId="77777777" w:rsidR="007D028A" w:rsidRPr="00824FCD" w:rsidRDefault="007D028A" w:rsidP="007D028A">
            <w:pPr>
              <w:ind w:firstLine="0"/>
              <w:contextualSpacing/>
              <w:rPr>
                <w:color w:val="auto"/>
              </w:rPr>
            </w:pPr>
            <w:r w:rsidRPr="00824FCD">
              <w:rPr>
                <w:color w:val="auto"/>
              </w:rPr>
              <w:t>įranga turi palaikyti Interneto srauto optimizavimą (</w:t>
            </w:r>
            <w:r w:rsidRPr="00824FCD">
              <w:rPr>
                <w:i/>
                <w:color w:val="auto"/>
              </w:rPr>
              <w:t xml:space="preserve">angl. WAN </w:t>
            </w:r>
            <w:proofErr w:type="spellStart"/>
            <w:r w:rsidRPr="00824FCD">
              <w:rPr>
                <w:i/>
                <w:color w:val="auto"/>
              </w:rPr>
              <w:t>Optimization</w:t>
            </w:r>
            <w:proofErr w:type="spellEnd"/>
            <w:r w:rsidRPr="00824FCD">
              <w:rPr>
                <w:color w:val="auto"/>
              </w:rPr>
              <w:t>).</w:t>
            </w:r>
          </w:p>
          <w:p w14:paraId="75540B19" w14:textId="10022255" w:rsidR="007D028A" w:rsidRPr="00824FCD" w:rsidRDefault="007D028A" w:rsidP="007D028A">
            <w:pPr>
              <w:ind w:firstLine="0"/>
              <w:contextualSpacing/>
              <w:rPr>
                <w:rFonts w:eastAsia="Calibri"/>
                <w:color w:val="auto"/>
                <w:lang w:eastAsia="en-US"/>
              </w:rPr>
            </w:pPr>
            <w:r w:rsidRPr="00824FCD">
              <w:rPr>
                <w:color w:val="auto"/>
              </w:rPr>
              <w:t>Ne mažiau kaip 4000 VLAN žymių (</w:t>
            </w:r>
            <w:r w:rsidRPr="00824FCD">
              <w:rPr>
                <w:i/>
                <w:color w:val="auto"/>
              </w:rPr>
              <w:t xml:space="preserve">angl. </w:t>
            </w:r>
            <w:proofErr w:type="spellStart"/>
            <w:r w:rsidRPr="00824FCD">
              <w:rPr>
                <w:i/>
                <w:color w:val="auto"/>
              </w:rPr>
              <w:t>VlanTAG</w:t>
            </w:r>
            <w:proofErr w:type="spellEnd"/>
            <w:r w:rsidRPr="00824FCD">
              <w:rPr>
                <w:color w:val="auto"/>
              </w:rPr>
              <w:t>) per įrenginį ir arba prievadą.</w:t>
            </w:r>
          </w:p>
        </w:tc>
      </w:tr>
      <w:tr w:rsidR="007D028A" w:rsidRPr="00824FCD" w14:paraId="33E2B242" w14:textId="77777777" w:rsidTr="00F41D86">
        <w:trPr>
          <w:trHeight w:val="231"/>
        </w:trPr>
        <w:tc>
          <w:tcPr>
            <w:tcW w:w="851" w:type="dxa"/>
            <w:shd w:val="clear" w:color="auto" w:fill="auto"/>
            <w:noWrap/>
          </w:tcPr>
          <w:p w14:paraId="5BC0AD4D" w14:textId="54BE7B3F" w:rsidR="007D028A" w:rsidRPr="00824FCD" w:rsidRDefault="007D028A" w:rsidP="007D028A">
            <w:pPr>
              <w:ind w:firstLine="0"/>
              <w:rPr>
                <w:bCs/>
                <w:color w:val="auto"/>
              </w:rPr>
            </w:pPr>
            <w:r w:rsidRPr="00824FCD">
              <w:rPr>
                <w:bCs/>
                <w:color w:val="auto"/>
              </w:rPr>
              <w:lastRenderedPageBreak/>
              <w:t>2.8.</w:t>
            </w:r>
          </w:p>
        </w:tc>
        <w:tc>
          <w:tcPr>
            <w:tcW w:w="13466" w:type="dxa"/>
            <w:vAlign w:val="center"/>
          </w:tcPr>
          <w:p w14:paraId="70923406" w14:textId="6D87B7D1" w:rsidR="007D028A" w:rsidRPr="00824FCD" w:rsidRDefault="007D028A" w:rsidP="007D028A">
            <w:pPr>
              <w:ind w:firstLine="0"/>
              <w:contextualSpacing/>
              <w:rPr>
                <w:color w:val="auto"/>
              </w:rPr>
            </w:pPr>
            <w:r w:rsidRPr="00824FCD">
              <w:rPr>
                <w:color w:val="auto"/>
              </w:rPr>
              <w:t xml:space="preserve">Turi palaikyti ne mažiau kaip 50 000 HTTP </w:t>
            </w:r>
            <w:proofErr w:type="spellStart"/>
            <w:r w:rsidRPr="00824FCD">
              <w:rPr>
                <w:color w:val="auto"/>
              </w:rPr>
              <w:t>proxy</w:t>
            </w:r>
            <w:proofErr w:type="spellEnd"/>
            <w:r w:rsidRPr="00824FCD">
              <w:rPr>
                <w:color w:val="auto"/>
              </w:rPr>
              <w:t xml:space="preserve"> sesijų vienu metu.</w:t>
            </w:r>
          </w:p>
        </w:tc>
      </w:tr>
      <w:tr w:rsidR="007D028A" w:rsidRPr="00824FCD" w14:paraId="1B86BCC6" w14:textId="77777777" w:rsidTr="00F41D86">
        <w:trPr>
          <w:trHeight w:val="231"/>
        </w:trPr>
        <w:tc>
          <w:tcPr>
            <w:tcW w:w="851" w:type="dxa"/>
            <w:shd w:val="clear" w:color="auto" w:fill="auto"/>
            <w:noWrap/>
          </w:tcPr>
          <w:p w14:paraId="148BD8B1" w14:textId="2A672BA9" w:rsidR="007D028A" w:rsidRPr="00824FCD" w:rsidRDefault="007D028A" w:rsidP="007D028A">
            <w:pPr>
              <w:ind w:firstLine="0"/>
              <w:rPr>
                <w:bCs/>
                <w:color w:val="auto"/>
              </w:rPr>
            </w:pPr>
            <w:r w:rsidRPr="00824FCD">
              <w:rPr>
                <w:bCs/>
                <w:color w:val="auto"/>
              </w:rPr>
              <w:t>2.9.</w:t>
            </w:r>
          </w:p>
        </w:tc>
        <w:tc>
          <w:tcPr>
            <w:tcW w:w="13466" w:type="dxa"/>
            <w:vAlign w:val="center"/>
          </w:tcPr>
          <w:p w14:paraId="55D9B1CC" w14:textId="306E19AF" w:rsidR="007D028A" w:rsidRPr="00824FCD" w:rsidRDefault="007D028A" w:rsidP="007D028A">
            <w:pPr>
              <w:ind w:firstLine="0"/>
              <w:contextualSpacing/>
              <w:rPr>
                <w:color w:val="auto"/>
              </w:rPr>
            </w:pPr>
            <w:r w:rsidRPr="00824FCD">
              <w:rPr>
                <w:color w:val="auto"/>
              </w:rPr>
              <w:t xml:space="preserve">Turi būti funkcionalumas, leidžiantis įrenginį sudalinti į ne mažiau kaip 10 virtualių įrenginių.  </w:t>
            </w:r>
          </w:p>
        </w:tc>
      </w:tr>
      <w:tr w:rsidR="007D028A" w:rsidRPr="00824FCD" w14:paraId="73595EEA" w14:textId="77777777" w:rsidTr="00F41D86">
        <w:trPr>
          <w:trHeight w:val="231"/>
        </w:trPr>
        <w:tc>
          <w:tcPr>
            <w:tcW w:w="851" w:type="dxa"/>
            <w:shd w:val="clear" w:color="auto" w:fill="auto"/>
            <w:noWrap/>
          </w:tcPr>
          <w:p w14:paraId="1CFCFCBD" w14:textId="5E870F0B" w:rsidR="007D028A" w:rsidRPr="00824FCD" w:rsidRDefault="007D028A" w:rsidP="007D028A">
            <w:pPr>
              <w:ind w:firstLine="0"/>
              <w:rPr>
                <w:bCs/>
                <w:color w:val="auto"/>
              </w:rPr>
            </w:pPr>
            <w:r w:rsidRPr="00824FCD">
              <w:rPr>
                <w:bCs/>
                <w:color w:val="auto"/>
              </w:rPr>
              <w:t>2.10.</w:t>
            </w:r>
          </w:p>
        </w:tc>
        <w:tc>
          <w:tcPr>
            <w:tcW w:w="13466" w:type="dxa"/>
            <w:vAlign w:val="center"/>
          </w:tcPr>
          <w:p w14:paraId="21848119" w14:textId="183BE550" w:rsidR="007D028A" w:rsidRPr="00824FCD" w:rsidRDefault="007D028A" w:rsidP="007D028A">
            <w:pPr>
              <w:ind w:firstLine="0"/>
              <w:contextualSpacing/>
              <w:rPr>
                <w:color w:val="auto"/>
              </w:rPr>
            </w:pPr>
            <w:r w:rsidRPr="00824FCD">
              <w:rPr>
                <w:color w:val="auto"/>
              </w:rPr>
              <w:t>Statiniai blokuojamų ir leidžiamų resursų sąrašai (</w:t>
            </w:r>
            <w:r w:rsidRPr="00824FCD">
              <w:rPr>
                <w:i/>
                <w:color w:val="auto"/>
              </w:rPr>
              <w:t xml:space="preserve">angl. </w:t>
            </w:r>
            <w:proofErr w:type="spellStart"/>
            <w:r w:rsidRPr="00824FCD">
              <w:rPr>
                <w:i/>
                <w:color w:val="auto"/>
              </w:rPr>
              <w:t>Static</w:t>
            </w:r>
            <w:proofErr w:type="spellEnd"/>
            <w:r w:rsidRPr="00824FCD">
              <w:rPr>
                <w:i/>
                <w:color w:val="auto"/>
              </w:rPr>
              <w:t xml:space="preserve"> </w:t>
            </w:r>
            <w:proofErr w:type="spellStart"/>
            <w:r w:rsidRPr="00824FCD">
              <w:rPr>
                <w:i/>
                <w:color w:val="auto"/>
              </w:rPr>
              <w:t>whitelisting</w:t>
            </w:r>
            <w:proofErr w:type="spellEnd"/>
            <w:r w:rsidRPr="00824FCD">
              <w:rPr>
                <w:i/>
                <w:color w:val="auto"/>
              </w:rPr>
              <w:t xml:space="preserve"> </w:t>
            </w:r>
            <w:proofErr w:type="spellStart"/>
            <w:r w:rsidRPr="00824FCD">
              <w:rPr>
                <w:i/>
                <w:color w:val="auto"/>
              </w:rPr>
              <w:t>and</w:t>
            </w:r>
            <w:proofErr w:type="spellEnd"/>
            <w:r w:rsidRPr="00824FCD">
              <w:rPr>
                <w:i/>
                <w:color w:val="auto"/>
              </w:rPr>
              <w:t xml:space="preserve"> </w:t>
            </w:r>
            <w:proofErr w:type="spellStart"/>
            <w:r w:rsidRPr="00824FCD">
              <w:rPr>
                <w:i/>
                <w:color w:val="auto"/>
              </w:rPr>
              <w:t>blacklisting</w:t>
            </w:r>
            <w:proofErr w:type="spellEnd"/>
            <w:r w:rsidRPr="00824FCD">
              <w:rPr>
                <w:i/>
                <w:color w:val="auto"/>
              </w:rPr>
              <w:t xml:space="preserve"> </w:t>
            </w:r>
            <w:proofErr w:type="spellStart"/>
            <w:r w:rsidRPr="00824FCD">
              <w:rPr>
                <w:i/>
                <w:color w:val="auto"/>
              </w:rPr>
              <w:t>capabilities</w:t>
            </w:r>
            <w:proofErr w:type="spellEnd"/>
            <w:r w:rsidRPr="00824FCD">
              <w:rPr>
                <w:color w:val="auto"/>
              </w:rPr>
              <w:t>).</w:t>
            </w:r>
          </w:p>
        </w:tc>
      </w:tr>
      <w:tr w:rsidR="007D028A" w:rsidRPr="00824FCD" w14:paraId="2F545EE6" w14:textId="77777777" w:rsidTr="00F41D86">
        <w:trPr>
          <w:trHeight w:val="231"/>
        </w:trPr>
        <w:tc>
          <w:tcPr>
            <w:tcW w:w="851" w:type="dxa"/>
            <w:shd w:val="clear" w:color="auto" w:fill="auto"/>
            <w:noWrap/>
          </w:tcPr>
          <w:p w14:paraId="024EFD50" w14:textId="14A6AAA5" w:rsidR="007D028A" w:rsidRPr="00824FCD" w:rsidRDefault="007D028A" w:rsidP="007D028A">
            <w:pPr>
              <w:ind w:firstLine="0"/>
              <w:rPr>
                <w:bCs/>
                <w:color w:val="auto"/>
              </w:rPr>
            </w:pPr>
            <w:r w:rsidRPr="00824FCD">
              <w:rPr>
                <w:bCs/>
                <w:color w:val="auto"/>
              </w:rPr>
              <w:t>2.11.</w:t>
            </w:r>
          </w:p>
        </w:tc>
        <w:tc>
          <w:tcPr>
            <w:tcW w:w="13466" w:type="dxa"/>
            <w:vAlign w:val="center"/>
          </w:tcPr>
          <w:p w14:paraId="7F9FC4F8" w14:textId="65DB0706" w:rsidR="007D028A" w:rsidRPr="00824FCD" w:rsidRDefault="007D028A" w:rsidP="007D028A">
            <w:pPr>
              <w:ind w:firstLine="0"/>
              <w:contextualSpacing/>
              <w:rPr>
                <w:color w:val="auto"/>
              </w:rPr>
            </w:pPr>
            <w:r w:rsidRPr="00824FCD">
              <w:rPr>
                <w:color w:val="auto"/>
              </w:rPr>
              <w:t>Įranga turi palaikyti API (</w:t>
            </w:r>
            <w:proofErr w:type="spellStart"/>
            <w:r w:rsidRPr="00824FCD">
              <w:rPr>
                <w:i/>
                <w:color w:val="auto"/>
              </w:rPr>
              <w:t>angl</w:t>
            </w:r>
            <w:proofErr w:type="spellEnd"/>
            <w:r w:rsidRPr="00824FCD">
              <w:rPr>
                <w:i/>
                <w:color w:val="auto"/>
              </w:rPr>
              <w:t xml:space="preserve"> </w:t>
            </w:r>
            <w:proofErr w:type="spellStart"/>
            <w:r w:rsidRPr="00824FCD">
              <w:rPr>
                <w:i/>
                <w:color w:val="auto"/>
              </w:rPr>
              <w:t>Application</w:t>
            </w:r>
            <w:proofErr w:type="spellEnd"/>
            <w:r w:rsidRPr="00824FCD">
              <w:rPr>
                <w:i/>
                <w:color w:val="auto"/>
              </w:rPr>
              <w:t xml:space="preserve"> </w:t>
            </w:r>
            <w:proofErr w:type="spellStart"/>
            <w:r w:rsidRPr="00824FCD">
              <w:rPr>
                <w:i/>
                <w:color w:val="auto"/>
              </w:rPr>
              <w:t>programming</w:t>
            </w:r>
            <w:proofErr w:type="spellEnd"/>
            <w:r w:rsidRPr="00824FCD">
              <w:rPr>
                <w:i/>
                <w:color w:val="auto"/>
              </w:rPr>
              <w:t xml:space="preserve"> </w:t>
            </w:r>
            <w:proofErr w:type="spellStart"/>
            <w:r w:rsidRPr="00824FCD">
              <w:rPr>
                <w:i/>
                <w:color w:val="auto"/>
              </w:rPr>
              <w:t>interface</w:t>
            </w:r>
            <w:proofErr w:type="spellEnd"/>
            <w:r w:rsidRPr="00824FCD">
              <w:rPr>
                <w:color w:val="auto"/>
              </w:rPr>
              <w:t>). Turi būti galimybė įrangą valdyti per API.</w:t>
            </w:r>
          </w:p>
        </w:tc>
      </w:tr>
      <w:tr w:rsidR="007D028A" w:rsidRPr="00824FCD" w14:paraId="1DF9BD09" w14:textId="77777777" w:rsidTr="00F41D86">
        <w:trPr>
          <w:trHeight w:val="231"/>
        </w:trPr>
        <w:tc>
          <w:tcPr>
            <w:tcW w:w="851" w:type="dxa"/>
            <w:shd w:val="clear" w:color="auto" w:fill="auto"/>
            <w:noWrap/>
          </w:tcPr>
          <w:p w14:paraId="0B42332E" w14:textId="2697644D" w:rsidR="007D028A" w:rsidRPr="00824FCD" w:rsidRDefault="007D028A" w:rsidP="007D028A">
            <w:pPr>
              <w:ind w:firstLine="0"/>
              <w:rPr>
                <w:bCs/>
                <w:color w:val="auto"/>
              </w:rPr>
            </w:pPr>
            <w:r w:rsidRPr="00824FCD">
              <w:rPr>
                <w:bCs/>
                <w:color w:val="auto"/>
              </w:rPr>
              <w:t>2.12.</w:t>
            </w:r>
          </w:p>
        </w:tc>
        <w:tc>
          <w:tcPr>
            <w:tcW w:w="13466" w:type="dxa"/>
            <w:vAlign w:val="center"/>
          </w:tcPr>
          <w:p w14:paraId="1E437C06" w14:textId="32F51348" w:rsidR="007D028A" w:rsidRPr="00824FCD" w:rsidRDefault="007D028A" w:rsidP="007D028A">
            <w:pPr>
              <w:ind w:firstLine="0"/>
              <w:contextualSpacing/>
              <w:rPr>
                <w:color w:val="auto"/>
              </w:rPr>
            </w:pPr>
            <w:r w:rsidRPr="00824FCD">
              <w:rPr>
                <w:color w:val="auto"/>
              </w:rPr>
              <w:t xml:space="preserve">Turi būti galimybė išplėsti funkcionalumą papildomomis licencijomis ir atlikti vartotojo naršymo sesijos izoliavimą </w:t>
            </w:r>
            <w:proofErr w:type="spellStart"/>
            <w:r w:rsidRPr="00824FCD">
              <w:rPr>
                <w:color w:val="auto"/>
              </w:rPr>
              <w:t>Docker</w:t>
            </w:r>
            <w:proofErr w:type="spellEnd"/>
            <w:r w:rsidRPr="00824FCD">
              <w:rPr>
                <w:color w:val="auto"/>
              </w:rPr>
              <w:t xml:space="preserve"> konteineryje taip apsaugant, kad kenksmingas kodas paleistas naršyklėje negalėtų įtakoti darbo vietos. Uždarius naršyklę – </w:t>
            </w:r>
            <w:proofErr w:type="spellStart"/>
            <w:r w:rsidRPr="00824FCD">
              <w:rPr>
                <w:color w:val="auto"/>
              </w:rPr>
              <w:t>isoliuota</w:t>
            </w:r>
            <w:proofErr w:type="spellEnd"/>
            <w:r w:rsidRPr="00824FCD">
              <w:rPr>
                <w:color w:val="auto"/>
              </w:rPr>
              <w:t xml:space="preserve"> sesija yra sunaikinama.</w:t>
            </w:r>
          </w:p>
        </w:tc>
      </w:tr>
      <w:tr w:rsidR="007D028A" w:rsidRPr="00824FCD" w14:paraId="0393ED11" w14:textId="77777777" w:rsidTr="00F41D86">
        <w:trPr>
          <w:trHeight w:val="231"/>
        </w:trPr>
        <w:tc>
          <w:tcPr>
            <w:tcW w:w="851" w:type="dxa"/>
            <w:shd w:val="clear" w:color="auto" w:fill="auto"/>
            <w:noWrap/>
          </w:tcPr>
          <w:p w14:paraId="58243A7E" w14:textId="3980196E" w:rsidR="007D028A" w:rsidRPr="00824FCD" w:rsidRDefault="007D028A" w:rsidP="007D028A">
            <w:pPr>
              <w:ind w:firstLine="0"/>
              <w:rPr>
                <w:bCs/>
                <w:color w:val="auto"/>
              </w:rPr>
            </w:pPr>
            <w:r w:rsidRPr="00824FCD">
              <w:rPr>
                <w:bCs/>
                <w:color w:val="auto"/>
              </w:rPr>
              <w:t>2.13.</w:t>
            </w:r>
          </w:p>
        </w:tc>
        <w:tc>
          <w:tcPr>
            <w:tcW w:w="13466" w:type="dxa"/>
            <w:vAlign w:val="center"/>
          </w:tcPr>
          <w:p w14:paraId="67AD6F4E" w14:textId="00EDB8C8" w:rsidR="007D028A" w:rsidRPr="00824FCD" w:rsidRDefault="007D028A" w:rsidP="007D028A">
            <w:pPr>
              <w:ind w:firstLine="0"/>
              <w:contextualSpacing/>
              <w:rPr>
                <w:color w:val="auto"/>
              </w:rPr>
            </w:pPr>
            <w:r w:rsidRPr="00824FCD">
              <w:rPr>
                <w:color w:val="auto"/>
              </w:rPr>
              <w:t>Turi būti funkcionalumas leidžiantis konfigūruoti vieną ar kelias prieigos politikas atsižvelgiant į kreipinio tipą, kreipinio kategoriją, šaltinį, šaltinio tipą, IP adresą, šalį, naudotojo vardą ar grupę.</w:t>
            </w:r>
          </w:p>
        </w:tc>
      </w:tr>
      <w:tr w:rsidR="007D028A" w:rsidRPr="00824FCD" w14:paraId="77B1A39E" w14:textId="77777777" w:rsidTr="00F41D86">
        <w:trPr>
          <w:trHeight w:val="231"/>
        </w:trPr>
        <w:tc>
          <w:tcPr>
            <w:tcW w:w="851" w:type="dxa"/>
            <w:shd w:val="clear" w:color="auto" w:fill="auto"/>
            <w:noWrap/>
          </w:tcPr>
          <w:p w14:paraId="609AA8EB" w14:textId="4C4426F3" w:rsidR="007D028A" w:rsidRPr="00824FCD" w:rsidRDefault="007D028A" w:rsidP="007D028A">
            <w:pPr>
              <w:ind w:firstLine="0"/>
              <w:rPr>
                <w:bCs/>
                <w:color w:val="auto"/>
              </w:rPr>
            </w:pPr>
            <w:r w:rsidRPr="00824FCD">
              <w:rPr>
                <w:bCs/>
                <w:color w:val="auto"/>
              </w:rPr>
              <w:t>2.14.</w:t>
            </w:r>
          </w:p>
        </w:tc>
        <w:tc>
          <w:tcPr>
            <w:tcW w:w="13466" w:type="dxa"/>
            <w:vAlign w:val="center"/>
          </w:tcPr>
          <w:p w14:paraId="7F082CF5" w14:textId="33E2E9BD" w:rsidR="007D028A" w:rsidRPr="00824FCD" w:rsidRDefault="007D028A" w:rsidP="007D028A">
            <w:pPr>
              <w:ind w:firstLine="0"/>
              <w:contextualSpacing/>
              <w:rPr>
                <w:color w:val="auto"/>
              </w:rPr>
            </w:pPr>
            <w:r w:rsidRPr="00824FCD">
              <w:rPr>
                <w:color w:val="auto"/>
              </w:rPr>
              <w:t xml:space="preserve">Sistema turi palaikyti naujausius TLS kriptografijos ir šifravimo standartus įskaitant, bet neapsiribojant: TLS 1.2, TLS 1.3, </w:t>
            </w:r>
            <w:proofErr w:type="spellStart"/>
            <w:r w:rsidRPr="00824FCD">
              <w:rPr>
                <w:color w:val="auto"/>
              </w:rPr>
              <w:t>Elliptic</w:t>
            </w:r>
            <w:proofErr w:type="spellEnd"/>
            <w:r w:rsidRPr="00824FCD">
              <w:rPr>
                <w:color w:val="auto"/>
              </w:rPr>
              <w:t xml:space="preserve"> </w:t>
            </w:r>
            <w:proofErr w:type="spellStart"/>
            <w:r w:rsidRPr="00824FCD">
              <w:rPr>
                <w:color w:val="auto"/>
              </w:rPr>
              <w:t>Curve</w:t>
            </w:r>
            <w:proofErr w:type="spellEnd"/>
            <w:r w:rsidRPr="00824FCD">
              <w:rPr>
                <w:color w:val="auto"/>
              </w:rPr>
              <w:t>, RSA.</w:t>
            </w:r>
          </w:p>
        </w:tc>
      </w:tr>
      <w:tr w:rsidR="007D028A" w:rsidRPr="00824FCD" w14:paraId="741DF95D" w14:textId="77777777" w:rsidTr="00F41D86">
        <w:trPr>
          <w:trHeight w:val="231"/>
        </w:trPr>
        <w:tc>
          <w:tcPr>
            <w:tcW w:w="851" w:type="dxa"/>
            <w:shd w:val="clear" w:color="auto" w:fill="auto"/>
            <w:noWrap/>
          </w:tcPr>
          <w:p w14:paraId="5D16C217" w14:textId="647E400C" w:rsidR="007D028A" w:rsidRPr="00824FCD" w:rsidRDefault="007D028A" w:rsidP="007D028A">
            <w:pPr>
              <w:ind w:firstLine="0"/>
              <w:rPr>
                <w:bCs/>
                <w:color w:val="auto"/>
              </w:rPr>
            </w:pPr>
            <w:r w:rsidRPr="00824FCD">
              <w:rPr>
                <w:bCs/>
                <w:color w:val="auto"/>
              </w:rPr>
              <w:t>2.15.</w:t>
            </w:r>
          </w:p>
        </w:tc>
        <w:tc>
          <w:tcPr>
            <w:tcW w:w="13466" w:type="dxa"/>
            <w:vAlign w:val="center"/>
          </w:tcPr>
          <w:p w14:paraId="2390FD19" w14:textId="77777777" w:rsidR="007D028A" w:rsidRPr="00824FCD" w:rsidRDefault="007D028A" w:rsidP="007D028A">
            <w:pPr>
              <w:ind w:firstLine="0"/>
              <w:contextualSpacing/>
              <w:rPr>
                <w:color w:val="auto"/>
              </w:rPr>
            </w:pPr>
            <w:r w:rsidRPr="00824FCD">
              <w:rPr>
                <w:color w:val="auto"/>
              </w:rPr>
              <w:t>Saugaus interneto naršymo įrangos palaikomos funkcijos:</w:t>
            </w:r>
          </w:p>
          <w:p w14:paraId="0C4A5B7C" w14:textId="77777777" w:rsidR="007D028A" w:rsidRPr="00824FCD" w:rsidRDefault="007D028A" w:rsidP="007D028A">
            <w:pPr>
              <w:ind w:firstLine="0"/>
              <w:contextualSpacing/>
              <w:rPr>
                <w:color w:val="auto"/>
              </w:rPr>
            </w:pPr>
            <w:r w:rsidRPr="00824FCD">
              <w:rPr>
                <w:color w:val="auto"/>
              </w:rPr>
              <w:t>šifruoto srauto patikra:</w:t>
            </w:r>
          </w:p>
          <w:p w14:paraId="1BA46EC1" w14:textId="77777777" w:rsidR="007D028A" w:rsidRPr="00824FCD" w:rsidRDefault="007D028A" w:rsidP="007D028A">
            <w:pPr>
              <w:ind w:firstLine="0"/>
              <w:contextualSpacing/>
              <w:rPr>
                <w:color w:val="auto"/>
              </w:rPr>
            </w:pPr>
            <w:r w:rsidRPr="00824FCD">
              <w:rPr>
                <w:color w:val="auto"/>
              </w:rPr>
              <w:t>SSL ir SSH srauto inspektavimas;</w:t>
            </w:r>
          </w:p>
          <w:p w14:paraId="0E399944" w14:textId="77777777" w:rsidR="007D028A" w:rsidRPr="00824FCD" w:rsidRDefault="007D028A" w:rsidP="007D028A">
            <w:pPr>
              <w:ind w:firstLine="0"/>
              <w:contextualSpacing/>
              <w:rPr>
                <w:color w:val="auto"/>
              </w:rPr>
            </w:pPr>
            <w:r w:rsidRPr="00824FCD">
              <w:rPr>
                <w:color w:val="auto"/>
              </w:rPr>
              <w:t>galimybės taikyti šifruoto srauto patikros išimtis (pvz.: netikrinti bankų portalų);</w:t>
            </w:r>
          </w:p>
          <w:p w14:paraId="52B96D31" w14:textId="77777777" w:rsidR="007D028A" w:rsidRPr="00824FCD" w:rsidRDefault="007D028A" w:rsidP="007D028A">
            <w:pPr>
              <w:ind w:firstLine="0"/>
              <w:contextualSpacing/>
              <w:rPr>
                <w:color w:val="auto"/>
              </w:rPr>
            </w:pPr>
            <w:r w:rsidRPr="00824FCD">
              <w:rPr>
                <w:color w:val="auto"/>
              </w:rPr>
              <w:t>DNS ir WEB filtravimas:</w:t>
            </w:r>
          </w:p>
          <w:p w14:paraId="2E9EC014" w14:textId="77777777" w:rsidR="007D028A" w:rsidRPr="00824FCD" w:rsidRDefault="007D028A" w:rsidP="007D028A">
            <w:pPr>
              <w:ind w:firstLine="0"/>
              <w:contextualSpacing/>
              <w:rPr>
                <w:color w:val="auto"/>
              </w:rPr>
            </w:pPr>
            <w:r w:rsidRPr="00824FCD">
              <w:rPr>
                <w:color w:val="auto"/>
              </w:rPr>
              <w:t>kenksmingų ir įtartinų domenų automatinis blokavimas;</w:t>
            </w:r>
          </w:p>
          <w:p w14:paraId="1B3B797D" w14:textId="77777777" w:rsidR="007D028A" w:rsidRPr="00824FCD" w:rsidRDefault="007D028A" w:rsidP="007D028A">
            <w:pPr>
              <w:ind w:firstLine="0"/>
              <w:contextualSpacing/>
              <w:rPr>
                <w:color w:val="auto"/>
              </w:rPr>
            </w:pPr>
            <w:r w:rsidRPr="00824FCD">
              <w:rPr>
                <w:color w:val="auto"/>
              </w:rPr>
              <w:t xml:space="preserve">WEB svetainių dinaminis </w:t>
            </w:r>
            <w:proofErr w:type="spellStart"/>
            <w:r w:rsidRPr="00824FCD">
              <w:rPr>
                <w:color w:val="auto"/>
              </w:rPr>
              <w:t>kategorizavimas</w:t>
            </w:r>
            <w:proofErr w:type="spellEnd"/>
            <w:r w:rsidRPr="00824FCD">
              <w:rPr>
                <w:color w:val="auto"/>
              </w:rPr>
              <w:t>;</w:t>
            </w:r>
          </w:p>
          <w:p w14:paraId="53B0690E" w14:textId="77777777" w:rsidR="007D028A" w:rsidRPr="00824FCD" w:rsidRDefault="007D028A" w:rsidP="007D028A">
            <w:pPr>
              <w:ind w:firstLine="0"/>
              <w:contextualSpacing/>
              <w:rPr>
                <w:color w:val="auto"/>
              </w:rPr>
            </w:pPr>
            <w:r w:rsidRPr="00824FCD">
              <w:rPr>
                <w:color w:val="auto"/>
              </w:rPr>
              <w:t>galimybė keisti WEB kategorijas;</w:t>
            </w:r>
          </w:p>
          <w:p w14:paraId="31BB2437" w14:textId="77777777" w:rsidR="007D028A" w:rsidRPr="00824FCD" w:rsidRDefault="007D028A" w:rsidP="007D028A">
            <w:pPr>
              <w:ind w:firstLine="0"/>
              <w:contextualSpacing/>
              <w:rPr>
                <w:color w:val="auto"/>
              </w:rPr>
            </w:pPr>
            <w:r w:rsidRPr="00824FCD">
              <w:rPr>
                <w:color w:val="auto"/>
              </w:rPr>
              <w:t>detali WEB aplikacijų kontrolė (</w:t>
            </w:r>
            <w:r w:rsidRPr="00824FCD">
              <w:rPr>
                <w:i/>
                <w:color w:val="auto"/>
              </w:rPr>
              <w:t xml:space="preserve">angl. </w:t>
            </w:r>
            <w:proofErr w:type="spellStart"/>
            <w:r w:rsidRPr="00824FCD">
              <w:rPr>
                <w:i/>
                <w:color w:val="auto"/>
              </w:rPr>
              <w:t>Granular</w:t>
            </w:r>
            <w:proofErr w:type="spellEnd"/>
            <w:r w:rsidRPr="00824FCD">
              <w:rPr>
                <w:i/>
                <w:color w:val="auto"/>
              </w:rPr>
              <w:t xml:space="preserve"> </w:t>
            </w:r>
            <w:proofErr w:type="spellStart"/>
            <w:r w:rsidRPr="00824FCD">
              <w:rPr>
                <w:i/>
                <w:color w:val="auto"/>
              </w:rPr>
              <w:t>Application</w:t>
            </w:r>
            <w:proofErr w:type="spellEnd"/>
            <w:r w:rsidRPr="00824FCD">
              <w:rPr>
                <w:i/>
                <w:color w:val="auto"/>
              </w:rPr>
              <w:t xml:space="preserve"> </w:t>
            </w:r>
            <w:proofErr w:type="spellStart"/>
            <w:r w:rsidRPr="00824FCD">
              <w:rPr>
                <w:i/>
                <w:color w:val="auto"/>
              </w:rPr>
              <w:t>Control</w:t>
            </w:r>
            <w:proofErr w:type="spellEnd"/>
            <w:r w:rsidRPr="00824FCD">
              <w:rPr>
                <w:i/>
                <w:color w:val="auto"/>
              </w:rPr>
              <w:t>, GAC</w:t>
            </w:r>
            <w:r w:rsidRPr="00824FCD">
              <w:rPr>
                <w:color w:val="auto"/>
              </w:rPr>
              <w:t>):</w:t>
            </w:r>
          </w:p>
          <w:p w14:paraId="73691B8F" w14:textId="77777777" w:rsidR="007D028A" w:rsidRPr="00824FCD" w:rsidRDefault="007D028A" w:rsidP="007D028A">
            <w:pPr>
              <w:ind w:firstLine="0"/>
              <w:contextualSpacing/>
              <w:rPr>
                <w:color w:val="auto"/>
              </w:rPr>
            </w:pPr>
            <w:r w:rsidRPr="00824FCD">
              <w:rPr>
                <w:color w:val="auto"/>
              </w:rPr>
              <w:t xml:space="preserve">turi palaikyti pagrindinius socialinius tinklus: Facebook, </w:t>
            </w:r>
            <w:proofErr w:type="spellStart"/>
            <w:r w:rsidRPr="00824FCD">
              <w:rPr>
                <w:color w:val="auto"/>
              </w:rPr>
              <w:t>LinkedIn</w:t>
            </w:r>
            <w:proofErr w:type="spellEnd"/>
            <w:r w:rsidRPr="00824FCD">
              <w:rPr>
                <w:color w:val="auto"/>
              </w:rPr>
              <w:t>, Twitter, Instagram;</w:t>
            </w:r>
          </w:p>
          <w:p w14:paraId="22532507" w14:textId="77777777" w:rsidR="007D028A" w:rsidRPr="00824FCD" w:rsidRDefault="007D028A" w:rsidP="007D028A">
            <w:pPr>
              <w:ind w:firstLine="0"/>
              <w:contextualSpacing/>
              <w:rPr>
                <w:color w:val="auto"/>
              </w:rPr>
            </w:pPr>
            <w:r w:rsidRPr="00824FCD">
              <w:rPr>
                <w:color w:val="auto"/>
              </w:rPr>
              <w:t>WEB prieigos autentifikavimas:</w:t>
            </w:r>
          </w:p>
          <w:p w14:paraId="6AC03C8E" w14:textId="77777777" w:rsidR="007D028A" w:rsidRPr="00824FCD" w:rsidRDefault="007D028A" w:rsidP="007D028A">
            <w:pPr>
              <w:ind w:firstLine="0"/>
              <w:contextualSpacing/>
              <w:rPr>
                <w:color w:val="auto"/>
              </w:rPr>
            </w:pPr>
            <w:r w:rsidRPr="00824FCD">
              <w:rPr>
                <w:color w:val="auto"/>
              </w:rPr>
              <w:t xml:space="preserve">turi palaikyti </w:t>
            </w:r>
            <w:proofErr w:type="spellStart"/>
            <w:r w:rsidRPr="00824FCD">
              <w:rPr>
                <w:color w:val="auto"/>
              </w:rPr>
              <w:t>Radius</w:t>
            </w:r>
            <w:proofErr w:type="spellEnd"/>
            <w:r w:rsidRPr="00824FCD">
              <w:rPr>
                <w:color w:val="auto"/>
              </w:rPr>
              <w:t xml:space="preserve">, LDAP, NTLM ir </w:t>
            </w:r>
            <w:proofErr w:type="spellStart"/>
            <w:r w:rsidRPr="00824FCD">
              <w:rPr>
                <w:color w:val="auto"/>
              </w:rPr>
              <w:t>Kerberos</w:t>
            </w:r>
            <w:proofErr w:type="spellEnd"/>
            <w:r w:rsidRPr="00824FCD">
              <w:rPr>
                <w:color w:val="auto"/>
              </w:rPr>
              <w:t xml:space="preserve"> autentifikavimo protokolus;</w:t>
            </w:r>
          </w:p>
          <w:p w14:paraId="6BE00A92" w14:textId="77777777" w:rsidR="007D028A" w:rsidRPr="00824FCD" w:rsidRDefault="007D028A" w:rsidP="007D028A">
            <w:pPr>
              <w:ind w:firstLine="0"/>
              <w:contextualSpacing/>
              <w:rPr>
                <w:color w:val="auto"/>
              </w:rPr>
            </w:pPr>
            <w:r w:rsidRPr="00824FCD">
              <w:rPr>
                <w:color w:val="auto"/>
              </w:rPr>
              <w:t>turi palaikyti vieningo prisijungimo režimą (</w:t>
            </w:r>
            <w:r w:rsidRPr="00824FCD">
              <w:rPr>
                <w:i/>
                <w:color w:val="auto"/>
              </w:rPr>
              <w:t xml:space="preserve">angl. </w:t>
            </w:r>
            <w:proofErr w:type="spellStart"/>
            <w:r w:rsidRPr="00824FCD">
              <w:rPr>
                <w:i/>
                <w:color w:val="auto"/>
              </w:rPr>
              <w:t>Single</w:t>
            </w:r>
            <w:proofErr w:type="spellEnd"/>
            <w:r w:rsidRPr="00824FCD">
              <w:rPr>
                <w:i/>
                <w:color w:val="auto"/>
              </w:rPr>
              <w:t xml:space="preserve"> </w:t>
            </w:r>
            <w:proofErr w:type="spellStart"/>
            <w:r w:rsidRPr="00824FCD">
              <w:rPr>
                <w:i/>
                <w:color w:val="auto"/>
              </w:rPr>
              <w:t>Sign-On</w:t>
            </w:r>
            <w:proofErr w:type="spellEnd"/>
            <w:r w:rsidRPr="00824FCD">
              <w:rPr>
                <w:color w:val="auto"/>
              </w:rPr>
              <w:t>);</w:t>
            </w:r>
          </w:p>
          <w:p w14:paraId="0D026DF7" w14:textId="77777777" w:rsidR="007D028A" w:rsidRPr="00824FCD" w:rsidRDefault="007D028A" w:rsidP="007D028A">
            <w:pPr>
              <w:ind w:firstLine="0"/>
              <w:contextualSpacing/>
              <w:rPr>
                <w:color w:val="auto"/>
              </w:rPr>
            </w:pPr>
            <w:r w:rsidRPr="00824FCD">
              <w:rPr>
                <w:color w:val="auto"/>
              </w:rPr>
              <w:t>turi palaikyti aktyvaus katalogo (</w:t>
            </w:r>
            <w:r w:rsidRPr="00824FCD">
              <w:rPr>
                <w:i/>
                <w:color w:val="auto"/>
              </w:rPr>
              <w:t xml:space="preserve">angl. </w:t>
            </w:r>
            <w:proofErr w:type="spellStart"/>
            <w:r w:rsidRPr="00824FCD">
              <w:rPr>
                <w:i/>
                <w:color w:val="auto"/>
              </w:rPr>
              <w:t>Active</w:t>
            </w:r>
            <w:proofErr w:type="spellEnd"/>
            <w:r w:rsidRPr="00824FCD">
              <w:rPr>
                <w:i/>
                <w:color w:val="auto"/>
              </w:rPr>
              <w:t xml:space="preserve"> </w:t>
            </w:r>
            <w:proofErr w:type="spellStart"/>
            <w:r w:rsidRPr="00824FCD">
              <w:rPr>
                <w:i/>
                <w:color w:val="auto"/>
              </w:rPr>
              <w:t>Directory</w:t>
            </w:r>
            <w:proofErr w:type="spellEnd"/>
            <w:r w:rsidRPr="00824FCD">
              <w:rPr>
                <w:color w:val="auto"/>
              </w:rPr>
              <w:t>) įdėtines grupes (</w:t>
            </w:r>
            <w:r w:rsidRPr="00824FCD">
              <w:rPr>
                <w:i/>
                <w:color w:val="auto"/>
              </w:rPr>
              <w:t xml:space="preserve">angl. </w:t>
            </w:r>
            <w:proofErr w:type="spellStart"/>
            <w:r w:rsidRPr="00824FCD">
              <w:rPr>
                <w:i/>
                <w:color w:val="auto"/>
              </w:rPr>
              <w:t>Nested</w:t>
            </w:r>
            <w:proofErr w:type="spellEnd"/>
            <w:r w:rsidRPr="00824FCD">
              <w:rPr>
                <w:i/>
                <w:color w:val="auto"/>
              </w:rPr>
              <w:t xml:space="preserve"> </w:t>
            </w:r>
            <w:proofErr w:type="spellStart"/>
            <w:r w:rsidRPr="00824FCD">
              <w:rPr>
                <w:i/>
                <w:color w:val="auto"/>
              </w:rPr>
              <w:t>Groups</w:t>
            </w:r>
            <w:proofErr w:type="spellEnd"/>
            <w:r w:rsidRPr="00824FCD">
              <w:rPr>
                <w:color w:val="auto"/>
              </w:rPr>
              <w:t>);</w:t>
            </w:r>
          </w:p>
          <w:p w14:paraId="7D745CED" w14:textId="31415800" w:rsidR="007D028A" w:rsidRPr="00824FCD" w:rsidRDefault="007D028A" w:rsidP="007D028A">
            <w:pPr>
              <w:ind w:firstLine="0"/>
              <w:contextualSpacing/>
              <w:rPr>
                <w:color w:val="auto"/>
              </w:rPr>
            </w:pPr>
            <w:r w:rsidRPr="00824FCD">
              <w:rPr>
                <w:color w:val="auto"/>
              </w:rPr>
              <w:t>autentifikavimas turi būti vykdomas be papildomos įrangos diegimo tinkle ar galiniuose naudotojų įrenginiuose.</w:t>
            </w:r>
          </w:p>
        </w:tc>
      </w:tr>
      <w:tr w:rsidR="007D028A" w:rsidRPr="00824FCD" w14:paraId="45718DBA" w14:textId="77777777" w:rsidTr="00F41D86">
        <w:trPr>
          <w:trHeight w:val="231"/>
        </w:trPr>
        <w:tc>
          <w:tcPr>
            <w:tcW w:w="851" w:type="dxa"/>
            <w:shd w:val="clear" w:color="auto" w:fill="auto"/>
            <w:noWrap/>
          </w:tcPr>
          <w:p w14:paraId="42CFEBBA" w14:textId="171E3E84" w:rsidR="007D028A" w:rsidRPr="00824FCD" w:rsidRDefault="007D028A" w:rsidP="007D028A">
            <w:pPr>
              <w:ind w:firstLine="0"/>
              <w:rPr>
                <w:bCs/>
                <w:color w:val="auto"/>
              </w:rPr>
            </w:pPr>
            <w:r w:rsidRPr="00824FCD">
              <w:rPr>
                <w:bCs/>
                <w:color w:val="auto"/>
              </w:rPr>
              <w:t>2.16.</w:t>
            </w:r>
          </w:p>
        </w:tc>
        <w:tc>
          <w:tcPr>
            <w:tcW w:w="13466" w:type="dxa"/>
            <w:vAlign w:val="center"/>
          </w:tcPr>
          <w:p w14:paraId="30FC1BE9" w14:textId="1547CF51" w:rsidR="007D028A" w:rsidRPr="00824FCD" w:rsidRDefault="007D028A" w:rsidP="007D028A">
            <w:pPr>
              <w:ind w:firstLine="0"/>
              <w:contextualSpacing/>
              <w:rPr>
                <w:color w:val="auto"/>
              </w:rPr>
            </w:pPr>
            <w:r w:rsidRPr="00824FCD">
              <w:rPr>
                <w:color w:val="auto"/>
              </w:rPr>
              <w:t>Saugaus interneto naršymo įrangos palaikomos topologijos ir standartai:</w:t>
            </w:r>
          </w:p>
          <w:p w14:paraId="52C78146" w14:textId="77777777" w:rsidR="007D028A" w:rsidRPr="00824FCD" w:rsidRDefault="007D028A" w:rsidP="007D028A">
            <w:pPr>
              <w:ind w:firstLine="0"/>
              <w:contextualSpacing/>
              <w:rPr>
                <w:color w:val="auto"/>
              </w:rPr>
            </w:pPr>
            <w:r w:rsidRPr="00824FCD">
              <w:rPr>
                <w:color w:val="auto"/>
              </w:rPr>
              <w:t>turi būti palaikomos šios įrangos diegimo topologijos:</w:t>
            </w:r>
          </w:p>
          <w:p w14:paraId="4AB74D25" w14:textId="77777777" w:rsidR="007D028A" w:rsidRPr="00824FCD" w:rsidRDefault="007D028A" w:rsidP="007D028A">
            <w:pPr>
              <w:ind w:firstLine="0"/>
              <w:contextualSpacing/>
              <w:rPr>
                <w:color w:val="auto"/>
              </w:rPr>
            </w:pPr>
            <w:r w:rsidRPr="00824FCD">
              <w:rPr>
                <w:color w:val="auto"/>
              </w:rPr>
              <w:t>tiesioginė (</w:t>
            </w:r>
            <w:r w:rsidRPr="00824FCD">
              <w:rPr>
                <w:i/>
                <w:color w:val="auto"/>
              </w:rPr>
              <w:t xml:space="preserve">angl. </w:t>
            </w:r>
            <w:proofErr w:type="spellStart"/>
            <w:r w:rsidRPr="00824FCD">
              <w:rPr>
                <w:i/>
                <w:color w:val="auto"/>
              </w:rPr>
              <w:t>Inline</w:t>
            </w:r>
            <w:proofErr w:type="spellEnd"/>
            <w:r w:rsidRPr="00824FCD">
              <w:rPr>
                <w:i/>
                <w:color w:val="auto"/>
              </w:rPr>
              <w:t xml:space="preserve"> Proxy</w:t>
            </w:r>
            <w:r w:rsidRPr="00824FCD">
              <w:rPr>
                <w:color w:val="auto"/>
              </w:rPr>
              <w:t>);</w:t>
            </w:r>
          </w:p>
          <w:p w14:paraId="751761CD" w14:textId="77777777" w:rsidR="007D028A" w:rsidRPr="00824FCD" w:rsidRDefault="007D028A" w:rsidP="007D028A">
            <w:pPr>
              <w:ind w:firstLine="0"/>
              <w:contextualSpacing/>
              <w:rPr>
                <w:color w:val="auto"/>
              </w:rPr>
            </w:pPr>
            <w:r w:rsidRPr="00824FCD">
              <w:rPr>
                <w:color w:val="auto"/>
              </w:rPr>
              <w:t>skaidri (</w:t>
            </w:r>
            <w:r w:rsidRPr="00824FCD">
              <w:rPr>
                <w:i/>
                <w:color w:val="auto"/>
              </w:rPr>
              <w:t xml:space="preserve">angl. </w:t>
            </w:r>
            <w:proofErr w:type="spellStart"/>
            <w:r w:rsidRPr="00824FCD">
              <w:rPr>
                <w:i/>
                <w:color w:val="auto"/>
              </w:rPr>
              <w:t>Transparent</w:t>
            </w:r>
            <w:proofErr w:type="spellEnd"/>
            <w:r w:rsidRPr="00824FCD">
              <w:rPr>
                <w:i/>
                <w:color w:val="auto"/>
              </w:rPr>
              <w:t xml:space="preserve"> Proxy</w:t>
            </w:r>
            <w:r w:rsidRPr="00824FCD">
              <w:rPr>
                <w:color w:val="auto"/>
              </w:rPr>
              <w:t>);</w:t>
            </w:r>
          </w:p>
          <w:p w14:paraId="1D0FDBC1" w14:textId="77777777" w:rsidR="007D028A" w:rsidRPr="00824FCD" w:rsidRDefault="007D028A" w:rsidP="007D028A">
            <w:pPr>
              <w:ind w:firstLine="0"/>
              <w:contextualSpacing/>
              <w:rPr>
                <w:color w:val="auto"/>
              </w:rPr>
            </w:pPr>
            <w:r w:rsidRPr="00824FCD">
              <w:rPr>
                <w:color w:val="auto"/>
              </w:rPr>
              <w:t>tiksli (</w:t>
            </w:r>
            <w:r w:rsidRPr="00824FCD">
              <w:rPr>
                <w:i/>
                <w:color w:val="auto"/>
              </w:rPr>
              <w:t xml:space="preserve">angl. </w:t>
            </w:r>
            <w:proofErr w:type="spellStart"/>
            <w:r w:rsidRPr="00824FCD">
              <w:rPr>
                <w:i/>
                <w:color w:val="auto"/>
              </w:rPr>
              <w:t>Explicit</w:t>
            </w:r>
            <w:proofErr w:type="spellEnd"/>
            <w:r w:rsidRPr="00824FCD">
              <w:rPr>
                <w:i/>
                <w:color w:val="auto"/>
              </w:rPr>
              <w:t xml:space="preserve"> Proxy</w:t>
            </w:r>
            <w:r w:rsidRPr="00824FCD">
              <w:rPr>
                <w:color w:val="auto"/>
              </w:rPr>
              <w:t>);</w:t>
            </w:r>
          </w:p>
          <w:p w14:paraId="046E2C58" w14:textId="77777777" w:rsidR="007D028A" w:rsidRPr="00824FCD" w:rsidRDefault="007D028A" w:rsidP="007D028A">
            <w:pPr>
              <w:ind w:firstLine="0"/>
              <w:contextualSpacing/>
              <w:rPr>
                <w:color w:val="auto"/>
              </w:rPr>
            </w:pPr>
            <w:r w:rsidRPr="00824FCD">
              <w:rPr>
                <w:color w:val="auto"/>
              </w:rPr>
              <w:lastRenderedPageBreak/>
              <w:t>nukreiptoji (</w:t>
            </w:r>
            <w:r w:rsidRPr="00824FCD">
              <w:rPr>
                <w:i/>
                <w:color w:val="auto"/>
              </w:rPr>
              <w:t xml:space="preserve">angl. </w:t>
            </w:r>
            <w:proofErr w:type="spellStart"/>
            <w:r w:rsidRPr="00824FCD">
              <w:rPr>
                <w:i/>
                <w:color w:val="auto"/>
              </w:rPr>
              <w:t>Routed</w:t>
            </w:r>
            <w:proofErr w:type="spellEnd"/>
            <w:r w:rsidRPr="00824FCD">
              <w:rPr>
                <w:i/>
                <w:color w:val="auto"/>
              </w:rPr>
              <w:t xml:space="preserve"> Proxy</w:t>
            </w:r>
            <w:r w:rsidRPr="00824FCD">
              <w:rPr>
                <w:color w:val="auto"/>
              </w:rPr>
              <w:t>);</w:t>
            </w:r>
          </w:p>
          <w:p w14:paraId="11A7EC69" w14:textId="77777777" w:rsidR="007D028A" w:rsidRPr="00824FCD" w:rsidRDefault="007D028A" w:rsidP="007D028A">
            <w:pPr>
              <w:ind w:firstLine="0"/>
              <w:contextualSpacing/>
              <w:rPr>
                <w:color w:val="auto"/>
              </w:rPr>
            </w:pPr>
            <w:r w:rsidRPr="00824FCD">
              <w:rPr>
                <w:color w:val="auto"/>
              </w:rPr>
              <w:t>turi palaikyti šiuos standartus:</w:t>
            </w:r>
          </w:p>
          <w:p w14:paraId="32377B65" w14:textId="77777777" w:rsidR="007D028A" w:rsidRPr="00824FCD" w:rsidRDefault="007D028A" w:rsidP="007D028A">
            <w:pPr>
              <w:ind w:firstLine="0"/>
              <w:contextualSpacing/>
              <w:rPr>
                <w:color w:val="auto"/>
              </w:rPr>
            </w:pPr>
            <w:r w:rsidRPr="00824FCD">
              <w:rPr>
                <w:color w:val="auto"/>
              </w:rPr>
              <w:t>LACP (802.3ad);</w:t>
            </w:r>
          </w:p>
          <w:p w14:paraId="1C32BE97" w14:textId="77777777" w:rsidR="007D028A" w:rsidRPr="00824FCD" w:rsidRDefault="007D028A" w:rsidP="007D028A">
            <w:pPr>
              <w:ind w:firstLine="0"/>
              <w:contextualSpacing/>
              <w:rPr>
                <w:color w:val="auto"/>
              </w:rPr>
            </w:pPr>
            <w:r w:rsidRPr="00824FCD">
              <w:rPr>
                <w:color w:val="auto"/>
              </w:rPr>
              <w:t>VLAN (802.1q).</w:t>
            </w:r>
          </w:p>
          <w:p w14:paraId="61C6735B" w14:textId="77777777" w:rsidR="007D028A" w:rsidRPr="00824FCD" w:rsidRDefault="007D028A" w:rsidP="007D028A">
            <w:pPr>
              <w:ind w:firstLine="0"/>
              <w:contextualSpacing/>
              <w:rPr>
                <w:color w:val="auto"/>
              </w:rPr>
            </w:pPr>
            <w:r w:rsidRPr="00824FCD">
              <w:rPr>
                <w:color w:val="auto"/>
              </w:rPr>
              <w:t>Turi būti funkcionalumas leidžiantis saugumo politikoje nurodyti kontrolės tipą (</w:t>
            </w:r>
            <w:r w:rsidRPr="00824FCD">
              <w:rPr>
                <w:i/>
                <w:color w:val="auto"/>
              </w:rPr>
              <w:t xml:space="preserve">angl. </w:t>
            </w:r>
            <w:proofErr w:type="spellStart"/>
            <w:r w:rsidRPr="00824FCD">
              <w:rPr>
                <w:i/>
                <w:color w:val="auto"/>
              </w:rPr>
              <w:t>Explicit</w:t>
            </w:r>
            <w:proofErr w:type="spellEnd"/>
            <w:r w:rsidRPr="00824FCD">
              <w:rPr>
                <w:i/>
                <w:color w:val="auto"/>
              </w:rPr>
              <w:t xml:space="preserve"> </w:t>
            </w:r>
            <w:proofErr w:type="spellStart"/>
            <w:r w:rsidRPr="00824FCD">
              <w:rPr>
                <w:i/>
                <w:color w:val="auto"/>
              </w:rPr>
              <w:t>or</w:t>
            </w:r>
            <w:proofErr w:type="spellEnd"/>
            <w:r w:rsidRPr="00824FCD">
              <w:rPr>
                <w:i/>
                <w:color w:val="auto"/>
              </w:rPr>
              <w:t xml:space="preserve"> </w:t>
            </w:r>
            <w:proofErr w:type="spellStart"/>
            <w:r w:rsidRPr="00824FCD">
              <w:rPr>
                <w:i/>
                <w:color w:val="auto"/>
              </w:rPr>
              <w:t>Transparent</w:t>
            </w:r>
            <w:proofErr w:type="spellEnd"/>
            <w:r w:rsidRPr="00824FCD">
              <w:rPr>
                <w:color w:val="auto"/>
              </w:rPr>
              <w:t>).</w:t>
            </w:r>
          </w:p>
          <w:p w14:paraId="5104EFD5" w14:textId="1544555C" w:rsidR="007D028A" w:rsidRPr="00824FCD" w:rsidRDefault="007D028A" w:rsidP="007D028A">
            <w:pPr>
              <w:ind w:firstLine="0"/>
              <w:contextualSpacing/>
              <w:rPr>
                <w:color w:val="auto"/>
              </w:rPr>
            </w:pPr>
            <w:r w:rsidRPr="00824FCD">
              <w:rPr>
                <w:color w:val="auto"/>
              </w:rPr>
              <w:t>Turi būti funkcionalumas leidžiantis kurti šaltinio objektus pagal IP adresus, IP adresų grupes, DNS vardus, naudotojo vardą, naudotojo grupę.</w:t>
            </w:r>
          </w:p>
        </w:tc>
      </w:tr>
      <w:tr w:rsidR="007D028A" w:rsidRPr="00824FCD" w14:paraId="119DF608" w14:textId="77777777" w:rsidTr="00F41D86">
        <w:trPr>
          <w:trHeight w:val="231"/>
        </w:trPr>
        <w:tc>
          <w:tcPr>
            <w:tcW w:w="851" w:type="dxa"/>
            <w:shd w:val="clear" w:color="auto" w:fill="auto"/>
            <w:noWrap/>
          </w:tcPr>
          <w:p w14:paraId="4B0F5BD2" w14:textId="795FCBC5" w:rsidR="007D028A" w:rsidRPr="00824FCD" w:rsidRDefault="007D028A" w:rsidP="007D028A">
            <w:pPr>
              <w:ind w:firstLine="0"/>
              <w:rPr>
                <w:bCs/>
                <w:color w:val="auto"/>
              </w:rPr>
            </w:pPr>
            <w:r w:rsidRPr="00824FCD">
              <w:rPr>
                <w:bCs/>
                <w:color w:val="auto"/>
              </w:rPr>
              <w:lastRenderedPageBreak/>
              <w:t>2.17.</w:t>
            </w:r>
          </w:p>
        </w:tc>
        <w:tc>
          <w:tcPr>
            <w:tcW w:w="13466" w:type="dxa"/>
            <w:vAlign w:val="center"/>
          </w:tcPr>
          <w:p w14:paraId="541BA5FF" w14:textId="77777777" w:rsidR="007D028A" w:rsidRPr="00824FCD" w:rsidRDefault="007D028A" w:rsidP="007D028A">
            <w:pPr>
              <w:ind w:firstLine="0"/>
              <w:contextualSpacing/>
              <w:rPr>
                <w:color w:val="auto"/>
              </w:rPr>
            </w:pPr>
            <w:r w:rsidRPr="00824FCD">
              <w:rPr>
                <w:color w:val="auto"/>
              </w:rPr>
              <w:t>Saugaus interneto naršymo įrangos palaikomi papildomi funkcionalumai:</w:t>
            </w:r>
          </w:p>
          <w:p w14:paraId="43BC1B8D" w14:textId="77777777" w:rsidR="007D028A" w:rsidRPr="00824FCD" w:rsidRDefault="007D028A" w:rsidP="007D028A">
            <w:pPr>
              <w:ind w:firstLine="0"/>
              <w:contextualSpacing/>
              <w:rPr>
                <w:color w:val="auto"/>
              </w:rPr>
            </w:pPr>
            <w:r w:rsidRPr="00824FCD">
              <w:rPr>
                <w:color w:val="auto"/>
              </w:rPr>
              <w:t>įrenginys turi palaikyti papildomus funkcionalumus:</w:t>
            </w:r>
          </w:p>
          <w:p w14:paraId="56307FFC" w14:textId="77777777" w:rsidR="007D028A" w:rsidRPr="00824FCD" w:rsidRDefault="007D028A" w:rsidP="007D028A">
            <w:pPr>
              <w:ind w:firstLine="0"/>
              <w:contextualSpacing/>
              <w:rPr>
                <w:color w:val="auto"/>
              </w:rPr>
            </w:pPr>
            <w:r w:rsidRPr="00824FCD">
              <w:rPr>
                <w:color w:val="auto"/>
              </w:rPr>
              <w:t>antivirusinę (</w:t>
            </w:r>
            <w:r w:rsidRPr="00824FCD">
              <w:rPr>
                <w:i/>
                <w:color w:val="auto"/>
              </w:rPr>
              <w:t xml:space="preserve">angl. </w:t>
            </w:r>
            <w:proofErr w:type="spellStart"/>
            <w:r w:rsidRPr="00824FCD">
              <w:rPr>
                <w:i/>
                <w:color w:val="auto"/>
              </w:rPr>
              <w:t>Antivirus</w:t>
            </w:r>
            <w:proofErr w:type="spellEnd"/>
            <w:r w:rsidRPr="00824FCD">
              <w:rPr>
                <w:i/>
                <w:color w:val="auto"/>
              </w:rPr>
              <w:t>, AV</w:t>
            </w:r>
            <w:r w:rsidRPr="00824FCD">
              <w:rPr>
                <w:color w:val="auto"/>
              </w:rPr>
              <w:t>) Interneto srauto patikrą;</w:t>
            </w:r>
          </w:p>
          <w:p w14:paraId="2279C9FD" w14:textId="2DAA7EA2" w:rsidR="007D028A" w:rsidRPr="00824FCD" w:rsidRDefault="007D028A" w:rsidP="007D028A">
            <w:pPr>
              <w:ind w:firstLine="0"/>
              <w:contextualSpacing/>
              <w:rPr>
                <w:color w:val="auto"/>
              </w:rPr>
            </w:pPr>
            <w:r w:rsidRPr="00824FCD">
              <w:rPr>
                <w:color w:val="auto"/>
              </w:rPr>
              <w:t>turi būti funkcionalumas užtikrinantis galimybę išimti aktyvų kodą iš Office ir PDF tipo dokumentų;</w:t>
            </w:r>
          </w:p>
          <w:p w14:paraId="754B998B" w14:textId="77777777" w:rsidR="007D028A" w:rsidRPr="00824FCD" w:rsidRDefault="007D028A" w:rsidP="007D028A">
            <w:pPr>
              <w:ind w:firstLine="0"/>
              <w:contextualSpacing/>
              <w:rPr>
                <w:color w:val="auto"/>
              </w:rPr>
            </w:pPr>
            <w:r w:rsidRPr="00824FCD">
              <w:rPr>
                <w:color w:val="auto"/>
              </w:rPr>
              <w:t>įsibrovimo prevencijos sistemą (</w:t>
            </w:r>
            <w:r w:rsidRPr="00824FCD">
              <w:rPr>
                <w:i/>
                <w:color w:val="auto"/>
              </w:rPr>
              <w:t xml:space="preserve">angl. </w:t>
            </w:r>
            <w:proofErr w:type="spellStart"/>
            <w:r w:rsidRPr="00824FCD">
              <w:rPr>
                <w:i/>
                <w:color w:val="auto"/>
              </w:rPr>
              <w:t>Intrusion</w:t>
            </w:r>
            <w:proofErr w:type="spellEnd"/>
            <w:r w:rsidRPr="00824FCD">
              <w:rPr>
                <w:i/>
                <w:color w:val="auto"/>
              </w:rPr>
              <w:t xml:space="preserve"> </w:t>
            </w:r>
            <w:proofErr w:type="spellStart"/>
            <w:r w:rsidRPr="00824FCD">
              <w:rPr>
                <w:i/>
                <w:color w:val="auto"/>
              </w:rPr>
              <w:t>Prevention</w:t>
            </w:r>
            <w:proofErr w:type="spellEnd"/>
            <w:r w:rsidRPr="00824FCD">
              <w:rPr>
                <w:i/>
                <w:color w:val="auto"/>
              </w:rPr>
              <w:t xml:space="preserve"> System</w:t>
            </w:r>
            <w:r w:rsidRPr="00824FCD">
              <w:rPr>
                <w:color w:val="auto"/>
              </w:rPr>
              <w:t>);</w:t>
            </w:r>
          </w:p>
          <w:p w14:paraId="3B88FEA6" w14:textId="704E5DB5" w:rsidR="007D028A" w:rsidRPr="00824FCD" w:rsidRDefault="007D028A" w:rsidP="007D028A">
            <w:pPr>
              <w:ind w:firstLine="0"/>
              <w:contextualSpacing/>
              <w:rPr>
                <w:color w:val="auto"/>
              </w:rPr>
            </w:pPr>
            <w:r w:rsidRPr="00824FCD">
              <w:rPr>
                <w:color w:val="auto"/>
              </w:rPr>
              <w:t>apsaugos nuo duomenų praradimo sistemą (</w:t>
            </w:r>
            <w:r w:rsidRPr="00824FCD">
              <w:rPr>
                <w:i/>
                <w:color w:val="auto"/>
              </w:rPr>
              <w:t xml:space="preserve">angl. Data </w:t>
            </w:r>
            <w:proofErr w:type="spellStart"/>
            <w:r w:rsidRPr="00824FCD">
              <w:rPr>
                <w:i/>
                <w:color w:val="auto"/>
              </w:rPr>
              <w:t>Loss</w:t>
            </w:r>
            <w:proofErr w:type="spellEnd"/>
            <w:r w:rsidRPr="00824FCD">
              <w:rPr>
                <w:i/>
                <w:color w:val="auto"/>
              </w:rPr>
              <w:t xml:space="preserve"> </w:t>
            </w:r>
            <w:proofErr w:type="spellStart"/>
            <w:r w:rsidRPr="00824FCD">
              <w:rPr>
                <w:i/>
                <w:color w:val="auto"/>
              </w:rPr>
              <w:t>Prevention</w:t>
            </w:r>
            <w:proofErr w:type="spellEnd"/>
            <w:r w:rsidRPr="00824FCD">
              <w:rPr>
                <w:i/>
                <w:color w:val="auto"/>
              </w:rPr>
              <w:t>, DLP</w:t>
            </w:r>
            <w:r w:rsidRPr="00824FCD">
              <w:rPr>
                <w:color w:val="auto"/>
              </w:rPr>
              <w:t>).</w:t>
            </w:r>
          </w:p>
        </w:tc>
      </w:tr>
      <w:tr w:rsidR="007D028A" w:rsidRPr="00824FCD" w14:paraId="6860FDDF" w14:textId="77777777" w:rsidTr="00F41D86">
        <w:trPr>
          <w:trHeight w:val="231"/>
        </w:trPr>
        <w:tc>
          <w:tcPr>
            <w:tcW w:w="851" w:type="dxa"/>
            <w:shd w:val="clear" w:color="auto" w:fill="auto"/>
            <w:noWrap/>
          </w:tcPr>
          <w:p w14:paraId="0177FE3C" w14:textId="073A978A" w:rsidR="007D028A" w:rsidRPr="00824FCD" w:rsidRDefault="007D028A" w:rsidP="007D028A">
            <w:pPr>
              <w:ind w:firstLine="0"/>
              <w:rPr>
                <w:bCs/>
                <w:color w:val="auto"/>
              </w:rPr>
            </w:pPr>
            <w:r w:rsidRPr="00824FCD">
              <w:rPr>
                <w:bCs/>
                <w:color w:val="auto"/>
              </w:rPr>
              <w:t>2.18.</w:t>
            </w:r>
          </w:p>
        </w:tc>
        <w:tc>
          <w:tcPr>
            <w:tcW w:w="13466" w:type="dxa"/>
            <w:vAlign w:val="center"/>
          </w:tcPr>
          <w:p w14:paraId="6B459B3A" w14:textId="35444BF3" w:rsidR="007D028A" w:rsidRPr="00824FCD" w:rsidRDefault="007D028A" w:rsidP="007D028A">
            <w:pPr>
              <w:ind w:firstLine="0"/>
              <w:contextualSpacing/>
              <w:rPr>
                <w:color w:val="auto"/>
              </w:rPr>
            </w:pPr>
            <w:r w:rsidRPr="00824FCD">
              <w:rPr>
                <w:color w:val="auto"/>
              </w:rPr>
              <w:t>Turi turėti grafinio turinio analizės mechanizmą, kuris gali identifikuoti nekorektišką turinį (</w:t>
            </w:r>
            <w:proofErr w:type="spellStart"/>
            <w:r w:rsidRPr="00824FCD">
              <w:rPr>
                <w:color w:val="auto"/>
              </w:rPr>
              <w:t>pvz</w:t>
            </w:r>
            <w:proofErr w:type="spellEnd"/>
            <w:r w:rsidRPr="00824FCD">
              <w:rPr>
                <w:color w:val="auto"/>
              </w:rPr>
              <w:t>, pornografija, smurtą) sekančiuose failo tipuose: BMP, JPEG, PNG, TIFF. Identifikacijai naudojant dirbtinį intelektą realiu laiku.</w:t>
            </w:r>
          </w:p>
        </w:tc>
      </w:tr>
      <w:tr w:rsidR="007D028A" w:rsidRPr="00824FCD" w14:paraId="72F7B46F" w14:textId="77777777" w:rsidTr="00F41D86">
        <w:trPr>
          <w:trHeight w:val="231"/>
        </w:trPr>
        <w:tc>
          <w:tcPr>
            <w:tcW w:w="851" w:type="dxa"/>
            <w:shd w:val="clear" w:color="auto" w:fill="auto"/>
            <w:noWrap/>
          </w:tcPr>
          <w:p w14:paraId="6E84E094" w14:textId="1FC00E01" w:rsidR="007D028A" w:rsidRPr="00824FCD" w:rsidRDefault="007D028A" w:rsidP="007D028A">
            <w:pPr>
              <w:ind w:firstLine="0"/>
              <w:rPr>
                <w:bCs/>
                <w:color w:val="auto"/>
              </w:rPr>
            </w:pPr>
            <w:r w:rsidRPr="00824FCD">
              <w:rPr>
                <w:bCs/>
                <w:color w:val="auto"/>
              </w:rPr>
              <w:t>2.19.</w:t>
            </w:r>
          </w:p>
        </w:tc>
        <w:tc>
          <w:tcPr>
            <w:tcW w:w="13466" w:type="dxa"/>
            <w:vAlign w:val="center"/>
          </w:tcPr>
          <w:p w14:paraId="1187AD04" w14:textId="77777777" w:rsidR="007D028A" w:rsidRPr="00824FCD" w:rsidRDefault="007D028A" w:rsidP="007D028A">
            <w:pPr>
              <w:ind w:firstLine="0"/>
              <w:contextualSpacing/>
              <w:rPr>
                <w:color w:val="auto"/>
              </w:rPr>
            </w:pPr>
            <w:r w:rsidRPr="00824FCD">
              <w:rPr>
                <w:color w:val="auto"/>
              </w:rPr>
              <w:t>Saugaus interneto naršymo įrangos aukšto patikimumo funkcionalumas:</w:t>
            </w:r>
          </w:p>
          <w:p w14:paraId="1D052748" w14:textId="1EB1D82C" w:rsidR="007D028A" w:rsidRPr="00824FCD" w:rsidRDefault="007D028A" w:rsidP="007D028A">
            <w:pPr>
              <w:ind w:firstLine="0"/>
              <w:contextualSpacing/>
              <w:rPr>
                <w:color w:val="auto"/>
              </w:rPr>
            </w:pPr>
            <w:r w:rsidRPr="00824FCD">
              <w:rPr>
                <w:color w:val="auto"/>
              </w:rPr>
              <w:t>aukšto patikimumo (</w:t>
            </w:r>
            <w:r w:rsidRPr="00824FCD">
              <w:rPr>
                <w:i/>
                <w:color w:val="auto"/>
              </w:rPr>
              <w:t xml:space="preserve">angl. </w:t>
            </w:r>
            <w:proofErr w:type="spellStart"/>
            <w:r w:rsidRPr="00824FCD">
              <w:rPr>
                <w:i/>
                <w:color w:val="auto"/>
              </w:rPr>
              <w:t>High</w:t>
            </w:r>
            <w:proofErr w:type="spellEnd"/>
            <w:r w:rsidRPr="00824FCD">
              <w:rPr>
                <w:i/>
                <w:color w:val="auto"/>
              </w:rPr>
              <w:t xml:space="preserve"> </w:t>
            </w:r>
            <w:proofErr w:type="spellStart"/>
            <w:r w:rsidRPr="00824FCD">
              <w:rPr>
                <w:i/>
                <w:color w:val="auto"/>
              </w:rPr>
              <w:t>Availablity</w:t>
            </w:r>
            <w:proofErr w:type="spellEnd"/>
            <w:r w:rsidRPr="00824FCD">
              <w:rPr>
                <w:i/>
                <w:color w:val="auto"/>
              </w:rPr>
              <w:t>, HA</w:t>
            </w:r>
            <w:r w:rsidRPr="00824FCD">
              <w:rPr>
                <w:color w:val="auto"/>
              </w:rPr>
              <w:t>) funkcionalumas turi galimybę dirbti Aktyvus/Pasyvus (</w:t>
            </w:r>
            <w:r w:rsidRPr="00824FCD">
              <w:rPr>
                <w:i/>
                <w:color w:val="auto"/>
              </w:rPr>
              <w:t xml:space="preserve">angl. </w:t>
            </w:r>
            <w:proofErr w:type="spellStart"/>
            <w:r w:rsidRPr="00824FCD">
              <w:rPr>
                <w:i/>
                <w:color w:val="auto"/>
              </w:rPr>
              <w:t>Active</w:t>
            </w:r>
            <w:proofErr w:type="spellEnd"/>
            <w:r w:rsidRPr="00824FCD">
              <w:rPr>
                <w:i/>
                <w:color w:val="auto"/>
              </w:rPr>
              <w:t>/</w:t>
            </w:r>
            <w:proofErr w:type="spellStart"/>
            <w:r w:rsidRPr="00824FCD">
              <w:rPr>
                <w:i/>
                <w:color w:val="auto"/>
              </w:rPr>
              <w:t>Passive</w:t>
            </w:r>
            <w:proofErr w:type="spellEnd"/>
            <w:r w:rsidRPr="00824FCD">
              <w:rPr>
                <w:color w:val="auto"/>
              </w:rPr>
              <w:t>) ir Aktyvus/Aktyvus (</w:t>
            </w:r>
            <w:r w:rsidRPr="00824FCD">
              <w:rPr>
                <w:i/>
                <w:color w:val="auto"/>
              </w:rPr>
              <w:t xml:space="preserve">angl. </w:t>
            </w:r>
            <w:proofErr w:type="spellStart"/>
            <w:r w:rsidRPr="00824FCD">
              <w:rPr>
                <w:i/>
                <w:color w:val="auto"/>
              </w:rPr>
              <w:t>Active</w:t>
            </w:r>
            <w:proofErr w:type="spellEnd"/>
            <w:r w:rsidRPr="00824FCD">
              <w:rPr>
                <w:i/>
                <w:color w:val="auto"/>
              </w:rPr>
              <w:t>/</w:t>
            </w:r>
            <w:proofErr w:type="spellStart"/>
            <w:r w:rsidRPr="00824FCD">
              <w:rPr>
                <w:i/>
                <w:color w:val="auto"/>
              </w:rPr>
              <w:t>Active</w:t>
            </w:r>
            <w:proofErr w:type="spellEnd"/>
            <w:r w:rsidRPr="00824FCD">
              <w:rPr>
                <w:color w:val="auto"/>
              </w:rPr>
              <w:t>) režimais;</w:t>
            </w:r>
          </w:p>
          <w:p w14:paraId="2D500C61" w14:textId="69C0AACD" w:rsidR="007D028A" w:rsidRPr="00824FCD" w:rsidRDefault="007D028A" w:rsidP="007D028A">
            <w:pPr>
              <w:ind w:firstLine="0"/>
              <w:contextualSpacing/>
              <w:rPr>
                <w:color w:val="auto"/>
              </w:rPr>
            </w:pPr>
            <w:r w:rsidRPr="00824FCD">
              <w:rPr>
                <w:color w:val="auto"/>
              </w:rPr>
              <w:t>sutrikus aktyvaus įrenginio veikimui aukšto patikimumo sistema automatiškai persijungia į dubliuojantį įrenginį.</w:t>
            </w:r>
          </w:p>
        </w:tc>
      </w:tr>
      <w:tr w:rsidR="007D028A" w:rsidRPr="00824FCD" w14:paraId="53F0B04A" w14:textId="77777777" w:rsidTr="00F41D86">
        <w:trPr>
          <w:trHeight w:val="231"/>
        </w:trPr>
        <w:tc>
          <w:tcPr>
            <w:tcW w:w="851" w:type="dxa"/>
            <w:shd w:val="clear" w:color="auto" w:fill="auto"/>
            <w:noWrap/>
          </w:tcPr>
          <w:p w14:paraId="1A86E731" w14:textId="6C651421" w:rsidR="007D028A" w:rsidRPr="00824FCD" w:rsidRDefault="007D028A" w:rsidP="007D028A">
            <w:pPr>
              <w:ind w:firstLine="0"/>
              <w:rPr>
                <w:bCs/>
                <w:color w:val="auto"/>
              </w:rPr>
            </w:pPr>
            <w:r w:rsidRPr="00824FCD">
              <w:rPr>
                <w:bCs/>
                <w:color w:val="auto"/>
              </w:rPr>
              <w:t>2.20.</w:t>
            </w:r>
          </w:p>
        </w:tc>
        <w:tc>
          <w:tcPr>
            <w:tcW w:w="13466" w:type="dxa"/>
            <w:vAlign w:val="center"/>
          </w:tcPr>
          <w:p w14:paraId="62948161" w14:textId="77777777" w:rsidR="007D028A" w:rsidRPr="00824FCD" w:rsidRDefault="007D028A" w:rsidP="007D028A">
            <w:pPr>
              <w:ind w:firstLine="0"/>
              <w:contextualSpacing/>
              <w:rPr>
                <w:color w:val="auto"/>
              </w:rPr>
            </w:pPr>
            <w:r w:rsidRPr="00824FCD">
              <w:rPr>
                <w:color w:val="auto"/>
              </w:rPr>
              <w:t>Valdymas ir įvykių žurnalai:</w:t>
            </w:r>
          </w:p>
          <w:p w14:paraId="763451E8" w14:textId="77777777" w:rsidR="007D028A" w:rsidRPr="00824FCD" w:rsidRDefault="007D028A" w:rsidP="007D028A">
            <w:pPr>
              <w:ind w:firstLine="0"/>
              <w:contextualSpacing/>
              <w:rPr>
                <w:color w:val="auto"/>
              </w:rPr>
            </w:pPr>
            <w:r w:rsidRPr="00824FCD">
              <w:rPr>
                <w:color w:val="auto"/>
              </w:rPr>
              <w:t>turi būti galimybė įrenginį valdyti SSH, HTTPS ir SNMPv3 protokolais, per konsolės prievado komandų eilutę (</w:t>
            </w:r>
            <w:r w:rsidRPr="007D028A">
              <w:rPr>
                <w:i/>
                <w:color w:val="auto"/>
              </w:rPr>
              <w:t xml:space="preserve">angl. </w:t>
            </w:r>
            <w:proofErr w:type="spellStart"/>
            <w:r w:rsidRPr="007D028A">
              <w:rPr>
                <w:i/>
                <w:color w:val="auto"/>
              </w:rPr>
              <w:t>Command</w:t>
            </w:r>
            <w:proofErr w:type="spellEnd"/>
            <w:r w:rsidRPr="007D028A">
              <w:rPr>
                <w:i/>
                <w:color w:val="auto"/>
              </w:rPr>
              <w:t xml:space="preserve"> Line </w:t>
            </w:r>
            <w:proofErr w:type="spellStart"/>
            <w:r w:rsidRPr="007D028A">
              <w:rPr>
                <w:i/>
                <w:color w:val="auto"/>
              </w:rPr>
              <w:t>Interface</w:t>
            </w:r>
            <w:proofErr w:type="spellEnd"/>
            <w:r w:rsidRPr="007D028A">
              <w:rPr>
                <w:i/>
                <w:color w:val="auto"/>
              </w:rPr>
              <w:t xml:space="preserve"> - CLI</w:t>
            </w:r>
            <w:r w:rsidRPr="00824FCD">
              <w:rPr>
                <w:color w:val="auto"/>
              </w:rPr>
              <w:t>);</w:t>
            </w:r>
          </w:p>
          <w:p w14:paraId="50373228" w14:textId="77777777" w:rsidR="007D028A" w:rsidRPr="00824FCD" w:rsidRDefault="007D028A" w:rsidP="007D028A">
            <w:pPr>
              <w:ind w:firstLine="0"/>
              <w:contextualSpacing/>
              <w:rPr>
                <w:color w:val="auto"/>
              </w:rPr>
            </w:pPr>
            <w:r w:rsidRPr="00824FCD">
              <w:rPr>
                <w:color w:val="auto"/>
              </w:rPr>
              <w:t>prieigos teisės turi būti kontroliuojamos rolių pagalba;</w:t>
            </w:r>
          </w:p>
          <w:p w14:paraId="708C128D" w14:textId="77777777" w:rsidR="007D028A" w:rsidRPr="00824FCD" w:rsidRDefault="007D028A" w:rsidP="007D028A">
            <w:pPr>
              <w:ind w:firstLine="0"/>
              <w:contextualSpacing/>
              <w:rPr>
                <w:color w:val="auto"/>
              </w:rPr>
            </w:pPr>
            <w:r w:rsidRPr="00824FCD">
              <w:rPr>
                <w:color w:val="auto"/>
              </w:rPr>
              <w:t>įvykių žurnalai turi būti kaupiami įrenginyje ir turi būti galimybė siųsti žurnalinius įvykius į žurnalinių įvykių surinkimo serverius SYSLOG protokolu;</w:t>
            </w:r>
          </w:p>
          <w:p w14:paraId="48B0AC40" w14:textId="77777777" w:rsidR="007D028A" w:rsidRPr="00824FCD" w:rsidRDefault="007D028A" w:rsidP="007D028A">
            <w:pPr>
              <w:ind w:firstLine="0"/>
              <w:contextualSpacing/>
              <w:rPr>
                <w:color w:val="auto"/>
              </w:rPr>
            </w:pPr>
            <w:r w:rsidRPr="00824FCD">
              <w:rPr>
                <w:color w:val="auto"/>
              </w:rPr>
              <w:t>peržiūrint įvykių žurnalus, turi būti galimybė filtruoti įvykius;</w:t>
            </w:r>
          </w:p>
          <w:p w14:paraId="3CCCE4FF" w14:textId="77777777" w:rsidR="007D028A" w:rsidRPr="00824FCD" w:rsidRDefault="007D028A" w:rsidP="007D028A">
            <w:pPr>
              <w:ind w:firstLine="0"/>
              <w:contextualSpacing/>
              <w:rPr>
                <w:color w:val="auto"/>
              </w:rPr>
            </w:pPr>
            <w:r w:rsidRPr="00824FCD">
              <w:rPr>
                <w:color w:val="auto"/>
              </w:rPr>
              <w:t>įvykių žurnaluose turi būti fiksuojami administratorių atliekami veiksmai;</w:t>
            </w:r>
          </w:p>
          <w:p w14:paraId="1B79EAFF" w14:textId="77777777" w:rsidR="007D028A" w:rsidRPr="00824FCD" w:rsidRDefault="007D028A" w:rsidP="007D028A">
            <w:pPr>
              <w:ind w:firstLine="0"/>
              <w:contextualSpacing/>
              <w:rPr>
                <w:color w:val="auto"/>
              </w:rPr>
            </w:pPr>
            <w:r w:rsidRPr="00824FCD">
              <w:rPr>
                <w:color w:val="auto"/>
              </w:rPr>
              <w:t>įrenginys turi fiksuoti prie kokių Interneto svetainių jungiamasi, turi būti fiksuojami tiek sėkmingi, tiek nesėkmingi sujungimai;</w:t>
            </w:r>
          </w:p>
          <w:p w14:paraId="2F3902BE" w14:textId="77777777" w:rsidR="007D028A" w:rsidRPr="00824FCD" w:rsidRDefault="007D028A" w:rsidP="007D028A">
            <w:pPr>
              <w:ind w:firstLine="0"/>
              <w:contextualSpacing/>
              <w:rPr>
                <w:color w:val="auto"/>
              </w:rPr>
            </w:pPr>
            <w:r w:rsidRPr="00824FCD">
              <w:rPr>
                <w:color w:val="auto"/>
              </w:rPr>
              <w:t>įrenginys privalo turėti taisyklių testavimo įrankį.</w:t>
            </w:r>
          </w:p>
          <w:p w14:paraId="01769025" w14:textId="5242CA97" w:rsidR="007D028A" w:rsidRPr="00824FCD" w:rsidRDefault="007D028A" w:rsidP="007D028A">
            <w:pPr>
              <w:ind w:firstLine="0"/>
              <w:contextualSpacing/>
              <w:rPr>
                <w:color w:val="auto"/>
              </w:rPr>
            </w:pPr>
            <w:r w:rsidRPr="00824FCD">
              <w:rPr>
                <w:color w:val="auto"/>
              </w:rPr>
              <w:t xml:space="preserve">Sistema turi turėti Grafinę Administracinę naudotojo sąsają pasiekiamą HTTPS protokolu. </w:t>
            </w:r>
          </w:p>
          <w:p w14:paraId="3C84796A" w14:textId="77777777" w:rsidR="007D028A" w:rsidRPr="00824FCD" w:rsidRDefault="007D028A" w:rsidP="007D028A">
            <w:pPr>
              <w:ind w:firstLine="0"/>
              <w:contextualSpacing/>
              <w:rPr>
                <w:color w:val="auto"/>
              </w:rPr>
            </w:pPr>
            <w:r w:rsidRPr="00824FCD">
              <w:rPr>
                <w:color w:val="auto"/>
              </w:rPr>
              <w:t>Sistemos Grafinė administracinė sąsaja turi būti lokali, pateikiama pačios sistemos, nebūti valdoma atskirai diegiamais valdymo skydeliais, naršyklės įskiepiais ar Debesijos paslaugų pagalba.</w:t>
            </w:r>
          </w:p>
          <w:p w14:paraId="34B66295" w14:textId="4132BB28" w:rsidR="007D028A" w:rsidRPr="00824FCD" w:rsidRDefault="007D028A" w:rsidP="007D028A">
            <w:pPr>
              <w:ind w:firstLine="0"/>
              <w:contextualSpacing/>
              <w:rPr>
                <w:color w:val="auto"/>
              </w:rPr>
            </w:pPr>
            <w:r w:rsidRPr="00824FCD">
              <w:rPr>
                <w:color w:val="auto"/>
              </w:rPr>
              <w:t>Neturi būti naudojamos pažeidžiamos programinės kalbos FLASH, JAVA.</w:t>
            </w:r>
          </w:p>
        </w:tc>
      </w:tr>
      <w:tr w:rsidR="007D028A" w:rsidRPr="00824FCD" w14:paraId="605453A5" w14:textId="77777777" w:rsidTr="00F41D86">
        <w:trPr>
          <w:trHeight w:val="231"/>
        </w:trPr>
        <w:tc>
          <w:tcPr>
            <w:tcW w:w="851" w:type="dxa"/>
            <w:shd w:val="clear" w:color="auto" w:fill="auto"/>
            <w:noWrap/>
          </w:tcPr>
          <w:p w14:paraId="5AF5A46F" w14:textId="770A7558" w:rsidR="007D028A" w:rsidRPr="00824FCD" w:rsidRDefault="007D028A" w:rsidP="007D028A">
            <w:pPr>
              <w:ind w:firstLine="0"/>
              <w:rPr>
                <w:bCs/>
                <w:color w:val="auto"/>
              </w:rPr>
            </w:pPr>
            <w:r w:rsidRPr="00824FCD">
              <w:rPr>
                <w:bCs/>
                <w:color w:val="auto"/>
              </w:rPr>
              <w:t>2.21.</w:t>
            </w:r>
          </w:p>
        </w:tc>
        <w:tc>
          <w:tcPr>
            <w:tcW w:w="13466" w:type="dxa"/>
            <w:vAlign w:val="center"/>
          </w:tcPr>
          <w:p w14:paraId="758A93C8" w14:textId="21D17480" w:rsidR="007D028A" w:rsidRPr="00824FCD" w:rsidRDefault="007D028A" w:rsidP="007D028A">
            <w:pPr>
              <w:ind w:firstLine="0"/>
              <w:contextualSpacing/>
              <w:rPr>
                <w:rFonts w:eastAsia="Calibri"/>
                <w:color w:val="auto"/>
                <w:lang w:eastAsia="en-US"/>
              </w:rPr>
            </w:pPr>
            <w:r w:rsidRPr="00824FCD">
              <w:rPr>
                <w:color w:val="auto"/>
              </w:rPr>
              <w:t xml:space="preserve">Privalo būti galimybė siūlomą įrangą valdyti iš perkančiosios organizacijos turimo </w:t>
            </w:r>
            <w:proofErr w:type="spellStart"/>
            <w:r w:rsidRPr="00824FCD">
              <w:rPr>
                <w:color w:val="auto"/>
              </w:rPr>
              <w:t>FortiManager</w:t>
            </w:r>
            <w:proofErr w:type="spellEnd"/>
            <w:r w:rsidRPr="00824FCD">
              <w:rPr>
                <w:color w:val="auto"/>
              </w:rPr>
              <w:t xml:space="preserve"> centralizuoto valdymo sprendimo arba tiekėjas privalo nemokamai pateikti tinklo įrenginių valdymo įrangą, kuri valdys pagal šią pirkimo dalį įsigyjamą įrangą ir pirkėjo turimą tinklo įrangą: FG6x, FG1XX, FG2XX, FG3XX, FG5XX FG18XX;. </w:t>
            </w:r>
          </w:p>
        </w:tc>
      </w:tr>
      <w:tr w:rsidR="007D028A" w:rsidRPr="00824FCD" w14:paraId="365271F6" w14:textId="77777777" w:rsidTr="00F41D86">
        <w:trPr>
          <w:trHeight w:val="231"/>
        </w:trPr>
        <w:tc>
          <w:tcPr>
            <w:tcW w:w="851" w:type="dxa"/>
            <w:shd w:val="clear" w:color="auto" w:fill="auto"/>
            <w:noWrap/>
          </w:tcPr>
          <w:p w14:paraId="23F26A2C" w14:textId="4DB804EC" w:rsidR="007D028A" w:rsidRPr="00824FCD" w:rsidRDefault="007D028A" w:rsidP="007D028A">
            <w:pPr>
              <w:ind w:firstLine="0"/>
              <w:rPr>
                <w:bCs/>
                <w:color w:val="auto"/>
              </w:rPr>
            </w:pPr>
            <w:r w:rsidRPr="00824FCD">
              <w:rPr>
                <w:bCs/>
                <w:color w:val="auto"/>
              </w:rPr>
              <w:lastRenderedPageBreak/>
              <w:t>2.22.</w:t>
            </w:r>
          </w:p>
        </w:tc>
        <w:tc>
          <w:tcPr>
            <w:tcW w:w="13466" w:type="dxa"/>
            <w:vAlign w:val="center"/>
          </w:tcPr>
          <w:p w14:paraId="1A046990" w14:textId="389E9727" w:rsidR="007D028A" w:rsidRPr="00824FCD" w:rsidRDefault="007D028A" w:rsidP="007D028A">
            <w:pPr>
              <w:ind w:firstLine="0"/>
              <w:contextualSpacing/>
              <w:rPr>
                <w:rFonts w:eastAsia="Calibri"/>
                <w:color w:val="auto"/>
                <w:lang w:eastAsia="en-US"/>
              </w:rPr>
            </w:pPr>
            <w:r w:rsidRPr="00824FCD">
              <w:rPr>
                <w:color w:val="auto"/>
              </w:rPr>
              <w:t xml:space="preserve">Siūlom įranga privalo leisti kaupti įvykių žurnalus perkančiosios organizacijos turimu </w:t>
            </w:r>
            <w:proofErr w:type="spellStart"/>
            <w:r w:rsidRPr="00824FCD">
              <w:rPr>
                <w:color w:val="auto"/>
              </w:rPr>
              <w:t>FortiAnalizer</w:t>
            </w:r>
            <w:proofErr w:type="spellEnd"/>
            <w:r w:rsidRPr="00824FCD">
              <w:rPr>
                <w:color w:val="auto"/>
              </w:rPr>
              <w:t xml:space="preserve"> centralizuoto įvykių žurnalų kaupimo sprendime arba tiekėjas privalo nemokamai pateikti tinklo įrenginių įvykių žurnalų kaupimo programinę įrangą, kuri kaups įvykus pagal šią pirkimo dalį įsigyjamą įrangą ir pirkėjo turimą tinklo įrangą: FG6x, FG1XX, FG2XX, FG3XX, FG5XX FG18XX;.</w:t>
            </w:r>
          </w:p>
        </w:tc>
      </w:tr>
      <w:tr w:rsidR="007D028A" w:rsidRPr="00824FCD" w14:paraId="57D2E688" w14:textId="77777777" w:rsidTr="00F41D86">
        <w:trPr>
          <w:trHeight w:val="231"/>
        </w:trPr>
        <w:tc>
          <w:tcPr>
            <w:tcW w:w="851" w:type="dxa"/>
            <w:shd w:val="clear" w:color="auto" w:fill="auto"/>
            <w:noWrap/>
          </w:tcPr>
          <w:p w14:paraId="637909B2" w14:textId="16E01FED" w:rsidR="007D028A" w:rsidRPr="00824FCD" w:rsidRDefault="007D028A" w:rsidP="007D028A">
            <w:pPr>
              <w:ind w:firstLine="0"/>
              <w:rPr>
                <w:bCs/>
                <w:color w:val="auto"/>
              </w:rPr>
            </w:pPr>
            <w:r w:rsidRPr="00824FCD">
              <w:rPr>
                <w:bCs/>
                <w:color w:val="auto"/>
              </w:rPr>
              <w:t>2.23.</w:t>
            </w:r>
          </w:p>
        </w:tc>
        <w:tc>
          <w:tcPr>
            <w:tcW w:w="13466" w:type="dxa"/>
            <w:vAlign w:val="center"/>
          </w:tcPr>
          <w:p w14:paraId="11112E3E" w14:textId="77777777" w:rsidR="007D028A" w:rsidRPr="00824FCD" w:rsidRDefault="007D028A" w:rsidP="007D028A">
            <w:pPr>
              <w:ind w:firstLine="0"/>
              <w:contextualSpacing/>
              <w:rPr>
                <w:color w:val="auto"/>
              </w:rPr>
            </w:pPr>
            <w:r w:rsidRPr="00824FCD">
              <w:rPr>
                <w:color w:val="auto"/>
              </w:rPr>
              <w:t>Licencijos:</w:t>
            </w:r>
          </w:p>
          <w:p w14:paraId="5B27C382" w14:textId="670EABF5" w:rsidR="007D028A" w:rsidRPr="00824FCD" w:rsidRDefault="007D028A" w:rsidP="007D028A">
            <w:pPr>
              <w:ind w:firstLine="0"/>
              <w:contextualSpacing/>
              <w:rPr>
                <w:color w:val="auto"/>
              </w:rPr>
            </w:pPr>
            <w:r w:rsidRPr="00824FCD">
              <w:rPr>
                <w:color w:val="auto"/>
              </w:rPr>
              <w:t>į siūlomo įrenginio kainą turi būti įtrauktos visos licencijos, reikalingos naudoti saugaus Interneto naršymo (</w:t>
            </w:r>
            <w:r w:rsidRPr="00824FCD">
              <w:rPr>
                <w:i/>
                <w:color w:val="auto"/>
              </w:rPr>
              <w:t xml:space="preserve">angl. </w:t>
            </w:r>
            <w:proofErr w:type="spellStart"/>
            <w:r w:rsidRPr="00824FCD">
              <w:rPr>
                <w:i/>
                <w:color w:val="auto"/>
              </w:rPr>
              <w:t>proxy</w:t>
            </w:r>
            <w:proofErr w:type="spellEnd"/>
            <w:r w:rsidRPr="00824FCD">
              <w:rPr>
                <w:color w:val="auto"/>
              </w:rPr>
              <w:t xml:space="preserve">) funkcijas (WEB </w:t>
            </w:r>
            <w:proofErr w:type="spellStart"/>
            <w:r w:rsidRPr="00824FCD">
              <w:rPr>
                <w:color w:val="auto"/>
              </w:rPr>
              <w:t>Filtering</w:t>
            </w:r>
            <w:proofErr w:type="spellEnd"/>
            <w:r w:rsidRPr="00824FCD">
              <w:rPr>
                <w:color w:val="auto"/>
              </w:rPr>
              <w:t xml:space="preserve">, DNS </w:t>
            </w:r>
            <w:proofErr w:type="spellStart"/>
            <w:r w:rsidRPr="00824FCD">
              <w:rPr>
                <w:color w:val="auto"/>
              </w:rPr>
              <w:t>Filtering</w:t>
            </w:r>
            <w:proofErr w:type="spellEnd"/>
            <w:r w:rsidRPr="00824FCD">
              <w:rPr>
                <w:color w:val="auto"/>
              </w:rPr>
              <w:t xml:space="preserve">, GAC, DLP, AV, </w:t>
            </w:r>
            <w:proofErr w:type="spellStart"/>
            <w:r w:rsidRPr="00824FCD">
              <w:rPr>
                <w:color w:val="auto"/>
              </w:rPr>
              <w:t>Botnet</w:t>
            </w:r>
            <w:proofErr w:type="spellEnd"/>
            <w:r w:rsidRPr="00824FCD">
              <w:rPr>
                <w:color w:val="auto"/>
              </w:rPr>
              <w:t xml:space="preserve">, HA) nemažiau kaip 2000 interneto naudotojų 60 mėn.; </w:t>
            </w:r>
          </w:p>
          <w:p w14:paraId="1F843AE7" w14:textId="3BF5B31C" w:rsidR="007D028A" w:rsidRPr="00824FCD" w:rsidRDefault="007D028A" w:rsidP="007D028A">
            <w:pPr>
              <w:ind w:firstLine="0"/>
              <w:contextualSpacing/>
              <w:rPr>
                <w:color w:val="auto"/>
              </w:rPr>
            </w:pPr>
            <w:r w:rsidRPr="00824FCD">
              <w:rPr>
                <w:color w:val="auto"/>
              </w:rPr>
              <w:t>programinė įranga turi galėti automatiškai ir reguliariai atsisiųsti pažeidžiamumų, virusų, kenkėjiškų kodų aprašus ir programinės įrangos naujinimus iš gamintojo puslapio;</w:t>
            </w:r>
          </w:p>
          <w:p w14:paraId="52EFE28C" w14:textId="2ED4803E" w:rsidR="007D028A" w:rsidRPr="00824FCD" w:rsidRDefault="007D028A" w:rsidP="007D028A">
            <w:pPr>
              <w:ind w:firstLine="0"/>
              <w:rPr>
                <w:rFonts w:eastAsia="Calibri"/>
                <w:color w:val="auto"/>
              </w:rPr>
            </w:pPr>
            <w:r w:rsidRPr="00824FCD">
              <w:rPr>
                <w:color w:val="auto"/>
              </w:rPr>
              <w:t>turi būti įskaičiuota 60 mėn. standartinė palaikymo licencija, apimanti programinės įrangos naujinimus ir teisę konsultuotis su gamintojo atstovais 24/7 formatu.</w:t>
            </w:r>
          </w:p>
        </w:tc>
      </w:tr>
      <w:tr w:rsidR="007D028A" w:rsidRPr="00824FCD" w14:paraId="4EB72F85" w14:textId="77777777" w:rsidTr="00F41D86">
        <w:trPr>
          <w:trHeight w:val="231"/>
        </w:trPr>
        <w:tc>
          <w:tcPr>
            <w:tcW w:w="851" w:type="dxa"/>
            <w:shd w:val="clear" w:color="auto" w:fill="auto"/>
            <w:noWrap/>
          </w:tcPr>
          <w:p w14:paraId="37256786" w14:textId="7EE0A243" w:rsidR="007D028A" w:rsidRPr="00824FCD" w:rsidRDefault="007D028A" w:rsidP="007D028A">
            <w:pPr>
              <w:ind w:firstLine="0"/>
              <w:rPr>
                <w:bCs/>
                <w:color w:val="auto"/>
              </w:rPr>
            </w:pPr>
            <w:r w:rsidRPr="00824FCD">
              <w:rPr>
                <w:bCs/>
                <w:color w:val="auto"/>
              </w:rPr>
              <w:t>2.24.</w:t>
            </w:r>
          </w:p>
        </w:tc>
        <w:tc>
          <w:tcPr>
            <w:tcW w:w="13466" w:type="dxa"/>
            <w:vAlign w:val="center"/>
          </w:tcPr>
          <w:p w14:paraId="1C808D3B" w14:textId="2BDE75CB" w:rsidR="007D028A" w:rsidRPr="00824FCD" w:rsidRDefault="007D028A" w:rsidP="007D028A">
            <w:pPr>
              <w:ind w:firstLine="0"/>
              <w:rPr>
                <w:color w:val="auto"/>
              </w:rPr>
            </w:pPr>
            <w:r w:rsidRPr="00824FCD">
              <w:rPr>
                <w:color w:val="auto"/>
              </w:rPr>
              <w:t>Visiems pateiktiems techniniams ir programiniams komponentams turi būti suteikta ne mažiau kaip 60 mėnesių gamintojo garantija. Garantinė techninė priežiūra suteikiama įrenginio įrengimo vietoje Lietuvos teritorijoje. Garantinis aptarnavimas teikiamas 7 dienas per savaitę, 24 valandas per parą (paslaugos tipas 24x7). Reakcijos laikas ne ilgiau kaip 4 valandos nuo pranešimo apie gedimą gavimo.</w:t>
            </w:r>
          </w:p>
          <w:p w14:paraId="0AB6D8BE" w14:textId="77777777" w:rsidR="007D028A" w:rsidRPr="00824FCD" w:rsidRDefault="007D028A" w:rsidP="007D028A">
            <w:pPr>
              <w:ind w:firstLine="0"/>
              <w:rPr>
                <w:color w:val="auto"/>
              </w:rPr>
            </w:pPr>
            <w:r w:rsidRPr="00824FCD">
              <w:rPr>
                <w:color w:val="auto"/>
              </w:rPr>
              <w:t>Gamintojo garantuojamas nemokamas dalių tiekimas ir nemokami remonto darbai.</w:t>
            </w:r>
          </w:p>
          <w:p w14:paraId="23A5AF5E" w14:textId="049C24E6" w:rsidR="007D028A" w:rsidRPr="00824FCD" w:rsidRDefault="007D028A" w:rsidP="007D028A">
            <w:pPr>
              <w:ind w:firstLine="0"/>
              <w:rPr>
                <w:color w:val="auto"/>
              </w:rPr>
            </w:pPr>
            <w:r w:rsidRPr="00824FCD">
              <w:rPr>
                <w:color w:val="auto"/>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824FCD">
              <w:rPr>
                <w:color w:val="auto"/>
              </w:rPr>
              <w:t>firmware</w:t>
            </w:r>
            <w:proofErr w:type="spellEnd"/>
            <w:r w:rsidRPr="00824FCD">
              <w:rPr>
                <w:color w:val="auto"/>
              </w:rPr>
              <w:t>),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w:t>
            </w:r>
            <w:r w:rsidRPr="007D028A">
              <w:rPr>
                <w:i/>
                <w:color w:val="auto"/>
              </w:rPr>
              <w:t xml:space="preserve">NBD – </w:t>
            </w:r>
            <w:proofErr w:type="spellStart"/>
            <w:r w:rsidRPr="007D028A">
              <w:rPr>
                <w:i/>
                <w:color w:val="auto"/>
              </w:rPr>
              <w:t>Next</w:t>
            </w:r>
            <w:proofErr w:type="spellEnd"/>
            <w:r w:rsidRPr="007D028A">
              <w:rPr>
                <w:i/>
                <w:color w:val="auto"/>
              </w:rPr>
              <w:t xml:space="preserve"> </w:t>
            </w:r>
            <w:proofErr w:type="spellStart"/>
            <w:r w:rsidRPr="007D028A">
              <w:rPr>
                <w:i/>
                <w:color w:val="auto"/>
              </w:rPr>
              <w:t>Business</w:t>
            </w:r>
            <w:proofErr w:type="spellEnd"/>
            <w:r w:rsidRPr="007D028A">
              <w:rPr>
                <w:i/>
                <w:color w:val="auto"/>
              </w:rPr>
              <w:t xml:space="preserve"> </w:t>
            </w:r>
            <w:proofErr w:type="spellStart"/>
            <w:r w:rsidRPr="007D028A">
              <w:rPr>
                <w:i/>
                <w:color w:val="auto"/>
              </w:rPr>
              <w:t>Day</w:t>
            </w:r>
            <w:proofErr w:type="spellEnd"/>
            <w:r w:rsidRPr="00824FCD">
              <w:rPr>
                <w:color w:val="auto"/>
              </w:rPr>
              <w:t>)  po gedimo identifikavimo. Garantinio remonto trukmė privalo trukti ne ilgiau kaip 14 kalendorinių dienų. Jei sugedusios įrangos per šį laikotarpį pataisyti neįmanoma – ji pakeičiama ekvivalentiška nauja.</w:t>
            </w:r>
          </w:p>
          <w:p w14:paraId="2645616C" w14:textId="3ABB45F2" w:rsidR="007D028A" w:rsidRPr="00824FCD" w:rsidRDefault="007D028A" w:rsidP="007D028A">
            <w:pPr>
              <w:ind w:firstLine="0"/>
              <w:rPr>
                <w:rFonts w:eastAsia="Calibri"/>
                <w:color w:val="auto"/>
                <w:lang w:eastAsia="en-US"/>
              </w:rPr>
            </w:pPr>
            <w:r w:rsidRPr="00824FCD">
              <w:rPr>
                <w:color w:val="auto"/>
              </w:rPr>
              <w:t>Garantinis laikotarpis skaičiuojamas nuo priėmimo-perdavimo akto pasirašymo.</w:t>
            </w:r>
            <w:r w:rsidRPr="00824FCD" w:rsidDel="00061BD8">
              <w:rPr>
                <w:color w:val="auto"/>
              </w:rPr>
              <w:t xml:space="preserve"> </w:t>
            </w:r>
            <w:r w:rsidRPr="00824FCD">
              <w:rPr>
                <w:color w:val="auto"/>
              </w:rPr>
              <w:t>Turi būti pateik</w:t>
            </w:r>
            <w:r>
              <w:rPr>
                <w:color w:val="auto"/>
              </w:rPr>
              <w:t>tos licencijos, leidžiančiomis 5</w:t>
            </w:r>
            <w:r w:rsidRPr="00824FCD">
              <w:rPr>
                <w:color w:val="auto"/>
              </w:rPr>
              <w:t xml:space="preserve"> metus gauti aplikacijų, virusų, piktybinių programų, pažeidžiamumų, įsilaužimų aprašų, URL filtravimo duomenų bazės atnaujinimus.</w:t>
            </w:r>
          </w:p>
        </w:tc>
      </w:tr>
    </w:tbl>
    <w:p w14:paraId="64A6DF80" w14:textId="793A0051" w:rsidR="00FE69BB" w:rsidRPr="00824FCD" w:rsidRDefault="00FE69BB" w:rsidP="00FE69BB">
      <w:pPr>
        <w:ind w:firstLine="720"/>
        <w:rPr>
          <w:color w:val="auto"/>
        </w:rPr>
      </w:pPr>
    </w:p>
    <w:p w14:paraId="3F0015A8" w14:textId="77777777" w:rsidR="00FE69BB" w:rsidRPr="00824FCD" w:rsidRDefault="00FE69BB" w:rsidP="00503F62">
      <w:pPr>
        <w:spacing w:after="0" w:line="240" w:lineRule="auto"/>
        <w:jc w:val="center"/>
        <w:rPr>
          <w:rFonts w:eastAsia="Tahoma"/>
          <w:b/>
          <w:i/>
          <w:caps/>
          <w:color w:val="auto"/>
        </w:rPr>
      </w:pPr>
    </w:p>
    <w:sectPr w:rsidR="00FE69BB" w:rsidRPr="00824FCD" w:rsidSect="00FE69BB">
      <w:headerReference w:type="even" r:id="rId11"/>
      <w:headerReference w:type="default" r:id="rId12"/>
      <w:footerReference w:type="even" r:id="rId13"/>
      <w:footerReference w:type="default" r:id="rId14"/>
      <w:headerReference w:type="first" r:id="rId15"/>
      <w:footerReference w:type="first" r:id="rId16"/>
      <w:pgSz w:w="16840" w:h="11900" w:orient="landscape"/>
      <w:pgMar w:top="1200" w:right="1449" w:bottom="1200" w:left="993" w:header="1140" w:footer="766"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AD0D" w14:textId="77777777" w:rsidR="00AC77F3" w:rsidRDefault="00AC77F3">
      <w:pPr>
        <w:spacing w:after="0" w:line="240" w:lineRule="auto"/>
      </w:pPr>
      <w:r>
        <w:separator/>
      </w:r>
    </w:p>
  </w:endnote>
  <w:endnote w:type="continuationSeparator" w:id="0">
    <w:p w14:paraId="67681AB2" w14:textId="77777777" w:rsidR="00AC77F3" w:rsidRDefault="00AC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E5" w14:textId="1318A37C" w:rsidR="009543BC" w:rsidRDefault="009543B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Pr="008E4045">
        <w:rPr>
          <w:noProof/>
          <w:color w:val="5F5F5F"/>
          <w:sz w:val="18"/>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C86" w14:textId="033BA947" w:rsidR="009543BC" w:rsidRDefault="009543BC">
    <w:pPr>
      <w:tabs>
        <w:tab w:val="right" w:pos="9500"/>
      </w:tabs>
      <w:spacing w:after="0" w:line="259" w:lineRule="auto"/>
      <w:ind w:firstLine="0"/>
      <w:jc w:val="left"/>
    </w:pPr>
    <w:r>
      <w:rPr>
        <w:color w:val="5F5F5F"/>
        <w:sz w:val="20"/>
      </w:rPr>
      <w:tab/>
    </w:r>
    <w:r>
      <w:rPr>
        <w:color w:val="5F5F5F"/>
        <w:sz w:val="18"/>
      </w:rPr>
      <w:t xml:space="preserve">Puslapis </w:t>
    </w:r>
    <w:r>
      <w:fldChar w:fldCharType="begin"/>
    </w:r>
    <w:r>
      <w:instrText xml:space="preserve"> PAGE   \* MERGEFORMAT </w:instrText>
    </w:r>
    <w:r>
      <w:fldChar w:fldCharType="separate"/>
    </w:r>
    <w:r w:rsidR="0075151C" w:rsidRPr="0075151C">
      <w:rPr>
        <w:noProof/>
        <w:color w:val="5F5F5F"/>
        <w:sz w:val="18"/>
      </w:rPr>
      <w:t>2</w:t>
    </w:r>
    <w:r>
      <w:rPr>
        <w:color w:val="5F5F5F"/>
        <w:sz w:val="18"/>
      </w:rPr>
      <w:fldChar w:fldCharType="end"/>
    </w:r>
    <w:r>
      <w:rPr>
        <w:color w:val="5F5F5F"/>
        <w:sz w:val="18"/>
      </w:rPr>
      <w:t xml:space="preserve"> iš </w:t>
    </w:r>
    <w:fldSimple w:instr=" NUMPAGES   \* MERGEFORMAT ">
      <w:r w:rsidR="0075151C" w:rsidRPr="0075151C">
        <w:rPr>
          <w:noProof/>
          <w:color w:val="5F5F5F"/>
          <w:sz w:val="18"/>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63A" w14:textId="34F1E86D" w:rsidR="009543BC" w:rsidRDefault="009543B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 NUMPAGES   \* MERGEFORMAT ">
      <w:r w:rsidRPr="008E4045">
        <w:rPr>
          <w:noProof/>
          <w:color w:val="5F5F5F"/>
          <w:sz w:val="18"/>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CC5D" w14:textId="77777777" w:rsidR="00AC77F3" w:rsidRDefault="00AC77F3">
      <w:pPr>
        <w:spacing w:after="0" w:line="240" w:lineRule="auto"/>
      </w:pPr>
      <w:r>
        <w:separator/>
      </w:r>
    </w:p>
  </w:footnote>
  <w:footnote w:type="continuationSeparator" w:id="0">
    <w:p w14:paraId="0D7F4CC4" w14:textId="77777777" w:rsidR="00AC77F3" w:rsidRDefault="00AC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13B8" w14:textId="77777777" w:rsidR="009543BC" w:rsidRDefault="009543B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0279524D" wp14:editId="0356FADD">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05E12ADB" id="Group 38254" o:spid="_x0000_s1026" style="position:absolute;margin-left:60pt;margin-top:57pt;width:474.8pt;height:0;z-index:251658240;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">
              <v:shape id="Shape 38255"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" path="m,19l6029665,e" filled="f" strokecolor="#535f65" strokeweight="2pt">
                <v:stroke miterlimit="1" joinstyle="miter"/>
                <v:path arrowok="t" textboxrect="0,0,6029665,19"/>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774F" w14:textId="6716CD69" w:rsidR="00EC2E36" w:rsidRDefault="00EC2E36" w:rsidP="00EC2E36">
    <w:pPr>
      <w:pStyle w:val="Header"/>
      <w:jc w:val="right"/>
    </w:pPr>
    <w:r>
      <w:t>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F4A1" w14:textId="77777777" w:rsidR="009543BC" w:rsidRDefault="009543BC">
    <w:pPr>
      <w:spacing w:after="0" w:line="259" w:lineRule="auto"/>
      <w:ind w:left="-1200" w:right="4"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3AE2AE2E" wp14:editId="2540E688">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w:pict>
            <v:group w14:anchorId="5FAC4ADC" id="Group 38220" o:spid="_x0000_s1026" style="position:absolute;margin-left:60pt;margin-top:57pt;width:474.8pt;height:0;z-index:251660288;mso-position-horizontal-relative:page;mso-position-vertical-relative:page" coordsize="60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">
              <v:shape id="Shape 38221" o:spid="_x0000_s1027" style="position:absolute;width:60296;height:0;visibility:visible;mso-wrap-style:square;v-text-anchor:top" coordsize="60296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" path="m,19l6029665,e" filled="f" strokecolor="#535f65" strokeweight="2pt">
                <v:stroke miterlimit="1" joinstyle="miter"/>
                <v:path arrowok="t" textboxrect="0,0,6029665,19"/>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AA3076"/>
    <w:multiLevelType w:val="hybridMultilevel"/>
    <w:tmpl w:val="19EE0700"/>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8"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940E0"/>
    <w:multiLevelType w:val="hybridMultilevel"/>
    <w:tmpl w:val="57D8903A"/>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8" w15:restartNumberingAfterBreak="0">
    <w:nsid w:val="3AD54BB2"/>
    <w:multiLevelType w:val="hybridMultilevel"/>
    <w:tmpl w:val="680E46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20"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24" w15:restartNumberingAfterBreak="0">
    <w:nsid w:val="4CEF3B44"/>
    <w:multiLevelType w:val="hybridMultilevel"/>
    <w:tmpl w:val="6A12BD5A"/>
    <w:lvl w:ilvl="0" w:tplc="04270001">
      <w:start w:val="1"/>
      <w:numFmt w:val="bullet"/>
      <w:lvlText w:val=""/>
      <w:lvlJc w:val="left"/>
      <w:pPr>
        <w:ind w:left="2911"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5"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26"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3" w15:restartNumberingAfterBreak="0">
    <w:nsid w:val="6811116D"/>
    <w:multiLevelType w:val="hybridMultilevel"/>
    <w:tmpl w:val="D09A4CDA"/>
    <w:lvl w:ilvl="0" w:tplc="CED2D33A">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5"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3"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8411342">
    <w:abstractNumId w:val="13"/>
  </w:num>
  <w:num w:numId="2" w16cid:durableId="2081517381">
    <w:abstractNumId w:val="19"/>
  </w:num>
  <w:num w:numId="3" w16cid:durableId="1482430962">
    <w:abstractNumId w:val="15"/>
  </w:num>
  <w:num w:numId="4" w16cid:durableId="1918174037">
    <w:abstractNumId w:val="27"/>
  </w:num>
  <w:num w:numId="5" w16cid:durableId="546066016">
    <w:abstractNumId w:val="22"/>
  </w:num>
  <w:num w:numId="6" w16cid:durableId="1624145101">
    <w:abstractNumId w:val="34"/>
  </w:num>
  <w:num w:numId="7" w16cid:durableId="1530071621">
    <w:abstractNumId w:val="17"/>
  </w:num>
  <w:num w:numId="8" w16cid:durableId="449281438">
    <w:abstractNumId w:val="41"/>
  </w:num>
  <w:num w:numId="9" w16cid:durableId="1188521646">
    <w:abstractNumId w:val="26"/>
  </w:num>
  <w:num w:numId="10" w16cid:durableId="1157644722">
    <w:abstractNumId w:val="10"/>
  </w:num>
  <w:num w:numId="11" w16cid:durableId="1692342252">
    <w:abstractNumId w:val="40"/>
  </w:num>
  <w:num w:numId="12" w16cid:durableId="1011179507">
    <w:abstractNumId w:val="23"/>
  </w:num>
  <w:num w:numId="13" w16cid:durableId="20281127">
    <w:abstractNumId w:val="20"/>
  </w:num>
  <w:num w:numId="14" w16cid:durableId="321354244">
    <w:abstractNumId w:val="4"/>
  </w:num>
  <w:num w:numId="15" w16cid:durableId="198327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78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49871">
    <w:abstractNumId w:val="6"/>
  </w:num>
  <w:num w:numId="18" w16cid:durableId="432484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36736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010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127645">
    <w:abstractNumId w:val="9"/>
  </w:num>
  <w:num w:numId="22" w16cid:durableId="1051996766">
    <w:abstractNumId w:val="42"/>
  </w:num>
  <w:num w:numId="23" w16cid:durableId="837886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2934076">
    <w:abstractNumId w:val="37"/>
  </w:num>
  <w:num w:numId="25" w16cid:durableId="1394426840">
    <w:abstractNumId w:val="35"/>
  </w:num>
  <w:num w:numId="26" w16cid:durableId="1963535639">
    <w:abstractNumId w:val="30"/>
  </w:num>
  <w:num w:numId="27" w16cid:durableId="909968396">
    <w:abstractNumId w:val="28"/>
  </w:num>
  <w:num w:numId="28" w16cid:durableId="689259074">
    <w:abstractNumId w:val="43"/>
  </w:num>
  <w:num w:numId="29" w16cid:durableId="540288740">
    <w:abstractNumId w:val="21"/>
  </w:num>
  <w:num w:numId="30" w16cid:durableId="1540699976">
    <w:abstractNumId w:val="11"/>
  </w:num>
  <w:num w:numId="31" w16cid:durableId="1257444903">
    <w:abstractNumId w:val="36"/>
  </w:num>
  <w:num w:numId="32" w16cid:durableId="536161048">
    <w:abstractNumId w:val="24"/>
  </w:num>
  <w:num w:numId="33" w16cid:durableId="674307507">
    <w:abstractNumId w:val="39"/>
  </w:num>
  <w:num w:numId="34" w16cid:durableId="1611085413">
    <w:abstractNumId w:val="33"/>
  </w:num>
  <w:num w:numId="35" w16cid:durableId="1628270136">
    <w:abstractNumId w:val="3"/>
  </w:num>
  <w:num w:numId="36" w16cid:durableId="1816293903">
    <w:abstractNumId w:val="25"/>
  </w:num>
  <w:num w:numId="37" w16cid:durableId="443504679">
    <w:abstractNumId w:val="1"/>
  </w:num>
  <w:num w:numId="38" w16cid:durableId="1764184634">
    <w:abstractNumId w:val="5"/>
  </w:num>
  <w:num w:numId="39" w16cid:durableId="1030840796">
    <w:abstractNumId w:val="29"/>
  </w:num>
  <w:num w:numId="40" w16cid:durableId="1268583909">
    <w:abstractNumId w:val="31"/>
  </w:num>
  <w:num w:numId="41" w16cid:durableId="555052294">
    <w:abstractNumId w:val="38"/>
  </w:num>
  <w:num w:numId="42" w16cid:durableId="877008372">
    <w:abstractNumId w:val="2"/>
  </w:num>
  <w:num w:numId="43" w16cid:durableId="2124492634">
    <w:abstractNumId w:val="12"/>
  </w:num>
  <w:num w:numId="44" w16cid:durableId="10104964">
    <w:abstractNumId w:val="8"/>
  </w:num>
  <w:num w:numId="45" w16cid:durableId="856699888">
    <w:abstractNumId w:val="7"/>
  </w:num>
  <w:num w:numId="46" w16cid:durableId="73007703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2B2E"/>
    <w:rsid w:val="000035C2"/>
    <w:rsid w:val="000043CF"/>
    <w:rsid w:val="00004FE1"/>
    <w:rsid w:val="00007FC4"/>
    <w:rsid w:val="000169D2"/>
    <w:rsid w:val="00021536"/>
    <w:rsid w:val="00024C91"/>
    <w:rsid w:val="0004179D"/>
    <w:rsid w:val="00043A1B"/>
    <w:rsid w:val="00043B83"/>
    <w:rsid w:val="00045F92"/>
    <w:rsid w:val="000500D1"/>
    <w:rsid w:val="00054C48"/>
    <w:rsid w:val="00055297"/>
    <w:rsid w:val="00057137"/>
    <w:rsid w:val="0006116E"/>
    <w:rsid w:val="00062DD1"/>
    <w:rsid w:val="000647CC"/>
    <w:rsid w:val="000647ED"/>
    <w:rsid w:val="0006491A"/>
    <w:rsid w:val="00085D9E"/>
    <w:rsid w:val="000A52C6"/>
    <w:rsid w:val="000B3BAE"/>
    <w:rsid w:val="000B5F02"/>
    <w:rsid w:val="000B7542"/>
    <w:rsid w:val="000C0BEE"/>
    <w:rsid w:val="000C3973"/>
    <w:rsid w:val="000D05BA"/>
    <w:rsid w:val="000D0CB0"/>
    <w:rsid w:val="000D1160"/>
    <w:rsid w:val="000E53C7"/>
    <w:rsid w:val="000E5BFD"/>
    <w:rsid w:val="000F128C"/>
    <w:rsid w:val="000F1DF0"/>
    <w:rsid w:val="000F2E6A"/>
    <w:rsid w:val="000F625D"/>
    <w:rsid w:val="0010227E"/>
    <w:rsid w:val="00112D00"/>
    <w:rsid w:val="001167C8"/>
    <w:rsid w:val="0014357E"/>
    <w:rsid w:val="00145D56"/>
    <w:rsid w:val="001553F6"/>
    <w:rsid w:val="00155ACD"/>
    <w:rsid w:val="001623E9"/>
    <w:rsid w:val="00165216"/>
    <w:rsid w:val="00172C36"/>
    <w:rsid w:val="001832C3"/>
    <w:rsid w:val="00183763"/>
    <w:rsid w:val="00194B61"/>
    <w:rsid w:val="001966B6"/>
    <w:rsid w:val="001B3D72"/>
    <w:rsid w:val="001B4C1A"/>
    <w:rsid w:val="001B7B9C"/>
    <w:rsid w:val="001C103E"/>
    <w:rsid w:val="001C1468"/>
    <w:rsid w:val="001C1EE9"/>
    <w:rsid w:val="001D10F6"/>
    <w:rsid w:val="001D7BD2"/>
    <w:rsid w:val="001E078B"/>
    <w:rsid w:val="001E3967"/>
    <w:rsid w:val="001E6A4F"/>
    <w:rsid w:val="001E7301"/>
    <w:rsid w:val="00200F79"/>
    <w:rsid w:val="00203F13"/>
    <w:rsid w:val="00224AD3"/>
    <w:rsid w:val="00233C5E"/>
    <w:rsid w:val="0023621A"/>
    <w:rsid w:val="00245B80"/>
    <w:rsid w:val="0025048C"/>
    <w:rsid w:val="00261F4B"/>
    <w:rsid w:val="002675C0"/>
    <w:rsid w:val="00267E3F"/>
    <w:rsid w:val="00270AE1"/>
    <w:rsid w:val="0028072C"/>
    <w:rsid w:val="0028261D"/>
    <w:rsid w:val="00283434"/>
    <w:rsid w:val="0029032D"/>
    <w:rsid w:val="00296FC1"/>
    <w:rsid w:val="002A3802"/>
    <w:rsid w:val="002A6C85"/>
    <w:rsid w:val="002A6D06"/>
    <w:rsid w:val="002B15DE"/>
    <w:rsid w:val="002B602A"/>
    <w:rsid w:val="002C646A"/>
    <w:rsid w:val="002D6B14"/>
    <w:rsid w:val="002E53D5"/>
    <w:rsid w:val="002E784F"/>
    <w:rsid w:val="002F41A1"/>
    <w:rsid w:val="003032BB"/>
    <w:rsid w:val="00304F4F"/>
    <w:rsid w:val="003109C8"/>
    <w:rsid w:val="003122B6"/>
    <w:rsid w:val="00313619"/>
    <w:rsid w:val="0032247D"/>
    <w:rsid w:val="00326C21"/>
    <w:rsid w:val="0033564E"/>
    <w:rsid w:val="00344568"/>
    <w:rsid w:val="003459A5"/>
    <w:rsid w:val="00360659"/>
    <w:rsid w:val="00362DF1"/>
    <w:rsid w:val="00376913"/>
    <w:rsid w:val="00392B1D"/>
    <w:rsid w:val="003A6493"/>
    <w:rsid w:val="003B0236"/>
    <w:rsid w:val="003B0D7E"/>
    <w:rsid w:val="003C4515"/>
    <w:rsid w:val="003C6547"/>
    <w:rsid w:val="003D0CBC"/>
    <w:rsid w:val="003D544B"/>
    <w:rsid w:val="003E20CA"/>
    <w:rsid w:val="003F185E"/>
    <w:rsid w:val="003F39E8"/>
    <w:rsid w:val="003F5C6C"/>
    <w:rsid w:val="003F7130"/>
    <w:rsid w:val="00404129"/>
    <w:rsid w:val="00404F1D"/>
    <w:rsid w:val="00411886"/>
    <w:rsid w:val="004144CA"/>
    <w:rsid w:val="00420867"/>
    <w:rsid w:val="00421E3E"/>
    <w:rsid w:val="00423CD1"/>
    <w:rsid w:val="00427F86"/>
    <w:rsid w:val="00440EC9"/>
    <w:rsid w:val="00443CB8"/>
    <w:rsid w:val="00444B2D"/>
    <w:rsid w:val="00446B0B"/>
    <w:rsid w:val="00451D4C"/>
    <w:rsid w:val="00465B48"/>
    <w:rsid w:val="00467C9C"/>
    <w:rsid w:val="00471AFB"/>
    <w:rsid w:val="004725AC"/>
    <w:rsid w:val="00485341"/>
    <w:rsid w:val="0048590A"/>
    <w:rsid w:val="00487272"/>
    <w:rsid w:val="004930D0"/>
    <w:rsid w:val="0049521C"/>
    <w:rsid w:val="004969EB"/>
    <w:rsid w:val="004A2551"/>
    <w:rsid w:val="004B3683"/>
    <w:rsid w:val="004B3DFE"/>
    <w:rsid w:val="004B7A80"/>
    <w:rsid w:val="004B7E1B"/>
    <w:rsid w:val="004D0D95"/>
    <w:rsid w:val="004D1DE9"/>
    <w:rsid w:val="004D631F"/>
    <w:rsid w:val="004D67A5"/>
    <w:rsid w:val="004D72B8"/>
    <w:rsid w:val="004E4AA5"/>
    <w:rsid w:val="004E73AD"/>
    <w:rsid w:val="004F0721"/>
    <w:rsid w:val="004F230E"/>
    <w:rsid w:val="004F3651"/>
    <w:rsid w:val="004F6ABA"/>
    <w:rsid w:val="00503F62"/>
    <w:rsid w:val="00505DBE"/>
    <w:rsid w:val="005121CA"/>
    <w:rsid w:val="00512A7A"/>
    <w:rsid w:val="00517B48"/>
    <w:rsid w:val="005212B7"/>
    <w:rsid w:val="005315EE"/>
    <w:rsid w:val="005368FA"/>
    <w:rsid w:val="00540512"/>
    <w:rsid w:val="00543835"/>
    <w:rsid w:val="0055470A"/>
    <w:rsid w:val="00557E06"/>
    <w:rsid w:val="0056517B"/>
    <w:rsid w:val="00574BD7"/>
    <w:rsid w:val="005A4C44"/>
    <w:rsid w:val="005A645D"/>
    <w:rsid w:val="005B2E40"/>
    <w:rsid w:val="005B3C4F"/>
    <w:rsid w:val="005C2FC3"/>
    <w:rsid w:val="005D41F1"/>
    <w:rsid w:val="005D56A4"/>
    <w:rsid w:val="005F04B5"/>
    <w:rsid w:val="006025C4"/>
    <w:rsid w:val="00617D07"/>
    <w:rsid w:val="00626898"/>
    <w:rsid w:val="0063086E"/>
    <w:rsid w:val="00631B6C"/>
    <w:rsid w:val="00632712"/>
    <w:rsid w:val="00632916"/>
    <w:rsid w:val="00635C3A"/>
    <w:rsid w:val="00640BD2"/>
    <w:rsid w:val="00644EAB"/>
    <w:rsid w:val="0066180A"/>
    <w:rsid w:val="00666A32"/>
    <w:rsid w:val="00673AB8"/>
    <w:rsid w:val="00693968"/>
    <w:rsid w:val="00693DB9"/>
    <w:rsid w:val="006A1824"/>
    <w:rsid w:val="006B5DC2"/>
    <w:rsid w:val="006C0FCB"/>
    <w:rsid w:val="006D1BB6"/>
    <w:rsid w:val="006E2CD6"/>
    <w:rsid w:val="006E539E"/>
    <w:rsid w:val="006E5C24"/>
    <w:rsid w:val="006E603A"/>
    <w:rsid w:val="006F3656"/>
    <w:rsid w:val="006F6ABF"/>
    <w:rsid w:val="00703E3E"/>
    <w:rsid w:val="00733CA2"/>
    <w:rsid w:val="00737BD8"/>
    <w:rsid w:val="007504A4"/>
    <w:rsid w:val="0075151C"/>
    <w:rsid w:val="00755611"/>
    <w:rsid w:val="00760386"/>
    <w:rsid w:val="0076103A"/>
    <w:rsid w:val="00767E75"/>
    <w:rsid w:val="00773BD5"/>
    <w:rsid w:val="00786466"/>
    <w:rsid w:val="00791588"/>
    <w:rsid w:val="007A037D"/>
    <w:rsid w:val="007A05E0"/>
    <w:rsid w:val="007A3ECE"/>
    <w:rsid w:val="007A653F"/>
    <w:rsid w:val="007A71CF"/>
    <w:rsid w:val="007A7354"/>
    <w:rsid w:val="007B1208"/>
    <w:rsid w:val="007B5CE3"/>
    <w:rsid w:val="007C4986"/>
    <w:rsid w:val="007C4A68"/>
    <w:rsid w:val="007D028A"/>
    <w:rsid w:val="007F0005"/>
    <w:rsid w:val="007F650F"/>
    <w:rsid w:val="008027AA"/>
    <w:rsid w:val="008038FD"/>
    <w:rsid w:val="008071C6"/>
    <w:rsid w:val="00816109"/>
    <w:rsid w:val="0082115C"/>
    <w:rsid w:val="00824460"/>
    <w:rsid w:val="00824FCD"/>
    <w:rsid w:val="008274F7"/>
    <w:rsid w:val="00827B21"/>
    <w:rsid w:val="00840168"/>
    <w:rsid w:val="008427D8"/>
    <w:rsid w:val="00853265"/>
    <w:rsid w:val="008652BC"/>
    <w:rsid w:val="00867248"/>
    <w:rsid w:val="00876C84"/>
    <w:rsid w:val="008772B1"/>
    <w:rsid w:val="00881380"/>
    <w:rsid w:val="008823E9"/>
    <w:rsid w:val="00887D01"/>
    <w:rsid w:val="00895823"/>
    <w:rsid w:val="00895A16"/>
    <w:rsid w:val="008A3D2A"/>
    <w:rsid w:val="008A4401"/>
    <w:rsid w:val="008B02C1"/>
    <w:rsid w:val="008B1ADE"/>
    <w:rsid w:val="008B20CD"/>
    <w:rsid w:val="008B508D"/>
    <w:rsid w:val="008C5EBC"/>
    <w:rsid w:val="008C5F33"/>
    <w:rsid w:val="008C69D3"/>
    <w:rsid w:val="008D22EA"/>
    <w:rsid w:val="008D4DB9"/>
    <w:rsid w:val="008D5F7C"/>
    <w:rsid w:val="008D6FDF"/>
    <w:rsid w:val="008D7235"/>
    <w:rsid w:val="008E2B50"/>
    <w:rsid w:val="008E3B90"/>
    <w:rsid w:val="008E4045"/>
    <w:rsid w:val="008F242A"/>
    <w:rsid w:val="008F2F39"/>
    <w:rsid w:val="0090529D"/>
    <w:rsid w:val="009066D3"/>
    <w:rsid w:val="00921A34"/>
    <w:rsid w:val="009508DA"/>
    <w:rsid w:val="009543BC"/>
    <w:rsid w:val="00954B15"/>
    <w:rsid w:val="0097246D"/>
    <w:rsid w:val="00984B50"/>
    <w:rsid w:val="00991405"/>
    <w:rsid w:val="00992984"/>
    <w:rsid w:val="00994265"/>
    <w:rsid w:val="00995047"/>
    <w:rsid w:val="009A1BF0"/>
    <w:rsid w:val="009A54FB"/>
    <w:rsid w:val="009A563E"/>
    <w:rsid w:val="009A6D6F"/>
    <w:rsid w:val="009B1ACE"/>
    <w:rsid w:val="009B2DAA"/>
    <w:rsid w:val="009C4551"/>
    <w:rsid w:val="009C5F92"/>
    <w:rsid w:val="009C74F3"/>
    <w:rsid w:val="009D12D6"/>
    <w:rsid w:val="009D393D"/>
    <w:rsid w:val="009D3CF1"/>
    <w:rsid w:val="009D486F"/>
    <w:rsid w:val="009E13E2"/>
    <w:rsid w:val="009E1A27"/>
    <w:rsid w:val="009E2206"/>
    <w:rsid w:val="009E471B"/>
    <w:rsid w:val="009F1523"/>
    <w:rsid w:val="009F3385"/>
    <w:rsid w:val="009F43F0"/>
    <w:rsid w:val="009F4EA3"/>
    <w:rsid w:val="009F75B7"/>
    <w:rsid w:val="009F761D"/>
    <w:rsid w:val="00A00C39"/>
    <w:rsid w:val="00A10C99"/>
    <w:rsid w:val="00A15240"/>
    <w:rsid w:val="00A24B43"/>
    <w:rsid w:val="00A3616C"/>
    <w:rsid w:val="00A375F7"/>
    <w:rsid w:val="00A44592"/>
    <w:rsid w:val="00A50FAE"/>
    <w:rsid w:val="00A51A6B"/>
    <w:rsid w:val="00A54193"/>
    <w:rsid w:val="00A54FE4"/>
    <w:rsid w:val="00A705F2"/>
    <w:rsid w:val="00A81021"/>
    <w:rsid w:val="00A94E9D"/>
    <w:rsid w:val="00AA07F6"/>
    <w:rsid w:val="00AA1BDA"/>
    <w:rsid w:val="00AB018A"/>
    <w:rsid w:val="00AB1A97"/>
    <w:rsid w:val="00AB2787"/>
    <w:rsid w:val="00AB5D45"/>
    <w:rsid w:val="00AB6D22"/>
    <w:rsid w:val="00AC77F3"/>
    <w:rsid w:val="00AD4076"/>
    <w:rsid w:val="00AD4DC5"/>
    <w:rsid w:val="00AE2DFD"/>
    <w:rsid w:val="00AE475B"/>
    <w:rsid w:val="00AF3983"/>
    <w:rsid w:val="00AF633A"/>
    <w:rsid w:val="00AF63CC"/>
    <w:rsid w:val="00AF7F3E"/>
    <w:rsid w:val="00B0592A"/>
    <w:rsid w:val="00B06C97"/>
    <w:rsid w:val="00B1356E"/>
    <w:rsid w:val="00B2023F"/>
    <w:rsid w:val="00B23E36"/>
    <w:rsid w:val="00B2675D"/>
    <w:rsid w:val="00B33F92"/>
    <w:rsid w:val="00B35EFF"/>
    <w:rsid w:val="00B36016"/>
    <w:rsid w:val="00B3696B"/>
    <w:rsid w:val="00B37023"/>
    <w:rsid w:val="00B459AA"/>
    <w:rsid w:val="00B5203C"/>
    <w:rsid w:val="00B742E6"/>
    <w:rsid w:val="00B747D1"/>
    <w:rsid w:val="00B77024"/>
    <w:rsid w:val="00B80A75"/>
    <w:rsid w:val="00B82CB8"/>
    <w:rsid w:val="00B93495"/>
    <w:rsid w:val="00B94F6D"/>
    <w:rsid w:val="00B95925"/>
    <w:rsid w:val="00B95EFE"/>
    <w:rsid w:val="00BA4FE6"/>
    <w:rsid w:val="00BC0D1B"/>
    <w:rsid w:val="00BD1E1C"/>
    <w:rsid w:val="00BD5C4E"/>
    <w:rsid w:val="00BE0F04"/>
    <w:rsid w:val="00BE4876"/>
    <w:rsid w:val="00C1754B"/>
    <w:rsid w:val="00C2742D"/>
    <w:rsid w:val="00C33032"/>
    <w:rsid w:val="00C3461B"/>
    <w:rsid w:val="00C3634C"/>
    <w:rsid w:val="00C45EF4"/>
    <w:rsid w:val="00C463E0"/>
    <w:rsid w:val="00C52666"/>
    <w:rsid w:val="00C61426"/>
    <w:rsid w:val="00C654D5"/>
    <w:rsid w:val="00C701FF"/>
    <w:rsid w:val="00C81FC1"/>
    <w:rsid w:val="00C834BF"/>
    <w:rsid w:val="00C87157"/>
    <w:rsid w:val="00C8730F"/>
    <w:rsid w:val="00C910E9"/>
    <w:rsid w:val="00CB005D"/>
    <w:rsid w:val="00CC0F90"/>
    <w:rsid w:val="00CC193C"/>
    <w:rsid w:val="00CC5793"/>
    <w:rsid w:val="00CC6258"/>
    <w:rsid w:val="00CC67DD"/>
    <w:rsid w:val="00CD240C"/>
    <w:rsid w:val="00CD42B3"/>
    <w:rsid w:val="00CD5AE2"/>
    <w:rsid w:val="00CD6DC3"/>
    <w:rsid w:val="00CD757E"/>
    <w:rsid w:val="00CE0D4A"/>
    <w:rsid w:val="00CE37B6"/>
    <w:rsid w:val="00CE7693"/>
    <w:rsid w:val="00CF12FB"/>
    <w:rsid w:val="00CF63D3"/>
    <w:rsid w:val="00D042FD"/>
    <w:rsid w:val="00D061C3"/>
    <w:rsid w:val="00D06B8A"/>
    <w:rsid w:val="00D100AD"/>
    <w:rsid w:val="00D13A1F"/>
    <w:rsid w:val="00D14305"/>
    <w:rsid w:val="00D143B9"/>
    <w:rsid w:val="00D17544"/>
    <w:rsid w:val="00D20CEB"/>
    <w:rsid w:val="00D24614"/>
    <w:rsid w:val="00D43543"/>
    <w:rsid w:val="00D44579"/>
    <w:rsid w:val="00D521B3"/>
    <w:rsid w:val="00D5403B"/>
    <w:rsid w:val="00D63AB1"/>
    <w:rsid w:val="00D6442A"/>
    <w:rsid w:val="00D654C7"/>
    <w:rsid w:val="00D80DFD"/>
    <w:rsid w:val="00D8663A"/>
    <w:rsid w:val="00D86E03"/>
    <w:rsid w:val="00D910B5"/>
    <w:rsid w:val="00D96087"/>
    <w:rsid w:val="00DB0711"/>
    <w:rsid w:val="00DB1AC6"/>
    <w:rsid w:val="00DB3110"/>
    <w:rsid w:val="00DB4D6F"/>
    <w:rsid w:val="00DC0EAB"/>
    <w:rsid w:val="00DD178A"/>
    <w:rsid w:val="00DE2730"/>
    <w:rsid w:val="00DE2905"/>
    <w:rsid w:val="00DF3D37"/>
    <w:rsid w:val="00E01B6E"/>
    <w:rsid w:val="00E15E49"/>
    <w:rsid w:val="00E23F18"/>
    <w:rsid w:val="00E30275"/>
    <w:rsid w:val="00E32F74"/>
    <w:rsid w:val="00E33EA5"/>
    <w:rsid w:val="00E35432"/>
    <w:rsid w:val="00E36256"/>
    <w:rsid w:val="00E45F7A"/>
    <w:rsid w:val="00E466BF"/>
    <w:rsid w:val="00E473F3"/>
    <w:rsid w:val="00E47FF1"/>
    <w:rsid w:val="00E51967"/>
    <w:rsid w:val="00E566BA"/>
    <w:rsid w:val="00E6140E"/>
    <w:rsid w:val="00E8114B"/>
    <w:rsid w:val="00E91F8D"/>
    <w:rsid w:val="00E97D82"/>
    <w:rsid w:val="00EA69E5"/>
    <w:rsid w:val="00EC2D9E"/>
    <w:rsid w:val="00EC2E36"/>
    <w:rsid w:val="00EC777B"/>
    <w:rsid w:val="00ED29B6"/>
    <w:rsid w:val="00EE21FD"/>
    <w:rsid w:val="00EE4031"/>
    <w:rsid w:val="00EE58B4"/>
    <w:rsid w:val="00EF4D45"/>
    <w:rsid w:val="00F0283A"/>
    <w:rsid w:val="00F03F8E"/>
    <w:rsid w:val="00F0552F"/>
    <w:rsid w:val="00F0556A"/>
    <w:rsid w:val="00F14822"/>
    <w:rsid w:val="00F2456A"/>
    <w:rsid w:val="00F24AAD"/>
    <w:rsid w:val="00F34CF2"/>
    <w:rsid w:val="00F35F1A"/>
    <w:rsid w:val="00F36246"/>
    <w:rsid w:val="00F41D86"/>
    <w:rsid w:val="00F51C78"/>
    <w:rsid w:val="00F52B84"/>
    <w:rsid w:val="00F5327C"/>
    <w:rsid w:val="00F5369F"/>
    <w:rsid w:val="00F749FA"/>
    <w:rsid w:val="00F75B70"/>
    <w:rsid w:val="00F80082"/>
    <w:rsid w:val="00F80D8B"/>
    <w:rsid w:val="00F81B38"/>
    <w:rsid w:val="00F8404E"/>
    <w:rsid w:val="00F8608F"/>
    <w:rsid w:val="00FA022F"/>
    <w:rsid w:val="00FA0315"/>
    <w:rsid w:val="00FA1BA8"/>
    <w:rsid w:val="00FA4F5C"/>
    <w:rsid w:val="00FB3651"/>
    <w:rsid w:val="00FB40FE"/>
    <w:rsid w:val="00FB7D9B"/>
    <w:rsid w:val="00FD4EA6"/>
    <w:rsid w:val="00FD6D4C"/>
    <w:rsid w:val="00FE669F"/>
    <w:rsid w:val="00FE69BB"/>
    <w:rsid w:val="00FF4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B1AF"/>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3F"/>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9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0"/>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1"/>
      </w:numPr>
    </w:pPr>
  </w:style>
  <w:style w:type="numbering" w:customStyle="1" w:styleId="Style1">
    <w:name w:val="Style1"/>
    <w:rsid w:val="003D0CBC"/>
    <w:pPr>
      <w:numPr>
        <w:numId w:val="12"/>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3"/>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4"/>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FCD99F5D-FB7D-4AC2-AA91-427075729ED0}">
  <ds:schemaRefs>
    <ds:schemaRef ds:uri="http://schemas.microsoft.com/sharepoint/v3/contenttype/forms"/>
  </ds:schemaRefs>
</ds:datastoreItem>
</file>

<file path=customXml/itemProps2.xml><?xml version="1.0" encoding="utf-8"?>
<ds:datastoreItem xmlns:ds="http://schemas.openxmlformats.org/officeDocument/2006/customXml" ds:itemID="{F47A5E8C-3273-40CE-A580-FC9728431B56}">
  <ds:schemaRefs>
    <ds:schemaRef ds:uri="http://schemas.openxmlformats.org/officeDocument/2006/bibliography"/>
  </ds:schemaRefs>
</ds:datastoreItem>
</file>

<file path=customXml/itemProps3.xml><?xml version="1.0" encoding="utf-8"?>
<ds:datastoreItem xmlns:ds="http://schemas.openxmlformats.org/officeDocument/2006/customXml" ds:itemID="{B1230C32-B7F0-44DE-95AC-419845A4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5A703-3194-4E95-82F2-944A735666B9}">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Ana Sosulina</cp:lastModifiedBy>
  <cp:revision>8</cp:revision>
  <cp:lastPrinted>2021-03-30T05:13:00Z</cp:lastPrinted>
  <dcterms:created xsi:type="dcterms:W3CDTF">2024-11-15T07:05:00Z</dcterms:created>
  <dcterms:modified xsi:type="dcterms:W3CDTF">2025-01-27T10:04:00Z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