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11BA36FF" w:rsidR="00705797" w:rsidRPr="00743C21"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0C59BEC8" w:rsidR="002F0F26" w:rsidRPr="00E6645C" w:rsidRDefault="00E6645C" w:rsidP="002F0F26">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EBVPD formos 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lastRenderedPageBreak/>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3A74DE65" w14:textId="500E55DE" w:rsidR="00B85E55" w:rsidRPr="00743C21" w:rsidRDefault="00B85E55" w:rsidP="003E4072">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3E407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3E4072">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3E4072">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743C21">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380EDA">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380EDA">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B85E55" w:rsidRPr="00743C21" w14:paraId="26F3D41F" w14:textId="77777777" w:rsidTr="00EF2A14">
        <w:tc>
          <w:tcPr>
            <w:tcW w:w="568" w:type="dxa"/>
            <w:shd w:val="clear" w:color="auto" w:fill="auto"/>
          </w:tcPr>
          <w:p w14:paraId="359A98D4" w14:textId="37B6D484" w:rsidR="00B85E55" w:rsidRPr="00743C21" w:rsidRDefault="00B85E55" w:rsidP="003E4072">
            <w:pPr>
              <w:jc w:val="right"/>
              <w:rPr>
                <w:sz w:val="22"/>
                <w:szCs w:val="22"/>
              </w:rPr>
            </w:pPr>
            <w:r w:rsidRPr="00743C21">
              <w:rPr>
                <w:sz w:val="22"/>
                <w:szCs w:val="22"/>
              </w:rPr>
              <w:t>2.</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w:t>
            </w:r>
            <w:r w:rsidR="00B85E55" w:rsidRPr="00743C21">
              <w:rPr>
                <w:sz w:val="22"/>
                <w:szCs w:val="22"/>
              </w:rPr>
              <w:lastRenderedPageBreak/>
              <w:t xml:space="preserve">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lastRenderedPageBreak/>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lastRenderedPageBreak/>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lastRenderedPageBreak/>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lastRenderedPageBreak/>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31BD1CC6" w:rsidR="00B85E55" w:rsidRPr="00743C21" w:rsidRDefault="00B85E55" w:rsidP="003E4072">
            <w:pPr>
              <w:jc w:val="right"/>
              <w:rPr>
                <w:sz w:val="22"/>
                <w:szCs w:val="22"/>
              </w:rPr>
            </w:pPr>
            <w:r w:rsidRPr="00743C21">
              <w:rPr>
                <w:sz w:val="22"/>
                <w:szCs w:val="22"/>
              </w:rPr>
              <w:lastRenderedPageBreak/>
              <w:t>3.</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580329ED" w:rsidR="00B85E55" w:rsidRPr="00743C21" w:rsidRDefault="00B85E55" w:rsidP="003E4072">
            <w:pPr>
              <w:jc w:val="right"/>
              <w:rPr>
                <w:sz w:val="22"/>
                <w:szCs w:val="22"/>
              </w:rPr>
            </w:pPr>
            <w:r w:rsidRPr="00743C21">
              <w:rPr>
                <w:sz w:val="22"/>
                <w:szCs w:val="22"/>
              </w:rPr>
              <w:t>4.</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346CD387" w:rsidR="00B85E55" w:rsidRPr="00743C21" w:rsidRDefault="00B85E55" w:rsidP="003E4072">
            <w:pPr>
              <w:jc w:val="right"/>
              <w:rPr>
                <w:sz w:val="22"/>
                <w:szCs w:val="22"/>
              </w:rPr>
            </w:pPr>
            <w:r w:rsidRPr="00743C21">
              <w:rPr>
                <w:sz w:val="22"/>
                <w:szCs w:val="22"/>
              </w:rPr>
              <w:t>5.</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4B80B480" w:rsidR="00B85E55" w:rsidRPr="00743C21" w:rsidRDefault="00B85E55" w:rsidP="003E4072">
            <w:pPr>
              <w:jc w:val="right"/>
              <w:rPr>
                <w:sz w:val="22"/>
                <w:szCs w:val="22"/>
              </w:rPr>
            </w:pPr>
            <w:r w:rsidRPr="00743C21">
              <w:rPr>
                <w:sz w:val="22"/>
                <w:szCs w:val="22"/>
              </w:rPr>
              <w:t>6.</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lastRenderedPageBreak/>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lastRenderedPageBreak/>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5AA89CEB"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 xml:space="preserve"> 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lastRenderedPageBreak/>
              <w:t>išsaugant atitinkamo dokumento skaitmeninę kopiją.</w:t>
            </w:r>
          </w:p>
        </w:tc>
      </w:tr>
      <w:tr w:rsidR="00B85E55" w:rsidRPr="00743C21" w14:paraId="3F74D02A" w14:textId="77777777" w:rsidTr="00EF2A14">
        <w:tc>
          <w:tcPr>
            <w:tcW w:w="568" w:type="dxa"/>
            <w:shd w:val="clear" w:color="auto" w:fill="auto"/>
          </w:tcPr>
          <w:p w14:paraId="1F133AFF" w14:textId="5011D4F3" w:rsidR="00B85E55" w:rsidRPr="00743C21" w:rsidRDefault="00B85E55" w:rsidP="003E4072">
            <w:pPr>
              <w:jc w:val="right"/>
              <w:rPr>
                <w:sz w:val="22"/>
                <w:szCs w:val="22"/>
              </w:rPr>
            </w:pPr>
            <w:r w:rsidRPr="00743C21">
              <w:rPr>
                <w:sz w:val="22"/>
                <w:szCs w:val="22"/>
              </w:rPr>
              <w:lastRenderedPageBreak/>
              <w:t>7.</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7FE2F4F2" w:rsidR="00B85E55" w:rsidRPr="00743C21" w:rsidRDefault="00B85E55" w:rsidP="003E4072">
            <w:pPr>
              <w:jc w:val="right"/>
              <w:rPr>
                <w:sz w:val="22"/>
                <w:szCs w:val="22"/>
              </w:rPr>
            </w:pPr>
            <w:r w:rsidRPr="00743C21">
              <w:rPr>
                <w:sz w:val="22"/>
                <w:szCs w:val="22"/>
              </w:rPr>
              <w:t>8.</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w:t>
            </w:r>
            <w:r w:rsidRPr="00743C21">
              <w:rPr>
                <w:sz w:val="22"/>
                <w:szCs w:val="22"/>
              </w:rPr>
              <w:lastRenderedPageBreak/>
              <w:t xml:space="preserve">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F56805"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F47D9F0" w:rsidR="00B85E55" w:rsidRPr="00743C21" w:rsidRDefault="00B85E55" w:rsidP="003E4072">
            <w:pPr>
              <w:jc w:val="right"/>
              <w:rPr>
                <w:sz w:val="22"/>
                <w:szCs w:val="22"/>
              </w:rPr>
            </w:pPr>
            <w:r w:rsidRPr="00743C21">
              <w:rPr>
                <w:sz w:val="22"/>
                <w:szCs w:val="22"/>
              </w:rPr>
              <w:t>9.</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6DD57C0C" w:rsidR="00B85E55" w:rsidRPr="00743C21" w:rsidRDefault="00B85E55" w:rsidP="003E4072">
            <w:pPr>
              <w:jc w:val="right"/>
              <w:rPr>
                <w:sz w:val="22"/>
                <w:szCs w:val="22"/>
              </w:rPr>
            </w:pPr>
            <w:r w:rsidRPr="00743C21">
              <w:rPr>
                <w:sz w:val="22"/>
                <w:szCs w:val="22"/>
              </w:rPr>
              <w:t>10.</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7C6E1B3B" w:rsidR="00B85E55" w:rsidRPr="00743C21" w:rsidRDefault="00B85E55" w:rsidP="003E4072">
            <w:pPr>
              <w:jc w:val="right"/>
              <w:rPr>
                <w:sz w:val="22"/>
                <w:szCs w:val="22"/>
              </w:rPr>
            </w:pPr>
            <w:r w:rsidRPr="00743C21">
              <w:rPr>
                <w:sz w:val="22"/>
                <w:szCs w:val="22"/>
              </w:rPr>
              <w:t>11.</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2FAAC709" w:rsidR="00A277A1" w:rsidRPr="00565F32" w:rsidRDefault="00A277A1" w:rsidP="00A32586">
            <w:pPr>
              <w:jc w:val="both"/>
              <w:rPr>
                <w:sz w:val="22"/>
                <w:szCs w:val="22"/>
              </w:rPr>
            </w:pPr>
            <w:r w:rsidRPr="00565F32">
              <w:rPr>
                <w:sz w:val="22"/>
                <w:szCs w:val="22"/>
              </w:rPr>
              <w:t>1) P</w:t>
            </w:r>
            <w:r w:rsidR="005027AA" w:rsidRPr="00565F32">
              <w:rPr>
                <w:sz w:val="22"/>
                <w:szCs w:val="22"/>
              </w:rPr>
              <w:t>S</w:t>
            </w:r>
            <w:r w:rsidRPr="00565F32">
              <w:rPr>
                <w:sz w:val="22"/>
                <w:szCs w:val="22"/>
              </w:rPr>
              <w:t xml:space="preserve"> pašalina tiekėją iš pirkimo procedūros pagal 3-10 p. nurodytus pašalinimo pagrindus ir tuo atveju, kai ji turi įtikinamų duomenų, kad tiekėjas yra įsteigtas arba dalyvauja pirkime vietoj kito asmens, siekiant išvengti 3-10 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lastRenderedPageBreak/>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ir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1" w:name="_Hlk158628250"/>
            <w:bookmarkStart w:id="2" w:name="_Hlk124845713"/>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0D5FD5">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678" w:type="dxa"/>
            <w:shd w:val="clear" w:color="auto" w:fill="auto"/>
          </w:tcPr>
          <w:p w14:paraId="7658C477" w14:textId="64C1146B" w:rsidR="008013B8" w:rsidRPr="00565F32" w:rsidRDefault="008013B8" w:rsidP="003E4072">
            <w:pPr>
              <w:jc w:val="both"/>
              <w:rPr>
                <w:sz w:val="22"/>
                <w:szCs w:val="22"/>
                <w:lang w:eastAsia="en-US"/>
              </w:rPr>
            </w:pPr>
            <w:r w:rsidRPr="008013B8">
              <w:rPr>
                <w:sz w:val="22"/>
                <w:szCs w:val="22"/>
                <w:lang w:eastAsia="en-US"/>
              </w:rPr>
              <w:t>Tiekėjas</w:t>
            </w:r>
            <w:r w:rsidR="00A079D1">
              <w:rPr>
                <w:sz w:val="22"/>
                <w:szCs w:val="22"/>
                <w:lang w:eastAsia="en-US"/>
              </w:rPr>
              <w:t xml:space="preserve">, jei jis nėra informacinės sistemos Terra </w:t>
            </w:r>
            <w:r w:rsidR="003579DA">
              <w:rPr>
                <w:sz w:val="22"/>
                <w:szCs w:val="22"/>
                <w:lang w:eastAsia="en-US"/>
              </w:rPr>
              <w:t xml:space="preserve">Logistics </w:t>
            </w:r>
            <w:r w:rsidR="00A079D1">
              <w:rPr>
                <w:sz w:val="22"/>
                <w:szCs w:val="22"/>
                <w:lang w:eastAsia="en-US"/>
              </w:rPr>
              <w:t>autorius (savininkas), turi turėti teisę atlikti Pirkimo objekte nurodytas Paslaugas</w:t>
            </w:r>
            <w:r w:rsidRPr="008013B8">
              <w:rPr>
                <w:sz w:val="22"/>
                <w:szCs w:val="22"/>
                <w:lang w:eastAsia="en-US"/>
              </w:rPr>
              <w:t>.</w:t>
            </w:r>
          </w:p>
        </w:tc>
        <w:tc>
          <w:tcPr>
            <w:tcW w:w="4819" w:type="dxa"/>
            <w:shd w:val="clear" w:color="auto" w:fill="auto"/>
          </w:tcPr>
          <w:p w14:paraId="4675F607" w14:textId="469CF5FD" w:rsidR="000D5FD5" w:rsidRPr="00565F32" w:rsidRDefault="00A13AFF" w:rsidP="00A13AFF">
            <w:pPr>
              <w:contextualSpacing/>
              <w:jc w:val="both"/>
              <w:rPr>
                <w:rFonts w:eastAsia="Calibri"/>
                <w:sz w:val="22"/>
                <w:szCs w:val="22"/>
                <w:lang w:eastAsia="en-US"/>
              </w:rPr>
            </w:pPr>
            <w:r>
              <w:rPr>
                <w:rFonts w:eastAsia="Calibri"/>
                <w:sz w:val="22"/>
                <w:szCs w:val="22"/>
                <w:lang w:eastAsia="en-US"/>
              </w:rPr>
              <w:t>D</w:t>
            </w:r>
            <w:r w:rsidRPr="00A13AFF">
              <w:rPr>
                <w:rFonts w:eastAsia="Calibri"/>
                <w:sz w:val="22"/>
                <w:szCs w:val="22"/>
                <w:lang w:eastAsia="en-US"/>
              </w:rPr>
              <w:t>okument</w:t>
            </w:r>
            <w:r>
              <w:rPr>
                <w:rFonts w:eastAsia="Calibri"/>
                <w:sz w:val="22"/>
                <w:szCs w:val="22"/>
                <w:lang w:eastAsia="en-US"/>
              </w:rPr>
              <w:t>ai</w:t>
            </w:r>
            <w:r w:rsidRPr="00A13AFF">
              <w:rPr>
                <w:rFonts w:eastAsia="Calibri"/>
                <w:sz w:val="22"/>
                <w:szCs w:val="22"/>
                <w:lang w:eastAsia="en-US"/>
              </w:rPr>
              <w:t>, patvirtinan</w:t>
            </w:r>
            <w:r>
              <w:rPr>
                <w:rFonts w:eastAsia="Calibri"/>
                <w:sz w:val="22"/>
                <w:szCs w:val="22"/>
                <w:lang w:eastAsia="en-US"/>
              </w:rPr>
              <w:t>tys</w:t>
            </w:r>
            <w:r w:rsidRPr="00A13AFF">
              <w:rPr>
                <w:rFonts w:eastAsia="Calibri"/>
                <w:sz w:val="22"/>
                <w:szCs w:val="22"/>
                <w:lang w:eastAsia="en-US"/>
              </w:rPr>
              <w:t xml:space="preserve"> tiekėjo teisę verstis atitinkama veikla </w:t>
            </w:r>
            <w:r>
              <w:rPr>
                <w:rFonts w:eastAsia="Calibri"/>
                <w:sz w:val="22"/>
                <w:szCs w:val="22"/>
                <w:lang w:eastAsia="en-US"/>
              </w:rPr>
              <w:t>- i</w:t>
            </w:r>
            <w:r w:rsidR="00A079D1" w:rsidRPr="00A079D1">
              <w:rPr>
                <w:rFonts w:eastAsia="Calibri"/>
                <w:sz w:val="22"/>
                <w:szCs w:val="22"/>
                <w:lang w:eastAsia="en-US"/>
              </w:rPr>
              <w:t xml:space="preserve">nformacinės sistemos Terra </w:t>
            </w:r>
            <w:r w:rsidR="003579DA">
              <w:rPr>
                <w:rFonts w:eastAsia="Calibri"/>
                <w:sz w:val="22"/>
                <w:szCs w:val="22"/>
                <w:lang w:eastAsia="en-US"/>
              </w:rPr>
              <w:t>Logistics</w:t>
            </w:r>
            <w:r w:rsidR="00A079D1" w:rsidRPr="00A079D1">
              <w:rPr>
                <w:rFonts w:eastAsia="Calibri"/>
                <w:sz w:val="22"/>
                <w:szCs w:val="22"/>
                <w:lang w:eastAsia="en-US"/>
              </w:rPr>
              <w:t xml:space="preserve"> autori</w:t>
            </w:r>
            <w:r w:rsidR="00A079D1">
              <w:rPr>
                <w:rFonts w:eastAsia="Calibri"/>
                <w:sz w:val="22"/>
                <w:szCs w:val="22"/>
                <w:lang w:eastAsia="en-US"/>
              </w:rPr>
              <w:t>a</w:t>
            </w:r>
            <w:r w:rsidR="00A079D1" w:rsidRPr="00A079D1">
              <w:rPr>
                <w:rFonts w:eastAsia="Calibri"/>
                <w:sz w:val="22"/>
                <w:szCs w:val="22"/>
                <w:lang w:eastAsia="en-US"/>
              </w:rPr>
              <w:t>us (savinink</w:t>
            </w:r>
            <w:r w:rsidR="00A079D1">
              <w:rPr>
                <w:rFonts w:eastAsia="Calibri"/>
                <w:sz w:val="22"/>
                <w:szCs w:val="22"/>
                <w:lang w:eastAsia="en-US"/>
              </w:rPr>
              <w:t>o</w:t>
            </w:r>
            <w:r w:rsidR="00A079D1" w:rsidRPr="00A079D1">
              <w:rPr>
                <w:rFonts w:eastAsia="Calibri"/>
                <w:sz w:val="22"/>
                <w:szCs w:val="22"/>
                <w:lang w:eastAsia="en-US"/>
              </w:rPr>
              <w:t>)</w:t>
            </w:r>
            <w:r w:rsidR="00A079D1">
              <w:rPr>
                <w:rFonts w:eastAsia="Calibri"/>
                <w:sz w:val="22"/>
                <w:szCs w:val="22"/>
                <w:lang w:eastAsia="en-US"/>
              </w:rPr>
              <w:t xml:space="preserve"> raštas ar kt. panašus dokumentas</w:t>
            </w:r>
            <w:r w:rsidR="00F56805">
              <w:rPr>
                <w:rFonts w:eastAsia="Calibri"/>
                <w:sz w:val="22"/>
                <w:szCs w:val="22"/>
                <w:lang w:eastAsia="en-US"/>
              </w:rPr>
              <w:t>,</w:t>
            </w:r>
            <w:r w:rsidR="00A079D1">
              <w:rPr>
                <w:rFonts w:eastAsia="Calibri"/>
                <w:sz w:val="22"/>
                <w:szCs w:val="22"/>
                <w:lang w:eastAsia="en-US"/>
              </w:rPr>
              <w:t xml:space="preserve"> patvirtinantis Tiekėjo </w:t>
            </w:r>
            <w:r w:rsidR="00A079D1" w:rsidRPr="00A079D1">
              <w:rPr>
                <w:rFonts w:eastAsia="Calibri"/>
                <w:sz w:val="22"/>
                <w:szCs w:val="22"/>
                <w:lang w:eastAsia="en-US"/>
              </w:rPr>
              <w:t>teisę atlikti Pirkimo objekte nurodytas Paslaugas.</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 tiekėjas gali remtis kitų ūkio subjektų pajėgumais tik tuomet, kai tie s</w:t>
            </w:r>
            <w:bookmarkStart w:id="3" w:name="_GoBack"/>
            <w:bookmarkEnd w:id="3"/>
            <w:r w:rsidRPr="008013B8">
              <w:rPr>
                <w:rFonts w:eastAsia="Calibri"/>
                <w:i/>
                <w:sz w:val="22"/>
                <w:szCs w:val="22"/>
                <w:lang w:eastAsia="en-US"/>
              </w:rPr>
              <w:t>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1"/>
      <w:tr w:rsidR="00565F32" w:rsidRPr="00565F32" w14:paraId="75CDD1DC" w14:textId="77777777" w:rsidTr="000D5FD5">
        <w:tc>
          <w:tcPr>
            <w:tcW w:w="568" w:type="dxa"/>
            <w:shd w:val="clear" w:color="auto" w:fill="auto"/>
          </w:tcPr>
          <w:p w14:paraId="6924336E" w14:textId="1221FE41" w:rsidR="00277C47" w:rsidRPr="00565F32" w:rsidRDefault="008013B8" w:rsidP="00277C47">
            <w:pPr>
              <w:contextualSpacing/>
              <w:jc w:val="right"/>
              <w:rPr>
                <w:sz w:val="22"/>
                <w:szCs w:val="22"/>
              </w:rPr>
            </w:pPr>
            <w:r>
              <w:rPr>
                <w:sz w:val="22"/>
                <w:szCs w:val="22"/>
              </w:rPr>
              <w:t>2</w:t>
            </w:r>
            <w:r w:rsidR="00277C47" w:rsidRPr="00565F32">
              <w:rPr>
                <w:sz w:val="22"/>
                <w:szCs w:val="22"/>
              </w:rPr>
              <w:t>.</w:t>
            </w:r>
          </w:p>
        </w:tc>
        <w:tc>
          <w:tcPr>
            <w:tcW w:w="4678" w:type="dxa"/>
            <w:shd w:val="clear" w:color="auto" w:fill="auto"/>
          </w:tcPr>
          <w:p w14:paraId="2CD5FA40" w14:textId="55ECD142" w:rsidR="00277C47" w:rsidRPr="00565F32" w:rsidRDefault="00565F32" w:rsidP="003E4072">
            <w:pPr>
              <w:jc w:val="both"/>
              <w:rPr>
                <w:sz w:val="22"/>
                <w:szCs w:val="22"/>
                <w:lang w:eastAsia="en-US"/>
              </w:rPr>
            </w:pPr>
            <w:r w:rsidRPr="00565F32">
              <w:rPr>
                <w:sz w:val="22"/>
                <w:szCs w:val="22"/>
                <w:lang w:eastAsia="en-US"/>
              </w:rPr>
              <w:t xml:space="preserve">Tiekėjas per paskutinius 3 metus iki pasiūlymo pateikimo termino pabaigos pagal vieną ar daugiau sutarčių yra savo jėgomis </w:t>
            </w:r>
            <w:r w:rsidR="00A079D1">
              <w:rPr>
                <w:sz w:val="22"/>
                <w:szCs w:val="22"/>
                <w:lang w:eastAsia="en-US"/>
              </w:rPr>
              <w:t>atlikęs / įvykdęs</w:t>
            </w:r>
            <w:r w:rsidRPr="00565F32">
              <w:rPr>
                <w:sz w:val="22"/>
                <w:szCs w:val="22"/>
                <w:lang w:eastAsia="en-US"/>
              </w:rPr>
              <w:t xml:space="preserve"> panašių P</w:t>
            </w:r>
            <w:r w:rsidR="00A079D1">
              <w:rPr>
                <w:sz w:val="22"/>
                <w:szCs w:val="22"/>
                <w:lang w:eastAsia="en-US"/>
              </w:rPr>
              <w:t>aslaugų</w:t>
            </w:r>
            <w:r w:rsidRPr="00565F32">
              <w:rPr>
                <w:sz w:val="22"/>
                <w:szCs w:val="22"/>
                <w:lang w:eastAsia="en-US"/>
              </w:rPr>
              <w:t xml:space="preserve"> (</w:t>
            </w:r>
            <w:r w:rsidR="00A079D1" w:rsidRPr="00A079D1">
              <w:rPr>
                <w:sz w:val="22"/>
                <w:szCs w:val="22"/>
                <w:lang w:eastAsia="en-US"/>
              </w:rPr>
              <w:t>veiklos valdymo informacinės sistemos vystymo, priežiūros ir</w:t>
            </w:r>
            <w:r w:rsidR="00A079D1">
              <w:rPr>
                <w:sz w:val="22"/>
                <w:szCs w:val="22"/>
                <w:lang w:eastAsia="en-US"/>
              </w:rPr>
              <w:t>/ar</w:t>
            </w:r>
            <w:r w:rsidR="00A079D1" w:rsidRPr="00A079D1">
              <w:rPr>
                <w:sz w:val="22"/>
                <w:szCs w:val="22"/>
                <w:lang w:eastAsia="en-US"/>
              </w:rPr>
              <w:t xml:space="preserve"> aptarnavimo paslaug</w:t>
            </w:r>
            <w:r w:rsidR="00A079D1">
              <w:rPr>
                <w:sz w:val="22"/>
                <w:szCs w:val="22"/>
                <w:lang w:eastAsia="en-US"/>
              </w:rPr>
              <w:t>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kaip </w:t>
            </w:r>
            <w:r w:rsidR="00A079D1">
              <w:rPr>
                <w:sz w:val="22"/>
                <w:szCs w:val="22"/>
                <w:lang w:eastAsia="en-US"/>
              </w:rPr>
              <w:t>21</w:t>
            </w:r>
            <w:r w:rsidRPr="00565F32">
              <w:rPr>
                <w:sz w:val="22"/>
                <w:szCs w:val="22"/>
                <w:lang w:eastAsia="en-US"/>
              </w:rPr>
              <w:t xml:space="preserve"> </w:t>
            </w:r>
            <w:r w:rsidR="00A079D1">
              <w:rPr>
                <w:sz w:val="22"/>
                <w:szCs w:val="22"/>
                <w:lang w:eastAsia="en-US"/>
              </w:rPr>
              <w:t>0</w:t>
            </w:r>
            <w:r w:rsidRPr="00565F32">
              <w:rPr>
                <w:sz w:val="22"/>
                <w:szCs w:val="22"/>
                <w:lang w:eastAsia="en-US"/>
              </w:rPr>
              <w:t>00,00 Eur be</w:t>
            </w:r>
            <w:r>
              <w:rPr>
                <w:sz w:val="22"/>
                <w:szCs w:val="22"/>
                <w:lang w:eastAsia="en-US"/>
              </w:rPr>
              <w:t xml:space="preserve"> PVM.</w:t>
            </w:r>
          </w:p>
        </w:tc>
        <w:tc>
          <w:tcPr>
            <w:tcW w:w="4819" w:type="dxa"/>
            <w:shd w:val="clear" w:color="auto" w:fill="auto"/>
          </w:tcPr>
          <w:p w14:paraId="27C07AB7" w14:textId="6ADC7A9F"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 xml:space="preserve">er paskutinius 3 metus iki pasiūlymo pateikimo termino pabaigos </w:t>
            </w:r>
            <w:r w:rsidR="00A079D1" w:rsidRPr="00A079D1">
              <w:rPr>
                <w:rFonts w:eastAsia="Calibri"/>
                <w:sz w:val="22"/>
                <w:szCs w:val="22"/>
                <w:lang w:eastAsia="en-US"/>
              </w:rPr>
              <w:t>atlik</w:t>
            </w:r>
            <w:r w:rsidR="00A079D1">
              <w:rPr>
                <w:rFonts w:eastAsia="Calibri"/>
                <w:sz w:val="22"/>
                <w:szCs w:val="22"/>
                <w:lang w:eastAsia="en-US"/>
              </w:rPr>
              <w:t>tų</w:t>
            </w:r>
            <w:r w:rsidR="00A079D1" w:rsidRPr="00A079D1">
              <w:rPr>
                <w:rFonts w:eastAsia="Calibri"/>
                <w:sz w:val="22"/>
                <w:szCs w:val="22"/>
                <w:lang w:eastAsia="en-US"/>
              </w:rPr>
              <w:t xml:space="preserve"> / įvykd</w:t>
            </w:r>
            <w:r w:rsidR="00A079D1">
              <w:rPr>
                <w:rFonts w:eastAsia="Calibri"/>
                <w:sz w:val="22"/>
                <w:szCs w:val="22"/>
                <w:lang w:eastAsia="en-US"/>
              </w:rPr>
              <w:t>ytų</w:t>
            </w:r>
            <w:r w:rsidRPr="00565F32">
              <w:rPr>
                <w:rFonts w:eastAsia="Calibri"/>
                <w:sz w:val="22"/>
                <w:szCs w:val="22"/>
                <w:lang w:eastAsia="en-US"/>
              </w:rPr>
              <w:t xml:space="preserve"> P</w:t>
            </w:r>
            <w:r w:rsidR="00A079D1">
              <w:rPr>
                <w:rFonts w:eastAsia="Calibri"/>
                <w:sz w:val="22"/>
                <w:szCs w:val="22"/>
                <w:lang w:eastAsia="en-US"/>
              </w:rPr>
              <w:t>aslaugų</w:t>
            </w:r>
            <w:r w:rsidRPr="00565F32">
              <w:rPr>
                <w:rFonts w:eastAsia="Calibri"/>
                <w:sz w:val="22"/>
                <w:szCs w:val="22"/>
                <w:lang w:eastAsia="en-US"/>
              </w:rPr>
              <w:t xml:space="preserve"> sąraš</w:t>
            </w:r>
            <w:r>
              <w:rPr>
                <w:rFonts w:eastAsia="Calibri"/>
                <w:sz w:val="22"/>
                <w:szCs w:val="22"/>
                <w:lang w:eastAsia="en-US"/>
              </w:rPr>
              <w:t>as</w:t>
            </w:r>
            <w:r w:rsidRPr="00565F32">
              <w:rPr>
                <w:rFonts w:eastAsia="Calibri"/>
                <w:sz w:val="22"/>
                <w:szCs w:val="22"/>
                <w:lang w:eastAsia="en-US"/>
              </w:rPr>
              <w:t>, kuriame nurodytos P</w:t>
            </w:r>
            <w:r w:rsidR="00A079D1">
              <w:rPr>
                <w:rFonts w:eastAsia="Calibri"/>
                <w:sz w:val="22"/>
                <w:szCs w:val="22"/>
                <w:lang w:eastAsia="en-US"/>
              </w:rPr>
              <w:t>aslaugų</w:t>
            </w:r>
            <w:r w:rsidRPr="00565F32">
              <w:rPr>
                <w:rFonts w:eastAsia="Calibri"/>
                <w:sz w:val="22"/>
                <w:szCs w:val="22"/>
                <w:lang w:eastAsia="en-US"/>
              </w:rPr>
              <w:t xml:space="preserve"> bendros sumos, datos ir </w:t>
            </w:r>
            <w:r>
              <w:rPr>
                <w:rFonts w:eastAsia="Calibri"/>
                <w:sz w:val="22"/>
                <w:szCs w:val="22"/>
                <w:lang w:eastAsia="en-US"/>
              </w:rPr>
              <w:t>P</w:t>
            </w:r>
            <w:r w:rsidR="00A079D1">
              <w:rPr>
                <w:rFonts w:eastAsia="Calibri"/>
                <w:sz w:val="22"/>
                <w:szCs w:val="22"/>
                <w:lang w:eastAsia="en-US"/>
              </w:rPr>
              <w:t>aslaugų</w:t>
            </w:r>
            <w:r w:rsidRPr="00565F32">
              <w:rPr>
                <w:rFonts w:eastAsia="Calibri"/>
                <w:sz w:val="22"/>
                <w:szCs w:val="22"/>
                <w:lang w:eastAsia="en-US"/>
              </w:rPr>
              <w:t xml:space="preserve"> gavėjai (tiek viešieji, tiek privatieji),</w:t>
            </w:r>
          </w:p>
          <w:p w14:paraId="1E307E9F" w14:textId="28784F23"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w:t>
            </w:r>
            <w:r w:rsidR="00A079D1">
              <w:rPr>
                <w:rFonts w:eastAsia="Calibri"/>
                <w:sz w:val="22"/>
                <w:szCs w:val="22"/>
                <w:lang w:eastAsia="en-US"/>
              </w:rPr>
              <w:t>aslaugų</w:t>
            </w:r>
            <w:r w:rsidRPr="00565F32">
              <w:rPr>
                <w:rFonts w:eastAsia="Calibri"/>
                <w:sz w:val="22"/>
                <w:szCs w:val="22"/>
                <w:lang w:eastAsia="en-US"/>
              </w:rPr>
              <w:t xml:space="preserve"> gavėjo pažyma (-os) apie tinkamai įvykdytas ankstesnes sutartis. Pažymose turi būti nurodytos P</w:t>
            </w:r>
            <w:r w:rsidR="00A079D1">
              <w:rPr>
                <w:rFonts w:eastAsia="Calibri"/>
                <w:sz w:val="22"/>
                <w:szCs w:val="22"/>
                <w:lang w:eastAsia="en-US"/>
              </w:rPr>
              <w:t>aslaugų</w:t>
            </w:r>
            <w:r w:rsidRPr="00565F32">
              <w:rPr>
                <w:rFonts w:eastAsia="Calibri"/>
                <w:sz w:val="22"/>
                <w:szCs w:val="22"/>
                <w:lang w:eastAsia="en-US"/>
              </w:rPr>
              <w:t xml:space="preserve"> bendros sumos, datos ir vieta, informacija, ar P</w:t>
            </w:r>
            <w:r w:rsidR="00A079D1">
              <w:rPr>
                <w:rFonts w:eastAsia="Calibri"/>
                <w:sz w:val="22"/>
                <w:szCs w:val="22"/>
                <w:lang w:eastAsia="en-US"/>
              </w:rPr>
              <w:t>aslaugos</w:t>
            </w:r>
            <w:r w:rsidRPr="00565F32">
              <w:rPr>
                <w:rFonts w:eastAsia="Calibri"/>
                <w:sz w:val="22"/>
                <w:szCs w:val="22"/>
                <w:lang w:eastAsia="en-US"/>
              </w:rPr>
              <w:t xml:space="preserve"> buvo </w:t>
            </w:r>
            <w:r w:rsidR="00A079D1">
              <w:rPr>
                <w:rFonts w:eastAsia="Calibri"/>
                <w:sz w:val="22"/>
                <w:szCs w:val="22"/>
                <w:lang w:eastAsia="en-US"/>
              </w:rPr>
              <w:t>atliktos / įvykdytos</w:t>
            </w:r>
            <w:r w:rsidRPr="00565F32">
              <w:rPr>
                <w:rFonts w:eastAsia="Calibri"/>
                <w:sz w:val="22"/>
                <w:szCs w:val="22"/>
                <w:lang w:eastAsia="en-US"/>
              </w:rPr>
              <w:t xml:space="preserve"> pagal pirkimo sutarties vykdymą reglamentuojančių teisės aktų bei pirkimo sutarties reikalavimus.</w:t>
            </w:r>
          </w:p>
          <w:p w14:paraId="45765FD2" w14:textId="0ADCBD15"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w:t>
            </w:r>
            <w:r w:rsidR="00A079D1">
              <w:rPr>
                <w:rFonts w:eastAsia="Calibri"/>
                <w:sz w:val="22"/>
                <w:szCs w:val="22"/>
                <w:lang w:eastAsia="en-US"/>
              </w:rPr>
              <w:t>aslaugų</w:t>
            </w:r>
            <w:r w:rsidRPr="00565F32">
              <w:rPr>
                <w:rFonts w:eastAsia="Calibri"/>
                <w:sz w:val="22"/>
                <w:szCs w:val="22"/>
                <w:lang w:eastAsia="en-US"/>
              </w:rPr>
              <w:t xml:space="preserve">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406B26B2"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tiekėjas teikia deklaraciją, jis turi nurodyti pagrįstas priežastis, kodėl negali pateikti pažymos, ir deklaruoti, kad sutartis įvykdyta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t>Pastabos</w:t>
            </w:r>
            <w:r w:rsidR="00565F32" w:rsidRPr="00565F32">
              <w:rPr>
                <w:rStyle w:val="Hipersaitas"/>
                <w:bCs/>
                <w:i/>
                <w:color w:val="auto"/>
                <w:sz w:val="22"/>
                <w:szCs w:val="22"/>
                <w:u w:val="none"/>
              </w:rPr>
              <w:t>:</w:t>
            </w:r>
          </w:p>
          <w:p w14:paraId="64330D3E" w14:textId="4EDFD525"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p>
          <w:p w14:paraId="2FEBF77B" w14:textId="1F0A39A3"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w:t>
            </w:r>
            <w:r w:rsidR="0024705B">
              <w:rPr>
                <w:rStyle w:val="Hipersaitas"/>
                <w:bCs/>
                <w:i/>
                <w:color w:val="auto"/>
                <w:sz w:val="22"/>
                <w:szCs w:val="22"/>
                <w:u w:val="none"/>
              </w:rPr>
              <w:t>oms</w:t>
            </w:r>
            <w:r w:rsidRPr="00545227">
              <w:rPr>
                <w:rStyle w:val="Hipersaitas"/>
                <w:bCs/>
                <w:i/>
                <w:color w:val="auto"/>
                <w:sz w:val="22"/>
                <w:szCs w:val="22"/>
                <w:u w:val="none"/>
              </w:rPr>
              <w:t xml:space="preserve">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71FA12CE"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w:t>
            </w:r>
            <w:r w:rsidR="0024705B">
              <w:rPr>
                <w:i/>
                <w:sz w:val="22"/>
                <w:szCs w:val="22"/>
              </w:rPr>
              <w:t>os</w:t>
            </w:r>
            <w:r w:rsidRPr="00545227">
              <w:rPr>
                <w:i/>
                <w:sz w:val="22"/>
                <w:szCs w:val="22"/>
              </w:rPr>
              <w:t xml:space="preserve"> būtent konkretaus tiekėjo, dalyvaujančio viešajame pirkime, </w:t>
            </w:r>
            <w:r w:rsidR="0024705B">
              <w:rPr>
                <w:i/>
                <w:sz w:val="22"/>
                <w:szCs w:val="22"/>
              </w:rPr>
              <w:t>atliktos paslaugos</w:t>
            </w:r>
            <w:r w:rsidRPr="00545227">
              <w:rPr>
                <w:i/>
                <w:sz w:val="22"/>
                <w:szCs w:val="22"/>
              </w:rPr>
              <w:t>, jų apimtis, vertė, o ne visas vykdytos sutarties objektas.</w:t>
            </w:r>
          </w:p>
        </w:tc>
      </w:tr>
    </w:tbl>
    <w:bookmarkEnd w:id="2"/>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4705B"/>
    <w:rsid w:val="00257311"/>
    <w:rsid w:val="00263FEB"/>
    <w:rsid w:val="00276761"/>
    <w:rsid w:val="00277C47"/>
    <w:rsid w:val="002C1DA8"/>
    <w:rsid w:val="002E54D1"/>
    <w:rsid w:val="002F0F26"/>
    <w:rsid w:val="0032539C"/>
    <w:rsid w:val="0032758A"/>
    <w:rsid w:val="003535B3"/>
    <w:rsid w:val="003579DA"/>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AF2"/>
    <w:rsid w:val="00544B46"/>
    <w:rsid w:val="00546DC7"/>
    <w:rsid w:val="00565F32"/>
    <w:rsid w:val="00586DCB"/>
    <w:rsid w:val="00594F3F"/>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76BFA"/>
    <w:rsid w:val="008D0926"/>
    <w:rsid w:val="009157AD"/>
    <w:rsid w:val="009A5A66"/>
    <w:rsid w:val="009D00E6"/>
    <w:rsid w:val="00A079D1"/>
    <w:rsid w:val="00A13AFF"/>
    <w:rsid w:val="00A277A1"/>
    <w:rsid w:val="00A32586"/>
    <w:rsid w:val="00A73D1F"/>
    <w:rsid w:val="00A763FA"/>
    <w:rsid w:val="00AA0E3B"/>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D63FC"/>
    <w:rsid w:val="00DF751D"/>
    <w:rsid w:val="00E3065B"/>
    <w:rsid w:val="00E3534F"/>
    <w:rsid w:val="00E42BF1"/>
    <w:rsid w:val="00E47599"/>
    <w:rsid w:val="00E6645C"/>
    <w:rsid w:val="00EA32E4"/>
    <w:rsid w:val="00EE0CCE"/>
    <w:rsid w:val="00EF2A14"/>
    <w:rsid w:val="00F105CE"/>
    <w:rsid w:val="00F41E7F"/>
    <w:rsid w:val="00F56805"/>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2CD5-DA8E-43E3-9828-1E137E87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7</Pages>
  <Words>3639</Words>
  <Characters>20746</Characters>
  <Application>Microsoft Office Word</Application>
  <DocSecurity>0</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78</cp:revision>
  <dcterms:created xsi:type="dcterms:W3CDTF">2022-01-07T06:04:00Z</dcterms:created>
  <dcterms:modified xsi:type="dcterms:W3CDTF">2025-01-27T08:42:00Z</dcterms:modified>
</cp:coreProperties>
</file>