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302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153CF" w:rsidRDefault="00A25275" w:rsidP="00A25275">
            <w:pPr>
              <w:pStyle w:val="NoSpacing"/>
              <w:jc w:val="both"/>
              <w:rPr>
                <w:rFonts w:ascii="Verdana" w:hAnsi="Verdana" w:cstheme="minorHAnsi"/>
                <w:bCs/>
                <w:sz w:val="22"/>
                <w:szCs w:val="22"/>
                <w:lang w:eastAsia="en-US"/>
              </w:rPr>
            </w:pPr>
            <w:r w:rsidRPr="005B3A63">
              <w:rPr>
                <w:rFonts w:ascii="Verdana" w:hAnsi="Verdana"/>
                <w:sz w:val="22"/>
                <w:szCs w:val="22"/>
              </w:rPr>
              <w:t xml:space="preserve">2) </w:t>
            </w:r>
            <w:r w:rsidR="00F07DA7" w:rsidRPr="00F153CF">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694C8AA7" w14:textId="410A73E5" w:rsidR="00A25275" w:rsidRPr="009B34CE" w:rsidRDefault="00051F75" w:rsidP="0018302F">
            <w:pPr>
              <w:spacing w:after="0" w:line="240" w:lineRule="auto"/>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padalinys, per pastaruosius 5 metus buvo priimtas ir </w:t>
            </w:r>
            <w:r w:rsidR="005B3A63" w:rsidRPr="005B3A63">
              <w:rPr>
                <w:rFonts w:ascii="Verdana" w:hAnsi="Verdana" w:cstheme="minorHAnsi"/>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w:t>
            </w:r>
            <w:r w:rsidRPr="0018302F">
              <w:rPr>
                <w:rFonts w:ascii="Verdana" w:hAnsi="Verdana"/>
                <w:i/>
                <w:iCs/>
                <w:color w:val="000000" w:themeColor="text1"/>
                <w:sz w:val="22"/>
                <w:szCs w:val="22"/>
              </w:rPr>
              <w:lastRenderedPageBreak/>
              <w:t xml:space="preserve">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18302F">
              <w:rPr>
                <w:rFonts w:ascii="Verdana" w:hAnsi="Verdana" w:cstheme="minorHAnsi"/>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2">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18302F">
              <w:rPr>
                <w:rFonts w:ascii="Verdana" w:hAnsi="Verdana"/>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w:t>
            </w:r>
            <w:r w:rsidRPr="0018302F">
              <w:rPr>
                <w:rFonts w:ascii="Verdana" w:hAnsi="Verdana"/>
                <w:b/>
                <w:bCs/>
                <w:sz w:val="22"/>
                <w:szCs w:val="22"/>
              </w:rPr>
              <w:lastRenderedPageBreak/>
              <w:t xml:space="preserve">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3"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padaręs rimtą profesinį pažeidimą, dėl kurio perkančioji organizacija abejoja </w:t>
            </w:r>
            <w:r w:rsidRPr="0018302F">
              <w:rPr>
                <w:rFonts w:ascii="Verdana" w:hAnsi="Verdana"/>
                <w:sz w:val="22"/>
                <w:szCs w:val="22"/>
              </w:rPr>
              <w:lastRenderedPageBreak/>
              <w:t>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 xml:space="preserve">Iš Lietuvoje įsteigtų subjektų įrodančių dokumentų nereikalaujama. Užtenka pateikto EBVPD. </w:t>
            </w:r>
            <w:r w:rsidRPr="0018302F">
              <w:rPr>
                <w:rFonts w:ascii="Verdana" w:hAnsi="Verdana"/>
                <w:sz w:val="22"/>
                <w:szCs w:val="22"/>
              </w:rPr>
              <w:t xml:space="preserve">Priimant sprendimus dėl tiekėjo </w:t>
            </w:r>
            <w:r w:rsidRPr="0018302F">
              <w:rPr>
                <w:rFonts w:ascii="Verdana" w:hAnsi="Verdana"/>
                <w:sz w:val="22"/>
                <w:szCs w:val="22"/>
              </w:rPr>
              <w:lastRenderedPageBreak/>
              <w:t>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6"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8"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 xml:space="preserve">Tiekėjas yra padaręs rimtą profesinį pažeidimą (išskyrus VPĮ 46 straipsnio 4 dalies 7 punkte nurodytą pažeidimą), dėl kurio perkančioji organizacija abejoja </w:t>
            </w:r>
            <w:r w:rsidRPr="009B34CE">
              <w:rPr>
                <w:rFonts w:ascii="Verdana" w:hAnsi="Verdana"/>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lastRenderedPageBreak/>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lastRenderedPageBreak/>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3422" w14:textId="77777777" w:rsidR="0082111C" w:rsidRDefault="0082111C" w:rsidP="00D05666">
      <w:r>
        <w:separator/>
      </w:r>
    </w:p>
  </w:endnote>
  <w:endnote w:type="continuationSeparator" w:id="0">
    <w:p w14:paraId="55AC7BB4" w14:textId="77777777" w:rsidR="0082111C" w:rsidRDefault="0082111C" w:rsidP="00D05666">
      <w:r>
        <w:continuationSeparator/>
      </w:r>
    </w:p>
  </w:endnote>
  <w:endnote w:type="continuationNotice" w:id="1">
    <w:p w14:paraId="43543502" w14:textId="77777777" w:rsidR="0082111C" w:rsidRDefault="00821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2D06E" w14:textId="77777777" w:rsidR="0082111C" w:rsidRDefault="0082111C" w:rsidP="00D05666">
      <w:r>
        <w:separator/>
      </w:r>
    </w:p>
  </w:footnote>
  <w:footnote w:type="continuationSeparator" w:id="0">
    <w:p w14:paraId="55BAFB58" w14:textId="77777777" w:rsidR="0082111C" w:rsidRDefault="0082111C" w:rsidP="00D05666">
      <w:r>
        <w:continuationSeparator/>
      </w:r>
    </w:p>
  </w:footnote>
  <w:footnote w:type="continuationNotice" w:id="1">
    <w:p w14:paraId="7550F51E" w14:textId="77777777" w:rsidR="0082111C" w:rsidRDefault="0082111C">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8</cp:revision>
  <dcterms:created xsi:type="dcterms:W3CDTF">2024-04-15T09:56:00Z</dcterms:created>
  <dcterms:modified xsi:type="dcterms:W3CDTF">2024-10-03T07:20:00Z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