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F6FE" w14:textId="676C142D" w:rsidR="0083104B" w:rsidRPr="00F07975" w:rsidRDefault="00D90030" w:rsidP="0083104B">
      <w:pPr>
        <w:pStyle w:val="Default"/>
      </w:pPr>
      <w:r>
        <w:t xml:space="preserve">                                                                                                                                Priedas Nr. </w:t>
      </w:r>
      <w:r w:rsidR="00B63737">
        <w:t>2</w:t>
      </w:r>
      <w:r>
        <w:t xml:space="preserve"> </w:t>
      </w:r>
    </w:p>
    <w:p w14:paraId="36A53F3C" w14:textId="77777777" w:rsidR="00D90030" w:rsidRDefault="00D90030" w:rsidP="0083104B">
      <w:pPr>
        <w:pStyle w:val="Default"/>
        <w:jc w:val="center"/>
        <w:rPr>
          <w:b/>
          <w:bCs/>
          <w:color w:val="auto"/>
        </w:rPr>
      </w:pPr>
    </w:p>
    <w:p w14:paraId="33E59E6E" w14:textId="77777777" w:rsidR="00D90030" w:rsidRDefault="00D90030" w:rsidP="0083104B">
      <w:pPr>
        <w:pStyle w:val="Default"/>
        <w:jc w:val="center"/>
        <w:rPr>
          <w:b/>
          <w:bCs/>
          <w:color w:val="auto"/>
        </w:rPr>
      </w:pPr>
    </w:p>
    <w:p w14:paraId="6B443AD9" w14:textId="3389433F" w:rsidR="0083104B" w:rsidRPr="00777672" w:rsidRDefault="0083104B" w:rsidP="0083104B">
      <w:pPr>
        <w:pStyle w:val="Default"/>
        <w:jc w:val="center"/>
        <w:rPr>
          <w:color w:val="auto"/>
        </w:rPr>
      </w:pPr>
      <w:r w:rsidRPr="00777672">
        <w:rPr>
          <w:b/>
          <w:bCs/>
          <w:color w:val="auto"/>
        </w:rPr>
        <w:t>PU</w:t>
      </w:r>
      <w:r w:rsidR="00591FBD">
        <w:rPr>
          <w:b/>
          <w:bCs/>
          <w:color w:val="auto"/>
        </w:rPr>
        <w:t>TOKŠLIO</w:t>
      </w:r>
      <w:r w:rsidRPr="00777672">
        <w:rPr>
          <w:b/>
          <w:bCs/>
          <w:color w:val="auto"/>
        </w:rPr>
        <w:t xml:space="preserve"> GAISRŲ GESINIMUI</w:t>
      </w:r>
    </w:p>
    <w:p w14:paraId="33928919" w14:textId="77777777" w:rsidR="0083104B" w:rsidRPr="00777672" w:rsidRDefault="0083104B" w:rsidP="0083104B">
      <w:pPr>
        <w:pStyle w:val="Default"/>
        <w:jc w:val="center"/>
        <w:rPr>
          <w:b/>
          <w:bCs/>
          <w:color w:val="auto"/>
        </w:rPr>
      </w:pPr>
      <w:r w:rsidRPr="00777672">
        <w:rPr>
          <w:b/>
          <w:bCs/>
          <w:color w:val="auto"/>
        </w:rPr>
        <w:t>TECHNINĖ SPECIFIKACIJA</w:t>
      </w:r>
    </w:p>
    <w:p w14:paraId="17A25E13" w14:textId="77777777" w:rsidR="0083104B" w:rsidRPr="00777672" w:rsidRDefault="0083104B" w:rsidP="0083104B">
      <w:pPr>
        <w:pStyle w:val="Default"/>
        <w:jc w:val="center"/>
        <w:rPr>
          <w:color w:val="auto"/>
          <w:sz w:val="23"/>
          <w:szCs w:val="23"/>
        </w:rPr>
      </w:pPr>
    </w:p>
    <w:p w14:paraId="25D6119E" w14:textId="614FCCC6" w:rsidR="0083104B" w:rsidRPr="00777672" w:rsidRDefault="00F5523E" w:rsidP="00F5523E">
      <w:pPr>
        <w:pStyle w:val="Default"/>
        <w:tabs>
          <w:tab w:val="left" w:pos="993"/>
          <w:tab w:val="left" w:pos="1560"/>
        </w:tabs>
        <w:ind w:firstLine="360"/>
        <w:jc w:val="both"/>
        <w:rPr>
          <w:color w:val="auto"/>
        </w:rPr>
      </w:pPr>
      <w:r w:rsidRPr="00777672">
        <w:rPr>
          <w:color w:val="auto"/>
        </w:rPr>
        <w:t>1. P</w:t>
      </w:r>
      <w:r w:rsidR="0083104B" w:rsidRPr="00777672">
        <w:rPr>
          <w:color w:val="auto"/>
        </w:rPr>
        <w:t xml:space="preserve">utų koncentratas </w:t>
      </w:r>
      <w:r w:rsidRPr="00777672">
        <w:rPr>
          <w:color w:val="auto"/>
        </w:rPr>
        <w:t xml:space="preserve">gaisrų gesinimui (toliau – </w:t>
      </w:r>
      <w:r w:rsidR="00C0472E">
        <w:rPr>
          <w:color w:val="auto"/>
        </w:rPr>
        <w:t>putokšlis</w:t>
      </w:r>
      <w:r w:rsidR="002074F4">
        <w:rPr>
          <w:color w:val="auto"/>
        </w:rPr>
        <w:t>)</w:t>
      </w:r>
      <w:r w:rsidRPr="00777672">
        <w:rPr>
          <w:color w:val="auto"/>
        </w:rPr>
        <w:t xml:space="preserve"> </w:t>
      </w:r>
      <w:r w:rsidR="0083104B" w:rsidRPr="00777672">
        <w:rPr>
          <w:color w:val="auto"/>
        </w:rPr>
        <w:t xml:space="preserve">turi būti skirtas naudoti valstybinėje priešgaisrinėje gelbėjimo tarnyboje, </w:t>
      </w:r>
      <w:r w:rsidR="002D1BC1" w:rsidRPr="00777672">
        <w:rPr>
          <w:color w:val="auto"/>
        </w:rPr>
        <w:t>gesinti ne mažiau kaip</w:t>
      </w:r>
      <w:r w:rsidR="00621EC1" w:rsidRPr="00777672">
        <w:rPr>
          <w:color w:val="auto"/>
        </w:rPr>
        <w:t xml:space="preserve"> A ir </w:t>
      </w:r>
      <w:r w:rsidR="002D1BC1" w:rsidRPr="00777672">
        <w:rPr>
          <w:color w:val="auto"/>
        </w:rPr>
        <w:t xml:space="preserve">B klasės gaisrus </w:t>
      </w:r>
      <w:r w:rsidR="0083104B" w:rsidRPr="00777672">
        <w:rPr>
          <w:color w:val="auto"/>
        </w:rPr>
        <w:t>pagal LST EN 1568</w:t>
      </w:r>
      <w:r w:rsidR="00CC59CD" w:rsidRPr="00777672">
        <w:rPr>
          <w:color w:val="auto"/>
        </w:rPr>
        <w:t xml:space="preserve"> standarto serijos arba lygiaverčius reikalavimus</w:t>
      </w:r>
      <w:r w:rsidR="000E1644" w:rsidRPr="00777672">
        <w:rPr>
          <w:color w:val="auto"/>
        </w:rPr>
        <w:t>.</w:t>
      </w:r>
    </w:p>
    <w:p w14:paraId="206E9F1C" w14:textId="46F8FC0E" w:rsidR="0083104B" w:rsidRPr="00777672" w:rsidRDefault="00F5523E" w:rsidP="00F5523E">
      <w:pPr>
        <w:pStyle w:val="Default"/>
        <w:numPr>
          <w:ilvl w:val="0"/>
          <w:numId w:val="2"/>
        </w:numPr>
        <w:tabs>
          <w:tab w:val="left" w:pos="993"/>
          <w:tab w:val="left" w:pos="1560"/>
        </w:tabs>
        <w:ind w:left="709" w:hanging="283"/>
        <w:jc w:val="both"/>
        <w:rPr>
          <w:color w:val="auto"/>
        </w:rPr>
      </w:pPr>
      <w:r w:rsidRPr="00777672">
        <w:rPr>
          <w:color w:val="auto"/>
        </w:rPr>
        <w:t xml:space="preserve">Techniniai reikalavimai, kuriuos turi atitikti </w:t>
      </w:r>
      <w:r w:rsidR="00C0472E">
        <w:rPr>
          <w:color w:val="auto"/>
        </w:rPr>
        <w:t>putokšlis</w:t>
      </w:r>
      <w:r w:rsidRPr="00777672">
        <w:rPr>
          <w:color w:val="auto"/>
        </w:rPr>
        <w:t xml:space="preserve">: </w:t>
      </w:r>
    </w:p>
    <w:p w14:paraId="3D5D0F9D" w14:textId="7F82E579" w:rsidR="00CC59CD" w:rsidRPr="00777672" w:rsidRDefault="00F5523E" w:rsidP="002D1BC1">
      <w:pPr>
        <w:pStyle w:val="Default"/>
        <w:numPr>
          <w:ilvl w:val="1"/>
          <w:numId w:val="2"/>
        </w:numPr>
        <w:tabs>
          <w:tab w:val="left" w:pos="993"/>
          <w:tab w:val="left" w:pos="1560"/>
        </w:tabs>
        <w:ind w:left="0" w:firstLine="426"/>
        <w:jc w:val="both"/>
        <w:rPr>
          <w:color w:val="auto"/>
        </w:rPr>
      </w:pPr>
      <w:r w:rsidRPr="00777672">
        <w:rPr>
          <w:color w:val="auto"/>
        </w:rPr>
        <w:t xml:space="preserve"> </w:t>
      </w:r>
      <w:r w:rsidR="00C0472E">
        <w:rPr>
          <w:color w:val="auto"/>
        </w:rPr>
        <w:t>putokšlis</w:t>
      </w:r>
      <w:r w:rsidR="0083104B" w:rsidRPr="00777672">
        <w:rPr>
          <w:color w:val="auto"/>
        </w:rPr>
        <w:t xml:space="preserve"> turi būti </w:t>
      </w:r>
      <w:r w:rsidR="000E1644" w:rsidRPr="00777672">
        <w:rPr>
          <w:color w:val="auto"/>
        </w:rPr>
        <w:t>skirtas</w:t>
      </w:r>
      <w:r w:rsidR="002D1BC1" w:rsidRPr="00777672">
        <w:rPr>
          <w:color w:val="auto"/>
        </w:rPr>
        <w:t xml:space="preserve"> mažo</w:t>
      </w:r>
      <w:r w:rsidR="009D1116" w:rsidRPr="00777672">
        <w:rPr>
          <w:color w:val="auto"/>
        </w:rPr>
        <w:t>,</w:t>
      </w:r>
      <w:r w:rsidR="002D1BC1" w:rsidRPr="00777672">
        <w:rPr>
          <w:color w:val="auto"/>
        </w:rPr>
        <w:t xml:space="preserve"> vidutinio</w:t>
      </w:r>
      <w:r w:rsidR="009D1116" w:rsidRPr="00777672">
        <w:rPr>
          <w:color w:val="auto"/>
        </w:rPr>
        <w:t xml:space="preserve"> ir aukšto</w:t>
      </w:r>
      <w:r w:rsidR="002D1BC1" w:rsidRPr="00777672">
        <w:rPr>
          <w:color w:val="auto"/>
        </w:rPr>
        <w:t xml:space="preserve"> putumo</w:t>
      </w:r>
      <w:r w:rsidR="0083104B" w:rsidRPr="00777672">
        <w:rPr>
          <w:color w:val="auto"/>
        </w:rPr>
        <w:t xml:space="preserve"> (kartotinumo) putoms generuoti</w:t>
      </w:r>
      <w:r w:rsidRPr="00777672">
        <w:rPr>
          <w:color w:val="auto"/>
        </w:rPr>
        <w:t xml:space="preserve"> (turi </w:t>
      </w:r>
      <w:r w:rsidR="001A317E" w:rsidRPr="00777672">
        <w:rPr>
          <w:color w:val="auto"/>
        </w:rPr>
        <w:t xml:space="preserve">atitikti </w:t>
      </w:r>
      <w:r w:rsidRPr="00777672">
        <w:rPr>
          <w:color w:val="auto"/>
        </w:rPr>
        <w:t xml:space="preserve">galiojančio </w:t>
      </w:r>
      <w:r w:rsidR="0083104B" w:rsidRPr="00777672">
        <w:rPr>
          <w:color w:val="auto"/>
        </w:rPr>
        <w:t xml:space="preserve">LST EN 1568 </w:t>
      </w:r>
      <w:r w:rsidR="001A317E" w:rsidRPr="00777672">
        <w:rPr>
          <w:color w:val="auto"/>
        </w:rPr>
        <w:t xml:space="preserve">standarto </w:t>
      </w:r>
      <w:r w:rsidRPr="008F64AE">
        <w:rPr>
          <w:color w:val="auto"/>
        </w:rPr>
        <w:t>1</w:t>
      </w:r>
      <w:r w:rsidR="002C059F" w:rsidRPr="008F64AE">
        <w:rPr>
          <w:color w:val="auto"/>
        </w:rPr>
        <w:t xml:space="preserve">, </w:t>
      </w:r>
      <w:r w:rsidR="009D1116" w:rsidRPr="008F64AE">
        <w:rPr>
          <w:color w:val="auto"/>
        </w:rPr>
        <w:t>2</w:t>
      </w:r>
      <w:r w:rsidR="002C059F" w:rsidRPr="008F64AE">
        <w:rPr>
          <w:color w:val="auto"/>
        </w:rPr>
        <w:t xml:space="preserve"> ir</w:t>
      </w:r>
      <w:r w:rsidR="002717D8" w:rsidRPr="008F64AE">
        <w:rPr>
          <w:color w:val="auto"/>
        </w:rPr>
        <w:t xml:space="preserve"> </w:t>
      </w:r>
      <w:r w:rsidR="00205B38" w:rsidRPr="008F64AE">
        <w:rPr>
          <w:color w:val="auto"/>
        </w:rPr>
        <w:t>3</w:t>
      </w:r>
      <w:r w:rsidR="002C059F" w:rsidRPr="008F64AE">
        <w:rPr>
          <w:color w:val="auto"/>
        </w:rPr>
        <w:t xml:space="preserve"> </w:t>
      </w:r>
      <w:r w:rsidRPr="008F64AE">
        <w:rPr>
          <w:color w:val="auto"/>
        </w:rPr>
        <w:t>dali</w:t>
      </w:r>
      <w:r w:rsidR="002C059F" w:rsidRPr="008F64AE">
        <w:rPr>
          <w:color w:val="auto"/>
        </w:rPr>
        <w:t>ų</w:t>
      </w:r>
      <w:r w:rsidRPr="008F64AE">
        <w:rPr>
          <w:color w:val="auto"/>
        </w:rPr>
        <w:t xml:space="preserve"> </w:t>
      </w:r>
      <w:r w:rsidRPr="00777672">
        <w:rPr>
          <w:color w:val="auto"/>
        </w:rPr>
        <w:t>arba jiems</w:t>
      </w:r>
      <w:r w:rsidR="0083104B" w:rsidRPr="00777672">
        <w:rPr>
          <w:color w:val="auto"/>
        </w:rPr>
        <w:t xml:space="preserve"> lygiaverči</w:t>
      </w:r>
      <w:r w:rsidRPr="00777672">
        <w:rPr>
          <w:color w:val="auto"/>
        </w:rPr>
        <w:t>ų</w:t>
      </w:r>
      <w:r w:rsidR="0083104B" w:rsidRPr="00777672">
        <w:rPr>
          <w:color w:val="auto"/>
        </w:rPr>
        <w:t xml:space="preserve"> </w:t>
      </w:r>
      <w:r w:rsidR="001A317E" w:rsidRPr="00777672">
        <w:rPr>
          <w:color w:val="auto"/>
        </w:rPr>
        <w:t>reik</w:t>
      </w:r>
      <w:r w:rsidR="0083104B" w:rsidRPr="00777672">
        <w:rPr>
          <w:color w:val="auto"/>
        </w:rPr>
        <w:t>a</w:t>
      </w:r>
      <w:r w:rsidR="001A317E" w:rsidRPr="00777672">
        <w:rPr>
          <w:color w:val="auto"/>
        </w:rPr>
        <w:t>la</w:t>
      </w:r>
      <w:r w:rsidR="0083104B" w:rsidRPr="00777672">
        <w:rPr>
          <w:color w:val="auto"/>
        </w:rPr>
        <w:t>vim</w:t>
      </w:r>
      <w:r w:rsidRPr="00777672">
        <w:rPr>
          <w:color w:val="auto"/>
        </w:rPr>
        <w:t>am</w:t>
      </w:r>
      <w:r w:rsidR="001A317E" w:rsidRPr="00777672">
        <w:rPr>
          <w:color w:val="auto"/>
        </w:rPr>
        <w:t>s</w:t>
      </w:r>
      <w:r w:rsidR="002C059F">
        <w:rPr>
          <w:color w:val="auto"/>
        </w:rPr>
        <w:t>)</w:t>
      </w:r>
      <w:r w:rsidR="001A317E" w:rsidRPr="00777672">
        <w:rPr>
          <w:color w:val="auto"/>
        </w:rPr>
        <w:t>;</w:t>
      </w:r>
    </w:p>
    <w:p w14:paraId="7858BFCD" w14:textId="2F92E5A9" w:rsidR="002D1BC1" w:rsidRPr="00777672" w:rsidRDefault="002D1BC1" w:rsidP="002D1BC1">
      <w:pPr>
        <w:pStyle w:val="Default"/>
        <w:numPr>
          <w:ilvl w:val="1"/>
          <w:numId w:val="2"/>
        </w:numPr>
        <w:tabs>
          <w:tab w:val="left" w:pos="993"/>
          <w:tab w:val="left" w:pos="1560"/>
        </w:tabs>
        <w:ind w:left="0" w:firstLine="426"/>
        <w:jc w:val="both"/>
        <w:rPr>
          <w:color w:val="auto"/>
        </w:rPr>
      </w:pPr>
      <w:r w:rsidRPr="00777672">
        <w:rPr>
          <w:color w:val="auto"/>
        </w:rPr>
        <w:t>put</w:t>
      </w:r>
      <w:r w:rsidR="002074F4">
        <w:rPr>
          <w:color w:val="auto"/>
        </w:rPr>
        <w:t>okšlis</w:t>
      </w:r>
      <w:r w:rsidRPr="00777672">
        <w:rPr>
          <w:color w:val="auto"/>
        </w:rPr>
        <w:t xml:space="preserve"> </w:t>
      </w:r>
      <w:r w:rsidR="00BF6551" w:rsidRPr="008F64AE">
        <w:rPr>
          <w:color w:val="auto"/>
        </w:rPr>
        <w:t>pagal standart</w:t>
      </w:r>
      <w:r w:rsidR="002074F4" w:rsidRPr="008F64AE">
        <w:rPr>
          <w:color w:val="auto"/>
        </w:rPr>
        <w:t>ų</w:t>
      </w:r>
      <w:r w:rsidR="00BF6551" w:rsidRPr="008F64AE">
        <w:rPr>
          <w:color w:val="auto"/>
        </w:rPr>
        <w:t xml:space="preserve"> LST EN 1568 </w:t>
      </w:r>
      <w:r w:rsidR="002074F4" w:rsidRPr="008F64AE">
        <w:rPr>
          <w:color w:val="auto"/>
        </w:rPr>
        <w:t xml:space="preserve">serijoje </w:t>
      </w:r>
      <w:r w:rsidR="00BF6551" w:rsidRPr="008F64AE">
        <w:rPr>
          <w:color w:val="auto"/>
        </w:rPr>
        <w:t xml:space="preserve">pateikiamą klasifikaciją </w:t>
      </w:r>
      <w:r w:rsidRPr="00777672">
        <w:rPr>
          <w:color w:val="auto"/>
        </w:rPr>
        <w:t xml:space="preserve">turi būti </w:t>
      </w:r>
      <w:r w:rsidR="009D1116" w:rsidRPr="00777672">
        <w:rPr>
          <w:color w:val="auto"/>
        </w:rPr>
        <w:t xml:space="preserve">priskiriamas sintetinių </w:t>
      </w:r>
      <w:r w:rsidR="00772F21" w:rsidRPr="00777672">
        <w:rPr>
          <w:color w:val="auto"/>
        </w:rPr>
        <w:t>putokšli</w:t>
      </w:r>
      <w:r w:rsidR="009D1116" w:rsidRPr="00777672">
        <w:rPr>
          <w:color w:val="auto"/>
        </w:rPr>
        <w:t>ų</w:t>
      </w:r>
      <w:r w:rsidR="00772F21" w:rsidRPr="00777672">
        <w:rPr>
          <w:color w:val="auto"/>
        </w:rPr>
        <w:t xml:space="preserve"> </w:t>
      </w:r>
      <w:r w:rsidRPr="00777672">
        <w:rPr>
          <w:color w:val="auto"/>
        </w:rPr>
        <w:t>(</w:t>
      </w:r>
      <w:proofErr w:type="spellStart"/>
      <w:r w:rsidR="009D1116" w:rsidRPr="00777672">
        <w:rPr>
          <w:color w:val="auto"/>
        </w:rPr>
        <w:t>synthetic</w:t>
      </w:r>
      <w:proofErr w:type="spellEnd"/>
      <w:r w:rsidR="009D1116" w:rsidRPr="00777672">
        <w:rPr>
          <w:color w:val="auto"/>
        </w:rPr>
        <w:t xml:space="preserve"> </w:t>
      </w:r>
      <w:proofErr w:type="spellStart"/>
      <w:r w:rsidR="009D1116" w:rsidRPr="00777672">
        <w:rPr>
          <w:color w:val="auto"/>
        </w:rPr>
        <w:t>foam</w:t>
      </w:r>
      <w:proofErr w:type="spellEnd"/>
      <w:r w:rsidR="009D1116" w:rsidRPr="00777672">
        <w:rPr>
          <w:color w:val="auto"/>
        </w:rPr>
        <w:t xml:space="preserve"> </w:t>
      </w:r>
      <w:proofErr w:type="spellStart"/>
      <w:r w:rsidR="009D1116" w:rsidRPr="00777672">
        <w:rPr>
          <w:color w:val="auto"/>
        </w:rPr>
        <w:t>concentrates</w:t>
      </w:r>
      <w:proofErr w:type="spellEnd"/>
      <w:r w:rsidR="009D1116" w:rsidRPr="00777672">
        <w:rPr>
          <w:color w:val="auto"/>
        </w:rPr>
        <w:t xml:space="preserve"> (S)</w:t>
      </w:r>
      <w:r w:rsidRPr="00777672">
        <w:rPr>
          <w:color w:val="auto"/>
        </w:rPr>
        <w:t>) rūši</w:t>
      </w:r>
      <w:r w:rsidR="009D1116" w:rsidRPr="00777672">
        <w:rPr>
          <w:color w:val="auto"/>
        </w:rPr>
        <w:t>ai</w:t>
      </w:r>
      <w:r w:rsidRPr="00777672">
        <w:rPr>
          <w:color w:val="auto"/>
        </w:rPr>
        <w:t>;</w:t>
      </w:r>
    </w:p>
    <w:p w14:paraId="6DF01069" w14:textId="4A0EE0B8" w:rsidR="002D1BC1" w:rsidRPr="00777672" w:rsidRDefault="002074F4" w:rsidP="002D1BC1">
      <w:pPr>
        <w:pStyle w:val="Default"/>
        <w:numPr>
          <w:ilvl w:val="1"/>
          <w:numId w:val="2"/>
        </w:numPr>
        <w:tabs>
          <w:tab w:val="left" w:pos="993"/>
          <w:tab w:val="left" w:pos="1560"/>
        </w:tabs>
        <w:ind w:left="0" w:firstLine="426"/>
        <w:jc w:val="both"/>
        <w:rPr>
          <w:color w:val="auto"/>
        </w:rPr>
      </w:pPr>
      <w:r>
        <w:rPr>
          <w:color w:val="auto"/>
        </w:rPr>
        <w:t xml:space="preserve">putokšlis turi būti </w:t>
      </w:r>
      <w:r w:rsidR="002D1BC1" w:rsidRPr="00777672">
        <w:rPr>
          <w:color w:val="auto"/>
        </w:rPr>
        <w:t>skirtas paruošti ir naudoti gesinimui</w:t>
      </w:r>
      <w:r w:rsidR="00C3653A" w:rsidRPr="00777672">
        <w:rPr>
          <w:color w:val="auto"/>
        </w:rPr>
        <w:t xml:space="preserve"> nuo </w:t>
      </w:r>
      <w:r w:rsidR="000206F5" w:rsidRPr="00777672">
        <w:rPr>
          <w:color w:val="auto"/>
        </w:rPr>
        <w:t>1</w:t>
      </w:r>
      <w:r w:rsidR="002D1BC1" w:rsidRPr="00777672">
        <w:rPr>
          <w:color w:val="auto"/>
        </w:rPr>
        <w:t xml:space="preserve">% </w:t>
      </w:r>
      <w:r w:rsidR="00C3653A" w:rsidRPr="00777672">
        <w:rPr>
          <w:color w:val="auto"/>
        </w:rPr>
        <w:t xml:space="preserve">iki </w:t>
      </w:r>
      <w:r w:rsidR="000206F5" w:rsidRPr="00777672">
        <w:rPr>
          <w:color w:val="auto"/>
        </w:rPr>
        <w:t>3</w:t>
      </w:r>
      <w:r w:rsidR="00C3653A" w:rsidRPr="00777672">
        <w:rPr>
          <w:color w:val="auto"/>
        </w:rPr>
        <w:t xml:space="preserve"> </w:t>
      </w:r>
      <w:r w:rsidR="00C3653A" w:rsidRPr="008F64AE">
        <w:rPr>
          <w:color w:val="auto"/>
        </w:rPr>
        <w:t xml:space="preserve">% </w:t>
      </w:r>
      <w:r w:rsidR="002D1BC1" w:rsidRPr="00777672">
        <w:rPr>
          <w:color w:val="auto"/>
        </w:rPr>
        <w:t>tirpalą</w:t>
      </w:r>
      <w:r w:rsidR="00C3653A" w:rsidRPr="00777672">
        <w:rPr>
          <w:color w:val="auto"/>
        </w:rPr>
        <w:t>, ta</w:t>
      </w:r>
      <w:r w:rsidR="007E29A3" w:rsidRPr="00777672">
        <w:rPr>
          <w:color w:val="auto"/>
        </w:rPr>
        <w:t>č</w:t>
      </w:r>
      <w:r w:rsidR="00C3653A" w:rsidRPr="00777672">
        <w:rPr>
          <w:color w:val="auto"/>
        </w:rPr>
        <w:t>iau gali b</w:t>
      </w:r>
      <w:r w:rsidR="007E29A3" w:rsidRPr="00777672">
        <w:rPr>
          <w:color w:val="auto"/>
        </w:rPr>
        <w:t>ū</w:t>
      </w:r>
      <w:r w:rsidR="00C3653A" w:rsidRPr="00777672">
        <w:rPr>
          <w:color w:val="auto"/>
        </w:rPr>
        <w:t xml:space="preserve">ti naudojamas ir kitokiomis </w:t>
      </w:r>
      <w:proofErr w:type="spellStart"/>
      <w:r w:rsidR="00C3653A" w:rsidRPr="00777672">
        <w:rPr>
          <w:color w:val="auto"/>
        </w:rPr>
        <w:t>procentuot</w:t>
      </w:r>
      <w:r w:rsidR="007E29A3" w:rsidRPr="00777672">
        <w:rPr>
          <w:color w:val="auto"/>
        </w:rPr>
        <w:t>ė</w:t>
      </w:r>
      <w:r w:rsidR="00C3653A" w:rsidRPr="00777672">
        <w:rPr>
          <w:color w:val="auto"/>
        </w:rPr>
        <w:t>mis</w:t>
      </w:r>
      <w:proofErr w:type="spellEnd"/>
      <w:r w:rsidR="002D1BC1" w:rsidRPr="00777672">
        <w:rPr>
          <w:color w:val="auto"/>
        </w:rPr>
        <w:t>;</w:t>
      </w:r>
    </w:p>
    <w:p w14:paraId="4BA5D0BC" w14:textId="3BD7B122" w:rsidR="002D1BC1" w:rsidRPr="00777672" w:rsidRDefault="002074F4" w:rsidP="002D1BC1">
      <w:pPr>
        <w:pStyle w:val="Default"/>
        <w:numPr>
          <w:ilvl w:val="1"/>
          <w:numId w:val="2"/>
        </w:numPr>
        <w:tabs>
          <w:tab w:val="left" w:pos="993"/>
          <w:tab w:val="left" w:pos="1560"/>
        </w:tabs>
        <w:ind w:left="0" w:firstLine="426"/>
        <w:jc w:val="both"/>
        <w:rPr>
          <w:color w:val="auto"/>
        </w:rPr>
      </w:pPr>
      <w:r>
        <w:rPr>
          <w:color w:val="auto"/>
        </w:rPr>
        <w:t xml:space="preserve">putokšlis </w:t>
      </w:r>
      <w:r w:rsidR="002D1BC1" w:rsidRPr="00777672">
        <w:rPr>
          <w:color w:val="auto"/>
        </w:rPr>
        <w:t xml:space="preserve">turi būti </w:t>
      </w:r>
      <w:r w:rsidR="00147CCE" w:rsidRPr="00777672">
        <w:rPr>
          <w:color w:val="auto"/>
        </w:rPr>
        <w:t>biologiškai skaidus pagal OECD kriterijų (</w:t>
      </w:r>
      <w:proofErr w:type="spellStart"/>
      <w:r w:rsidR="00D7564A" w:rsidRPr="00777672">
        <w:rPr>
          <w:color w:val="auto"/>
        </w:rPr>
        <w:t>Organisation</w:t>
      </w:r>
      <w:proofErr w:type="spellEnd"/>
      <w:r w:rsidR="00D7564A" w:rsidRPr="00777672">
        <w:rPr>
          <w:color w:val="auto"/>
        </w:rPr>
        <w:t xml:space="preserve"> </w:t>
      </w:r>
      <w:proofErr w:type="spellStart"/>
      <w:r w:rsidR="00D7564A" w:rsidRPr="00777672">
        <w:rPr>
          <w:color w:val="auto"/>
        </w:rPr>
        <w:t>for</w:t>
      </w:r>
      <w:proofErr w:type="spellEnd"/>
      <w:r w:rsidR="00D7564A" w:rsidRPr="00777672">
        <w:rPr>
          <w:color w:val="auto"/>
        </w:rPr>
        <w:t xml:space="preserve"> </w:t>
      </w:r>
      <w:proofErr w:type="spellStart"/>
      <w:r w:rsidR="00D7564A" w:rsidRPr="00777672">
        <w:rPr>
          <w:color w:val="auto"/>
        </w:rPr>
        <w:t>EconomicCo-operation</w:t>
      </w:r>
      <w:proofErr w:type="spellEnd"/>
      <w:r w:rsidR="00D7564A" w:rsidRPr="00777672">
        <w:rPr>
          <w:color w:val="auto"/>
        </w:rPr>
        <w:t xml:space="preserve"> </w:t>
      </w:r>
      <w:proofErr w:type="spellStart"/>
      <w:r w:rsidR="00D7564A" w:rsidRPr="00777672">
        <w:rPr>
          <w:color w:val="auto"/>
        </w:rPr>
        <w:t>and</w:t>
      </w:r>
      <w:proofErr w:type="spellEnd"/>
      <w:r w:rsidR="00D7564A" w:rsidRPr="00777672">
        <w:rPr>
          <w:color w:val="auto"/>
        </w:rPr>
        <w:t xml:space="preserve"> </w:t>
      </w:r>
      <w:proofErr w:type="spellStart"/>
      <w:r w:rsidR="00D7564A" w:rsidRPr="00777672">
        <w:rPr>
          <w:color w:val="auto"/>
        </w:rPr>
        <w:t>Development</w:t>
      </w:r>
      <w:proofErr w:type="spellEnd"/>
      <w:r w:rsidR="00147CCE" w:rsidRPr="00777672">
        <w:rPr>
          <w:color w:val="auto"/>
        </w:rPr>
        <w:t>)</w:t>
      </w:r>
      <w:r w:rsidR="002D1BC1" w:rsidRPr="00777672">
        <w:rPr>
          <w:color w:val="auto"/>
        </w:rPr>
        <w:t>;</w:t>
      </w:r>
    </w:p>
    <w:p w14:paraId="7339C63F" w14:textId="013EA232" w:rsidR="002D1BC1" w:rsidRDefault="002074F4" w:rsidP="002D1BC1">
      <w:pPr>
        <w:pStyle w:val="Default"/>
        <w:numPr>
          <w:ilvl w:val="1"/>
          <w:numId w:val="2"/>
        </w:numPr>
        <w:tabs>
          <w:tab w:val="left" w:pos="993"/>
          <w:tab w:val="left" w:pos="1560"/>
        </w:tabs>
        <w:ind w:left="0" w:firstLine="426"/>
        <w:jc w:val="both"/>
        <w:rPr>
          <w:color w:val="auto"/>
        </w:rPr>
      </w:pPr>
      <w:r>
        <w:rPr>
          <w:color w:val="auto"/>
        </w:rPr>
        <w:t xml:space="preserve">putokšlis pagal </w:t>
      </w:r>
      <w:r w:rsidR="002D1BC1" w:rsidRPr="00777672">
        <w:rPr>
          <w:color w:val="auto"/>
        </w:rPr>
        <w:t>klamp</w:t>
      </w:r>
      <w:r w:rsidR="00591FBD">
        <w:rPr>
          <w:color w:val="auto"/>
        </w:rPr>
        <w:t>umą</w:t>
      </w:r>
      <w:r w:rsidR="002D1BC1" w:rsidRPr="00777672">
        <w:rPr>
          <w:color w:val="auto"/>
        </w:rPr>
        <w:t xml:space="preserve"> (tirštum</w:t>
      </w:r>
      <w:r>
        <w:rPr>
          <w:color w:val="auto"/>
        </w:rPr>
        <w:t>ą</w:t>
      </w:r>
      <w:r w:rsidR="002D1BC1" w:rsidRPr="00777672">
        <w:rPr>
          <w:color w:val="auto"/>
        </w:rPr>
        <w:t>)</w:t>
      </w:r>
      <w:r>
        <w:rPr>
          <w:color w:val="auto"/>
        </w:rPr>
        <w:t xml:space="preserve"> turi būti priskiriamas </w:t>
      </w:r>
      <w:r w:rsidR="00591FBD">
        <w:rPr>
          <w:color w:val="auto"/>
        </w:rPr>
        <w:t>Niutono skysčiams. P</w:t>
      </w:r>
      <w:r w:rsidR="002D1BC1" w:rsidRPr="00777672">
        <w:rPr>
          <w:color w:val="auto"/>
        </w:rPr>
        <w:t>rie žemiausios galimos naudoti temperatūros</w:t>
      </w:r>
      <w:r w:rsidR="00591FBD">
        <w:rPr>
          <w:color w:val="auto"/>
        </w:rPr>
        <w:t xml:space="preserve"> klampumas</w:t>
      </w:r>
      <w:r w:rsidR="002D1BC1" w:rsidRPr="00777672">
        <w:rPr>
          <w:color w:val="auto"/>
        </w:rPr>
        <w:t xml:space="preserve"> turi būti ne didesnis </w:t>
      </w:r>
      <w:r w:rsidR="00A75129" w:rsidRPr="00777672">
        <w:rPr>
          <w:color w:val="auto"/>
        </w:rPr>
        <w:t>2</w:t>
      </w:r>
      <w:r w:rsidR="007D3E06" w:rsidRPr="00777672">
        <w:rPr>
          <w:color w:val="auto"/>
        </w:rPr>
        <w:t xml:space="preserve">00 </w:t>
      </w:r>
      <w:r w:rsidR="002D1BC1" w:rsidRPr="00777672">
        <w:rPr>
          <w:color w:val="auto"/>
        </w:rPr>
        <w:t>mm</w:t>
      </w:r>
      <w:r w:rsidR="002D1BC1" w:rsidRPr="00777672">
        <w:rPr>
          <w:color w:val="auto"/>
          <w:vertAlign w:val="superscript"/>
        </w:rPr>
        <w:t>2</w:t>
      </w:r>
      <w:r w:rsidR="002D1BC1" w:rsidRPr="00777672">
        <w:rPr>
          <w:color w:val="auto"/>
        </w:rPr>
        <w:t xml:space="preserve"> s</w:t>
      </w:r>
      <w:r w:rsidR="002D1BC1" w:rsidRPr="00777672">
        <w:rPr>
          <w:color w:val="auto"/>
          <w:vertAlign w:val="superscript"/>
        </w:rPr>
        <w:t>-1</w:t>
      </w:r>
      <w:r w:rsidR="002D1BC1" w:rsidRPr="00777672">
        <w:rPr>
          <w:color w:val="auto"/>
        </w:rPr>
        <w:t>;</w:t>
      </w:r>
    </w:p>
    <w:p w14:paraId="4DCFC0BF" w14:textId="037C1040" w:rsidR="00C014B2" w:rsidRPr="00777672" w:rsidRDefault="00836223" w:rsidP="002D1BC1">
      <w:pPr>
        <w:pStyle w:val="Default"/>
        <w:numPr>
          <w:ilvl w:val="1"/>
          <w:numId w:val="2"/>
        </w:numPr>
        <w:tabs>
          <w:tab w:val="left" w:pos="993"/>
          <w:tab w:val="left" w:pos="1560"/>
        </w:tabs>
        <w:ind w:left="0" w:firstLine="426"/>
        <w:jc w:val="both"/>
        <w:rPr>
          <w:color w:val="auto"/>
        </w:rPr>
      </w:pPr>
      <w:r w:rsidRPr="00836223">
        <w:rPr>
          <w:rFonts w:asciiTheme="majorBidi" w:hAnsiTheme="majorBidi" w:cstheme="majorBidi"/>
        </w:rPr>
        <w:t xml:space="preserve">jeigu putokšlio sudėtyje yra </w:t>
      </w:r>
      <w:proofErr w:type="spellStart"/>
      <w:r w:rsidRPr="00836223">
        <w:rPr>
          <w:rFonts w:asciiTheme="majorBidi" w:hAnsiTheme="majorBidi" w:cstheme="majorBidi"/>
        </w:rPr>
        <w:t>perfluoralkilintų</w:t>
      </w:r>
      <w:proofErr w:type="spellEnd"/>
      <w:r w:rsidRPr="00836223">
        <w:rPr>
          <w:rFonts w:asciiTheme="majorBidi" w:hAnsiTheme="majorBidi" w:cstheme="majorBidi"/>
        </w:rPr>
        <w:t xml:space="preserve"> ir </w:t>
      </w:r>
      <w:proofErr w:type="spellStart"/>
      <w:r w:rsidRPr="00836223">
        <w:rPr>
          <w:rFonts w:asciiTheme="majorBidi" w:hAnsiTheme="majorBidi" w:cstheme="majorBidi"/>
        </w:rPr>
        <w:t>polifluoralkilintų</w:t>
      </w:r>
      <w:proofErr w:type="spellEnd"/>
      <w:r w:rsidRPr="00836223">
        <w:rPr>
          <w:rFonts w:asciiTheme="majorBidi" w:hAnsiTheme="majorBidi" w:cstheme="majorBidi"/>
        </w:rPr>
        <w:t xml:space="preserve"> medžiagų (toliau – PFAS), PFAS maksimalus leistinas kiekis negali būti lygus ar didesnis kaip 1 mg/l (1000 </w:t>
      </w:r>
      <w:proofErr w:type="spellStart"/>
      <w:r w:rsidRPr="00836223">
        <w:rPr>
          <w:rFonts w:asciiTheme="majorBidi" w:hAnsiTheme="majorBidi" w:cstheme="majorBidi"/>
        </w:rPr>
        <w:t>ppb</w:t>
      </w:r>
      <w:proofErr w:type="spellEnd"/>
      <w:r w:rsidRPr="00836223">
        <w:rPr>
          <w:rFonts w:asciiTheme="majorBidi" w:hAnsiTheme="majorBidi" w:cstheme="majorBidi"/>
        </w:rPr>
        <w:t>) visų PFAS koncentracijų sumos esančios putokšlyje</w:t>
      </w:r>
      <w:r w:rsidR="00C014B2">
        <w:rPr>
          <w:rFonts w:asciiTheme="majorBidi" w:hAnsiTheme="majorBidi" w:cstheme="majorBidi"/>
        </w:rPr>
        <w:t>;</w:t>
      </w:r>
    </w:p>
    <w:p w14:paraId="658ED826" w14:textId="6DF0EF54" w:rsidR="002D1BC1" w:rsidRPr="00777672" w:rsidRDefault="0034372E" w:rsidP="002D1BC1">
      <w:pPr>
        <w:pStyle w:val="Default"/>
        <w:numPr>
          <w:ilvl w:val="1"/>
          <w:numId w:val="2"/>
        </w:numPr>
        <w:tabs>
          <w:tab w:val="left" w:pos="993"/>
          <w:tab w:val="left" w:pos="1560"/>
        </w:tabs>
        <w:ind w:left="0" w:firstLine="426"/>
        <w:jc w:val="both"/>
        <w:rPr>
          <w:color w:val="auto"/>
        </w:rPr>
      </w:pPr>
      <w:r>
        <w:rPr>
          <w:color w:val="auto"/>
        </w:rPr>
        <w:t>p</w:t>
      </w:r>
      <w:r w:rsidR="00836223" w:rsidRPr="00836223">
        <w:rPr>
          <w:color w:val="auto"/>
        </w:rPr>
        <w:t xml:space="preserve">utokšlis turi atitikti Europos Komisijos reglamentą (EB) Nr. </w:t>
      </w:r>
      <w:hyperlink r:id="rId8" w:history="1">
        <w:r w:rsidR="00836223" w:rsidRPr="0034372E">
          <w:rPr>
            <w:rStyle w:val="Hipersaitas"/>
            <w:color w:val="auto"/>
            <w:u w:val="none"/>
          </w:rPr>
          <w:t>2024/2462</w:t>
        </w:r>
      </w:hyperlink>
      <w:r w:rsidR="00836223" w:rsidRPr="00836223">
        <w:rPr>
          <w:color w:val="auto"/>
        </w:rPr>
        <w:t xml:space="preserve">, pagal kurį bendra (suminė) </w:t>
      </w:r>
      <w:proofErr w:type="spellStart"/>
      <w:r w:rsidR="00836223" w:rsidRPr="00836223">
        <w:rPr>
          <w:color w:val="auto"/>
        </w:rPr>
        <w:t>undekafluorheksano</w:t>
      </w:r>
      <w:proofErr w:type="spellEnd"/>
      <w:r w:rsidR="00836223" w:rsidRPr="00836223">
        <w:rPr>
          <w:color w:val="auto"/>
        </w:rPr>
        <w:t xml:space="preserve"> rūgšties (</w:t>
      </w:r>
      <w:proofErr w:type="spellStart"/>
      <w:r w:rsidR="00836223" w:rsidRPr="00836223">
        <w:rPr>
          <w:color w:val="auto"/>
        </w:rPr>
        <w:t>PFHxA</w:t>
      </w:r>
      <w:proofErr w:type="spellEnd"/>
      <w:r w:rsidR="00836223" w:rsidRPr="00836223">
        <w:rPr>
          <w:color w:val="auto"/>
        </w:rPr>
        <w:t xml:space="preserve">) ir  jos druskų koncentracija negali būti lygi arba didesnė nei 25 </w:t>
      </w:r>
      <w:proofErr w:type="spellStart"/>
      <w:r w:rsidR="00836223" w:rsidRPr="00836223">
        <w:rPr>
          <w:color w:val="auto"/>
        </w:rPr>
        <w:t>ppb</w:t>
      </w:r>
      <w:proofErr w:type="spellEnd"/>
      <w:r w:rsidR="00836223" w:rsidRPr="00836223">
        <w:rPr>
          <w:color w:val="auto"/>
        </w:rPr>
        <w:t xml:space="preserve"> (0,025 mg/l), o bendra (suminė) </w:t>
      </w:r>
      <w:proofErr w:type="spellStart"/>
      <w:r w:rsidR="00836223" w:rsidRPr="00836223">
        <w:rPr>
          <w:color w:val="auto"/>
        </w:rPr>
        <w:t>PFHxA</w:t>
      </w:r>
      <w:proofErr w:type="spellEnd"/>
      <w:r w:rsidR="00836223" w:rsidRPr="00836223">
        <w:rPr>
          <w:color w:val="auto"/>
        </w:rPr>
        <w:t xml:space="preserve"> giminingų junginių koncentracija negali būti lygi arba didesnė nei 1000 </w:t>
      </w:r>
      <w:proofErr w:type="spellStart"/>
      <w:r w:rsidR="00836223" w:rsidRPr="00836223">
        <w:rPr>
          <w:color w:val="auto"/>
        </w:rPr>
        <w:t>ppb</w:t>
      </w:r>
      <w:proofErr w:type="spellEnd"/>
      <w:r w:rsidR="00836223" w:rsidRPr="00836223">
        <w:rPr>
          <w:color w:val="auto"/>
        </w:rPr>
        <w:t xml:space="preserve"> (1 mg/l)</w:t>
      </w:r>
      <w:r w:rsidR="002D1BC1" w:rsidRPr="00777672">
        <w:rPr>
          <w:color w:val="auto"/>
        </w:rPr>
        <w:t>;</w:t>
      </w:r>
    </w:p>
    <w:p w14:paraId="1B60715A" w14:textId="03A2C59F" w:rsidR="002D1BC1" w:rsidRDefault="00591FBD" w:rsidP="00F03A2D">
      <w:pPr>
        <w:pStyle w:val="Default"/>
        <w:numPr>
          <w:ilvl w:val="1"/>
          <w:numId w:val="2"/>
        </w:numPr>
        <w:tabs>
          <w:tab w:val="left" w:pos="993"/>
          <w:tab w:val="left" w:pos="1560"/>
        </w:tabs>
        <w:ind w:left="0" w:firstLine="426"/>
        <w:jc w:val="both"/>
        <w:rPr>
          <w:color w:val="auto"/>
        </w:rPr>
      </w:pPr>
      <w:r>
        <w:rPr>
          <w:color w:val="auto"/>
        </w:rPr>
        <w:t>putokšlis</w:t>
      </w:r>
      <w:r w:rsidR="002D1BC1" w:rsidRPr="00777672">
        <w:rPr>
          <w:color w:val="auto"/>
        </w:rPr>
        <w:t xml:space="preserve"> turi atitikti Europos Komisijos reglament</w:t>
      </w:r>
      <w:r w:rsidR="00784208" w:rsidRPr="00777672">
        <w:rPr>
          <w:color w:val="auto"/>
        </w:rPr>
        <w:t>ų</w:t>
      </w:r>
      <w:r w:rsidR="002D1BC1" w:rsidRPr="00777672">
        <w:rPr>
          <w:color w:val="auto"/>
        </w:rPr>
        <w:t xml:space="preserve"> </w:t>
      </w:r>
      <w:r w:rsidR="00E60259" w:rsidRPr="00777672">
        <w:rPr>
          <w:color w:val="auto"/>
        </w:rPr>
        <w:t>(ES) 2019/1021 (POP/POFS</w:t>
      </w:r>
      <w:r w:rsidR="00784208" w:rsidRPr="00777672">
        <w:rPr>
          <w:color w:val="auto"/>
        </w:rPr>
        <w:t xml:space="preserve"> – reglamentavimas) ir 2020/784 (PFOA – reglamentavimas) </w:t>
      </w:r>
      <w:r w:rsidR="002D1BC1" w:rsidRPr="00777672">
        <w:rPr>
          <w:color w:val="auto"/>
        </w:rPr>
        <w:t>arba j</w:t>
      </w:r>
      <w:r w:rsidR="00F03A2D" w:rsidRPr="00777672">
        <w:rPr>
          <w:color w:val="auto"/>
        </w:rPr>
        <w:t>iems</w:t>
      </w:r>
      <w:r w:rsidR="002D1BC1" w:rsidRPr="00777672">
        <w:rPr>
          <w:color w:val="auto"/>
        </w:rPr>
        <w:t xml:space="preserve"> lygiaverčiuose, taikomus reikalavimus</w:t>
      </w:r>
      <w:r w:rsidR="00F03A2D" w:rsidRPr="00777672">
        <w:rPr>
          <w:color w:val="auto"/>
        </w:rPr>
        <w:t xml:space="preserve"> fluoro junginiams</w:t>
      </w:r>
      <w:r w:rsidR="002D1BC1" w:rsidRPr="00777672">
        <w:rPr>
          <w:color w:val="auto"/>
        </w:rPr>
        <w:t>;</w:t>
      </w:r>
    </w:p>
    <w:p w14:paraId="3DD209F3" w14:textId="2566910F" w:rsidR="00836223" w:rsidRPr="00777672" w:rsidRDefault="00836223" w:rsidP="00F03A2D">
      <w:pPr>
        <w:pStyle w:val="Default"/>
        <w:numPr>
          <w:ilvl w:val="1"/>
          <w:numId w:val="2"/>
        </w:numPr>
        <w:tabs>
          <w:tab w:val="left" w:pos="993"/>
          <w:tab w:val="left" w:pos="1560"/>
        </w:tabs>
        <w:ind w:left="0" w:firstLine="426"/>
        <w:jc w:val="both"/>
        <w:rPr>
          <w:color w:val="auto"/>
        </w:rPr>
      </w:pPr>
      <w:r>
        <w:rPr>
          <w:color w:val="auto"/>
        </w:rPr>
        <w:t>putokšlio</w:t>
      </w:r>
      <w:r w:rsidRPr="00777672">
        <w:rPr>
          <w:color w:val="auto"/>
        </w:rPr>
        <w:t xml:space="preserve"> saugojimo terminas nepažeistoje gamyklinėje taroje turi būti ne trumpesnis kaip 10 metų</w:t>
      </w:r>
      <w:r w:rsidR="0034372E">
        <w:rPr>
          <w:color w:val="auto"/>
        </w:rPr>
        <w:t>;</w:t>
      </w:r>
    </w:p>
    <w:p w14:paraId="3C428D39" w14:textId="64A58DB3" w:rsidR="002D1BC1" w:rsidRPr="00777672" w:rsidRDefault="00591FBD" w:rsidP="002D1BC1">
      <w:pPr>
        <w:pStyle w:val="Default"/>
        <w:numPr>
          <w:ilvl w:val="1"/>
          <w:numId w:val="2"/>
        </w:numPr>
        <w:tabs>
          <w:tab w:val="left" w:pos="993"/>
          <w:tab w:val="left" w:pos="1560"/>
        </w:tabs>
        <w:ind w:left="0" w:firstLine="426"/>
        <w:jc w:val="both"/>
        <w:rPr>
          <w:color w:val="auto"/>
        </w:rPr>
      </w:pPr>
      <w:r>
        <w:rPr>
          <w:color w:val="auto"/>
        </w:rPr>
        <w:t>putokšlis</w:t>
      </w:r>
      <w:r w:rsidR="002D1BC1" w:rsidRPr="00777672">
        <w:rPr>
          <w:color w:val="auto"/>
        </w:rPr>
        <w:t xml:space="preserve"> turi būti tinkamas naudoti ne mažesniame temperatūros diapazone kaip nuo </w:t>
      </w:r>
      <w:r>
        <w:rPr>
          <w:color w:val="auto"/>
        </w:rPr>
        <w:t xml:space="preserve">            </w:t>
      </w:r>
      <w:r w:rsidR="002D1BC1" w:rsidRPr="00777672">
        <w:rPr>
          <w:color w:val="auto"/>
        </w:rPr>
        <w:t>-</w:t>
      </w:r>
      <w:r w:rsidR="00C47D88" w:rsidRPr="00777672">
        <w:rPr>
          <w:color w:val="auto"/>
        </w:rPr>
        <w:t>15</w:t>
      </w:r>
      <w:r w:rsidR="002D1BC1" w:rsidRPr="00777672">
        <w:rPr>
          <w:color w:val="auto"/>
          <w:vertAlign w:val="superscript"/>
        </w:rPr>
        <w:t>o</w:t>
      </w:r>
      <w:r w:rsidR="00777672" w:rsidRPr="00777672">
        <w:rPr>
          <w:color w:val="auto"/>
          <w:vertAlign w:val="superscript"/>
        </w:rPr>
        <w:t xml:space="preserve"> </w:t>
      </w:r>
      <w:r w:rsidR="002D1BC1" w:rsidRPr="00777672">
        <w:rPr>
          <w:color w:val="auto"/>
        </w:rPr>
        <w:t xml:space="preserve"> C</w:t>
      </w:r>
      <w:r>
        <w:rPr>
          <w:color w:val="auto"/>
        </w:rPr>
        <w:t xml:space="preserve"> </w:t>
      </w:r>
      <w:r w:rsidR="002D1BC1" w:rsidRPr="00777672">
        <w:rPr>
          <w:color w:val="auto"/>
        </w:rPr>
        <w:t>iki +30</w:t>
      </w:r>
      <w:bookmarkStart w:id="0" w:name="_Hlk128387752"/>
      <w:r w:rsidR="002D1BC1" w:rsidRPr="00777672">
        <w:rPr>
          <w:color w:val="auto"/>
          <w:vertAlign w:val="superscript"/>
        </w:rPr>
        <w:t>o</w:t>
      </w:r>
      <w:r w:rsidR="002D1BC1" w:rsidRPr="00777672">
        <w:rPr>
          <w:color w:val="auto"/>
        </w:rPr>
        <w:t xml:space="preserve"> C</w:t>
      </w:r>
      <w:bookmarkEnd w:id="0"/>
      <w:r w:rsidR="002D1BC1" w:rsidRPr="00777672">
        <w:rPr>
          <w:color w:val="auto"/>
        </w:rPr>
        <w:t>;</w:t>
      </w:r>
    </w:p>
    <w:p w14:paraId="091A02EE" w14:textId="3E3A07A9" w:rsidR="002D1BC1" w:rsidRPr="00777672" w:rsidRDefault="00591FBD" w:rsidP="002D1BC1">
      <w:pPr>
        <w:pStyle w:val="Default"/>
        <w:numPr>
          <w:ilvl w:val="1"/>
          <w:numId w:val="2"/>
        </w:numPr>
        <w:tabs>
          <w:tab w:val="left" w:pos="993"/>
          <w:tab w:val="left" w:pos="1560"/>
        </w:tabs>
        <w:ind w:left="0" w:firstLine="426"/>
        <w:jc w:val="both"/>
        <w:rPr>
          <w:color w:val="auto"/>
        </w:rPr>
      </w:pPr>
      <w:r>
        <w:rPr>
          <w:color w:val="auto"/>
        </w:rPr>
        <w:t xml:space="preserve">putokšlis </w:t>
      </w:r>
      <w:r w:rsidR="002D1BC1" w:rsidRPr="00777672">
        <w:rPr>
          <w:color w:val="auto"/>
        </w:rPr>
        <w:t>turi būti pagamintas ne ankščiau kaip 202</w:t>
      </w:r>
      <w:r w:rsidR="00EC3478" w:rsidRPr="00777672">
        <w:rPr>
          <w:color w:val="auto"/>
        </w:rPr>
        <w:t>4</w:t>
      </w:r>
      <w:r w:rsidR="002D1BC1" w:rsidRPr="00777672">
        <w:rPr>
          <w:color w:val="auto"/>
        </w:rPr>
        <w:t xml:space="preserve"> m;</w:t>
      </w:r>
    </w:p>
    <w:p w14:paraId="2B2D148E" w14:textId="6130B65B" w:rsidR="002D1BC1" w:rsidRPr="00777672" w:rsidRDefault="00591FBD" w:rsidP="002D1BC1">
      <w:pPr>
        <w:pStyle w:val="Default"/>
        <w:numPr>
          <w:ilvl w:val="1"/>
          <w:numId w:val="2"/>
        </w:numPr>
        <w:tabs>
          <w:tab w:val="left" w:pos="993"/>
          <w:tab w:val="left" w:pos="1560"/>
        </w:tabs>
        <w:ind w:left="0" w:firstLine="426"/>
        <w:jc w:val="both"/>
        <w:rPr>
          <w:color w:val="auto"/>
        </w:rPr>
      </w:pPr>
      <w:r>
        <w:rPr>
          <w:color w:val="auto"/>
        </w:rPr>
        <w:t>putokšlis</w:t>
      </w:r>
      <w:r w:rsidR="002D1BC1" w:rsidRPr="00777672">
        <w:rPr>
          <w:color w:val="auto"/>
        </w:rPr>
        <w:t xml:space="preserve"> turi būti tiekiamas 1000 litrų sandariose ir saugiose talpose (Intermediate Bulk Container (IBC) tipo konteineriai), turinčiose saugą ir kokybę patvirtinančius sertifikatus, pagamint</w:t>
      </w:r>
      <w:r>
        <w:rPr>
          <w:color w:val="auto"/>
        </w:rPr>
        <w:t>os</w:t>
      </w:r>
      <w:r w:rsidR="002D1BC1" w:rsidRPr="00777672">
        <w:rPr>
          <w:color w:val="auto"/>
        </w:rPr>
        <w:t xml:space="preserve"> iš permatomos spalvos plastiko, apkaustyt</w:t>
      </w:r>
      <w:r>
        <w:rPr>
          <w:color w:val="auto"/>
        </w:rPr>
        <w:t>o</w:t>
      </w:r>
      <w:r w:rsidR="002D1BC1" w:rsidRPr="00777672">
        <w:rPr>
          <w:color w:val="auto"/>
        </w:rPr>
        <w:t>s metaliniu cinkuotu rėmu, laikom</w:t>
      </w:r>
      <w:r>
        <w:rPr>
          <w:color w:val="auto"/>
        </w:rPr>
        <w:t>o</w:t>
      </w:r>
      <w:r w:rsidR="002D1BC1" w:rsidRPr="00777672">
        <w:rPr>
          <w:color w:val="auto"/>
        </w:rPr>
        <w:t xml:space="preserve">s ant </w:t>
      </w:r>
      <w:r w:rsidR="006F37D7" w:rsidRPr="00777672">
        <w:rPr>
          <w:color w:val="auto"/>
        </w:rPr>
        <w:t xml:space="preserve">plastikinės </w:t>
      </w:r>
      <w:r w:rsidR="002D1BC1" w:rsidRPr="00777672">
        <w:rPr>
          <w:color w:val="auto"/>
        </w:rPr>
        <w:t xml:space="preserve"> paletės), turinčiose atsparų putokšlio erozijai išpylimo čiaupą;</w:t>
      </w:r>
    </w:p>
    <w:p w14:paraId="420622D0" w14:textId="24D0AA7C" w:rsidR="002D1BC1" w:rsidRPr="00777672" w:rsidRDefault="002D1BC1" w:rsidP="002D1BC1">
      <w:pPr>
        <w:pStyle w:val="Default"/>
        <w:numPr>
          <w:ilvl w:val="1"/>
          <w:numId w:val="2"/>
        </w:numPr>
        <w:tabs>
          <w:tab w:val="left" w:pos="993"/>
          <w:tab w:val="left" w:pos="1560"/>
        </w:tabs>
        <w:ind w:left="0" w:firstLine="426"/>
        <w:jc w:val="both"/>
        <w:rPr>
          <w:color w:val="auto"/>
        </w:rPr>
      </w:pPr>
      <w:r w:rsidRPr="00777672">
        <w:rPr>
          <w:color w:val="auto"/>
        </w:rPr>
        <w:t xml:space="preserve">talpos su </w:t>
      </w:r>
      <w:r w:rsidR="008F64AE">
        <w:rPr>
          <w:color w:val="auto"/>
        </w:rPr>
        <w:t>putokšliu</w:t>
      </w:r>
      <w:r w:rsidRPr="00777672">
        <w:rPr>
          <w:color w:val="auto"/>
        </w:rPr>
        <w:t xml:space="preserve"> privalo turėti patvarų ir ilgalaikį ženklinimą, kuriame pateikiama informacija pagal LST EN 1568 standarto serijos arba lygiaverčius reikalavimus;</w:t>
      </w:r>
    </w:p>
    <w:p w14:paraId="6B24CD41" w14:textId="28D71C58" w:rsidR="002D1BC1" w:rsidRPr="00777672" w:rsidRDefault="008F64AE" w:rsidP="002D1BC1">
      <w:pPr>
        <w:pStyle w:val="Default"/>
        <w:numPr>
          <w:ilvl w:val="1"/>
          <w:numId w:val="2"/>
        </w:numPr>
        <w:tabs>
          <w:tab w:val="left" w:pos="993"/>
          <w:tab w:val="left" w:pos="1560"/>
        </w:tabs>
        <w:ind w:left="0" w:firstLine="426"/>
        <w:jc w:val="both"/>
        <w:rPr>
          <w:color w:val="auto"/>
        </w:rPr>
      </w:pPr>
      <w:r>
        <w:rPr>
          <w:color w:val="auto"/>
        </w:rPr>
        <w:t>putokšlis</w:t>
      </w:r>
      <w:r w:rsidR="002D1BC1" w:rsidRPr="00777672">
        <w:rPr>
          <w:color w:val="auto"/>
        </w:rPr>
        <w:t xml:space="preserve"> turi atitikti privalomuosius saugos reikalavimus, nustatytus pagal Lietuvos Respublikos Vidaus reikalų ministro 2019 m. birželio 11 d. įsakymą Nr. 1V-535 ,,Dėl gaisrų gesinimo ir gelbėjimo technikos, priemonių ir įrenginių, gaisro gesinimo medžiagų, gaisrinės saugos ženklų privalomųjų saugos reikalavimų patvirtinimo“. Tiekėjas, kuris bus pripažintas pirkimo laimėtoju ir su kuriuo bus sudaryta </w:t>
      </w:r>
      <w:r>
        <w:rPr>
          <w:color w:val="auto"/>
        </w:rPr>
        <w:t>putokšlio</w:t>
      </w:r>
      <w:r w:rsidR="002D1BC1" w:rsidRPr="00777672">
        <w:rPr>
          <w:color w:val="auto"/>
        </w:rPr>
        <w:t xml:space="preserve"> pirkimo sutartis, pristatydamas </w:t>
      </w:r>
      <w:r>
        <w:rPr>
          <w:color w:val="auto"/>
        </w:rPr>
        <w:t>putokšlį</w:t>
      </w:r>
      <w:r w:rsidR="002D1BC1" w:rsidRPr="00777672">
        <w:rPr>
          <w:color w:val="auto"/>
        </w:rPr>
        <w:t>, turės pateikti atitiktį privalomiesiems saugos reikalavimams patvirtinančius dokumentus.</w:t>
      </w:r>
    </w:p>
    <w:p w14:paraId="17AB93BE" w14:textId="2C4F9333" w:rsidR="002D1BC1" w:rsidRDefault="002D1BC1" w:rsidP="002D1BC1">
      <w:pPr>
        <w:pStyle w:val="Default"/>
        <w:tabs>
          <w:tab w:val="left" w:pos="993"/>
          <w:tab w:val="left" w:pos="1560"/>
        </w:tabs>
        <w:ind w:left="426"/>
        <w:jc w:val="both"/>
      </w:pPr>
    </w:p>
    <w:p w14:paraId="03CEE7B1" w14:textId="339B34D0" w:rsidR="002D1BC1" w:rsidRDefault="002D1BC1" w:rsidP="002D1BC1">
      <w:pPr>
        <w:pStyle w:val="Default"/>
        <w:tabs>
          <w:tab w:val="left" w:pos="993"/>
          <w:tab w:val="left" w:pos="1560"/>
        </w:tabs>
        <w:ind w:left="426"/>
        <w:jc w:val="both"/>
      </w:pPr>
    </w:p>
    <w:p w14:paraId="6445DC4A" w14:textId="6720DCB8" w:rsidR="002D1BC1" w:rsidRDefault="002D1BC1" w:rsidP="002D1BC1">
      <w:pPr>
        <w:pStyle w:val="Default"/>
        <w:tabs>
          <w:tab w:val="left" w:pos="993"/>
          <w:tab w:val="left" w:pos="1560"/>
        </w:tabs>
        <w:ind w:left="426"/>
        <w:jc w:val="both"/>
      </w:pPr>
    </w:p>
    <w:p w14:paraId="72C076E0" w14:textId="4043BDA5" w:rsidR="002D1BC1" w:rsidRDefault="002D1BC1" w:rsidP="002D1BC1">
      <w:pPr>
        <w:pStyle w:val="Default"/>
        <w:tabs>
          <w:tab w:val="left" w:pos="993"/>
          <w:tab w:val="left" w:pos="1560"/>
        </w:tabs>
        <w:ind w:left="426"/>
        <w:jc w:val="center"/>
      </w:pPr>
      <w:r>
        <w:t>____________________________</w:t>
      </w:r>
    </w:p>
    <w:p w14:paraId="74FAFD3C" w14:textId="77777777" w:rsidR="002D1BC1" w:rsidRDefault="002D1BC1" w:rsidP="002D1BC1">
      <w:pPr>
        <w:pStyle w:val="Default"/>
        <w:tabs>
          <w:tab w:val="left" w:pos="993"/>
          <w:tab w:val="left" w:pos="1560"/>
        </w:tabs>
        <w:ind w:left="4613"/>
        <w:jc w:val="both"/>
      </w:pPr>
    </w:p>
    <w:sectPr w:rsidR="002D1BC1" w:rsidSect="00566AA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EF41" w14:textId="77777777" w:rsidR="00DD131F" w:rsidRDefault="00DD131F" w:rsidP="00566AA5">
      <w:pPr>
        <w:spacing w:after="0" w:line="240" w:lineRule="auto"/>
      </w:pPr>
      <w:r>
        <w:separator/>
      </w:r>
    </w:p>
  </w:endnote>
  <w:endnote w:type="continuationSeparator" w:id="0">
    <w:p w14:paraId="0B2A3B65" w14:textId="77777777" w:rsidR="00DD131F" w:rsidRDefault="00DD131F" w:rsidP="0056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DFB3" w14:textId="77777777" w:rsidR="00DD131F" w:rsidRDefault="00DD131F" w:rsidP="00566AA5">
      <w:pPr>
        <w:spacing w:after="0" w:line="240" w:lineRule="auto"/>
      </w:pPr>
      <w:r>
        <w:separator/>
      </w:r>
    </w:p>
  </w:footnote>
  <w:footnote w:type="continuationSeparator" w:id="0">
    <w:p w14:paraId="0A8E47F5" w14:textId="77777777" w:rsidR="00DD131F" w:rsidRDefault="00DD131F" w:rsidP="0056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358895"/>
      <w:docPartObj>
        <w:docPartGallery w:val="Page Numbers (Top of Page)"/>
        <w:docPartUnique/>
      </w:docPartObj>
    </w:sdtPr>
    <w:sdtEndPr>
      <w:rPr>
        <w:rFonts w:ascii="Times New Roman" w:hAnsi="Times New Roman" w:cs="Times New Roman"/>
        <w:sz w:val="16"/>
        <w:szCs w:val="16"/>
      </w:rPr>
    </w:sdtEndPr>
    <w:sdtContent>
      <w:p w14:paraId="1D3295C6" w14:textId="77777777" w:rsidR="00566AA5" w:rsidRPr="00566AA5" w:rsidRDefault="00FA4340">
        <w:pPr>
          <w:pStyle w:val="Antrats"/>
          <w:jc w:val="center"/>
          <w:rPr>
            <w:rFonts w:ascii="Times New Roman" w:hAnsi="Times New Roman" w:cs="Times New Roman"/>
            <w:sz w:val="16"/>
            <w:szCs w:val="16"/>
          </w:rPr>
        </w:pPr>
        <w:r w:rsidRPr="00566AA5">
          <w:rPr>
            <w:rFonts w:ascii="Times New Roman" w:hAnsi="Times New Roman" w:cs="Times New Roman"/>
            <w:sz w:val="16"/>
            <w:szCs w:val="16"/>
          </w:rPr>
          <w:fldChar w:fldCharType="begin"/>
        </w:r>
        <w:r w:rsidR="00566AA5" w:rsidRPr="00566AA5">
          <w:rPr>
            <w:rFonts w:ascii="Times New Roman" w:hAnsi="Times New Roman" w:cs="Times New Roman"/>
            <w:sz w:val="16"/>
            <w:szCs w:val="16"/>
          </w:rPr>
          <w:instrText>PAGE   \* MERGEFORMAT</w:instrText>
        </w:r>
        <w:r w:rsidRPr="00566AA5">
          <w:rPr>
            <w:rFonts w:ascii="Times New Roman" w:hAnsi="Times New Roman" w:cs="Times New Roman"/>
            <w:sz w:val="16"/>
            <w:szCs w:val="16"/>
          </w:rPr>
          <w:fldChar w:fldCharType="separate"/>
        </w:r>
        <w:r w:rsidR="00FE2BED">
          <w:rPr>
            <w:rFonts w:ascii="Times New Roman" w:hAnsi="Times New Roman" w:cs="Times New Roman"/>
            <w:noProof/>
            <w:sz w:val="16"/>
            <w:szCs w:val="16"/>
          </w:rPr>
          <w:t>2</w:t>
        </w:r>
        <w:r w:rsidRPr="00566AA5">
          <w:rPr>
            <w:rFonts w:ascii="Times New Roman" w:hAnsi="Times New Roman" w:cs="Times New Roman"/>
            <w:sz w:val="16"/>
            <w:szCs w:val="16"/>
          </w:rPr>
          <w:fldChar w:fldCharType="end"/>
        </w:r>
      </w:p>
    </w:sdtContent>
  </w:sdt>
  <w:p w14:paraId="38A88F18" w14:textId="77777777" w:rsidR="00566AA5" w:rsidRDefault="00566A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2F01"/>
    <w:multiLevelType w:val="multilevel"/>
    <w:tmpl w:val="0C7C4D88"/>
    <w:lvl w:ilvl="0">
      <w:start w:val="2"/>
      <w:numFmt w:val="decimal"/>
      <w:lvlText w:val="%1."/>
      <w:lvlJc w:val="left"/>
      <w:pPr>
        <w:ind w:left="4613" w:hanging="360"/>
      </w:pPr>
      <w:rPr>
        <w:rFonts w:hint="default"/>
      </w:rPr>
    </w:lvl>
    <w:lvl w:ilvl="1">
      <w:start w:val="1"/>
      <w:numFmt w:val="decimal"/>
      <w:isLgl/>
      <w:lvlText w:val="%1.%2."/>
      <w:lvlJc w:val="left"/>
      <w:pPr>
        <w:ind w:left="4613"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1" w15:restartNumberingAfterBreak="0">
    <w:nsid w:val="7C687D6B"/>
    <w:multiLevelType w:val="multilevel"/>
    <w:tmpl w:val="0427001F"/>
    <w:lvl w:ilvl="0">
      <w:start w:val="1"/>
      <w:numFmt w:val="decimal"/>
      <w:lvlText w:val="%1."/>
      <w:lvlJc w:val="left"/>
      <w:pPr>
        <w:ind w:left="461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7197120">
    <w:abstractNumId w:val="1"/>
  </w:num>
  <w:num w:numId="2" w16cid:durableId="166851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B"/>
    <w:rsid w:val="00007A0B"/>
    <w:rsid w:val="000206F5"/>
    <w:rsid w:val="00031C3F"/>
    <w:rsid w:val="00051485"/>
    <w:rsid w:val="0008256A"/>
    <w:rsid w:val="0009176E"/>
    <w:rsid w:val="000B3340"/>
    <w:rsid w:val="000C259D"/>
    <w:rsid w:val="000C5046"/>
    <w:rsid w:val="000C64AC"/>
    <w:rsid w:val="000D0B59"/>
    <w:rsid w:val="000E1644"/>
    <w:rsid w:val="000E779E"/>
    <w:rsid w:val="000F6BF2"/>
    <w:rsid w:val="001135A2"/>
    <w:rsid w:val="00125176"/>
    <w:rsid w:val="00126E18"/>
    <w:rsid w:val="00131CCB"/>
    <w:rsid w:val="00147CCE"/>
    <w:rsid w:val="0017012E"/>
    <w:rsid w:val="0019380A"/>
    <w:rsid w:val="001A317E"/>
    <w:rsid w:val="001B163B"/>
    <w:rsid w:val="001C3EDB"/>
    <w:rsid w:val="00205B38"/>
    <w:rsid w:val="00205BA8"/>
    <w:rsid w:val="002074F4"/>
    <w:rsid w:val="002105F5"/>
    <w:rsid w:val="002717D8"/>
    <w:rsid w:val="002C059F"/>
    <w:rsid w:val="002D0FF9"/>
    <w:rsid w:val="002D1BC1"/>
    <w:rsid w:val="0033255C"/>
    <w:rsid w:val="00334C50"/>
    <w:rsid w:val="0034372E"/>
    <w:rsid w:val="00376122"/>
    <w:rsid w:val="003C5EA6"/>
    <w:rsid w:val="0042236B"/>
    <w:rsid w:val="00460CA2"/>
    <w:rsid w:val="00472B9A"/>
    <w:rsid w:val="00480371"/>
    <w:rsid w:val="004C0C0F"/>
    <w:rsid w:val="00514FF4"/>
    <w:rsid w:val="0052458B"/>
    <w:rsid w:val="00566AA5"/>
    <w:rsid w:val="00576A57"/>
    <w:rsid w:val="00591FBD"/>
    <w:rsid w:val="005A39C5"/>
    <w:rsid w:val="005A719B"/>
    <w:rsid w:val="005A7A52"/>
    <w:rsid w:val="00621EC1"/>
    <w:rsid w:val="00656615"/>
    <w:rsid w:val="006A6E3A"/>
    <w:rsid w:val="006F37D7"/>
    <w:rsid w:val="00746726"/>
    <w:rsid w:val="00747E3C"/>
    <w:rsid w:val="00767754"/>
    <w:rsid w:val="007725E5"/>
    <w:rsid w:val="00772F21"/>
    <w:rsid w:val="00777672"/>
    <w:rsid w:val="00784208"/>
    <w:rsid w:val="00792AED"/>
    <w:rsid w:val="007D3E06"/>
    <w:rsid w:val="007E29A3"/>
    <w:rsid w:val="0083104B"/>
    <w:rsid w:val="00836223"/>
    <w:rsid w:val="00872413"/>
    <w:rsid w:val="008830BA"/>
    <w:rsid w:val="008A03BC"/>
    <w:rsid w:val="008A566D"/>
    <w:rsid w:val="008B7557"/>
    <w:rsid w:val="008D442D"/>
    <w:rsid w:val="008F64AE"/>
    <w:rsid w:val="009A463E"/>
    <w:rsid w:val="009B1AF8"/>
    <w:rsid w:val="009D1116"/>
    <w:rsid w:val="009F02E8"/>
    <w:rsid w:val="009F1435"/>
    <w:rsid w:val="00A057DD"/>
    <w:rsid w:val="00A107C9"/>
    <w:rsid w:val="00A23D3C"/>
    <w:rsid w:val="00A31364"/>
    <w:rsid w:val="00A40F5B"/>
    <w:rsid w:val="00A74CA0"/>
    <w:rsid w:val="00A75129"/>
    <w:rsid w:val="00A9488F"/>
    <w:rsid w:val="00AA4FB5"/>
    <w:rsid w:val="00AD0DCB"/>
    <w:rsid w:val="00AE34F2"/>
    <w:rsid w:val="00B0395B"/>
    <w:rsid w:val="00B11FEA"/>
    <w:rsid w:val="00B143FA"/>
    <w:rsid w:val="00B158A8"/>
    <w:rsid w:val="00B2177E"/>
    <w:rsid w:val="00B5230C"/>
    <w:rsid w:val="00B63737"/>
    <w:rsid w:val="00B72844"/>
    <w:rsid w:val="00B77C30"/>
    <w:rsid w:val="00B90FBE"/>
    <w:rsid w:val="00B96997"/>
    <w:rsid w:val="00BF6551"/>
    <w:rsid w:val="00C014B2"/>
    <w:rsid w:val="00C01BC5"/>
    <w:rsid w:val="00C0472E"/>
    <w:rsid w:val="00C235F1"/>
    <w:rsid w:val="00C3653A"/>
    <w:rsid w:val="00C47D88"/>
    <w:rsid w:val="00CC1EFF"/>
    <w:rsid w:val="00CC4042"/>
    <w:rsid w:val="00CC59CD"/>
    <w:rsid w:val="00D15044"/>
    <w:rsid w:val="00D565CB"/>
    <w:rsid w:val="00D631BE"/>
    <w:rsid w:val="00D7564A"/>
    <w:rsid w:val="00D76423"/>
    <w:rsid w:val="00D834E2"/>
    <w:rsid w:val="00D90030"/>
    <w:rsid w:val="00DA3E44"/>
    <w:rsid w:val="00DB2F13"/>
    <w:rsid w:val="00DC19CF"/>
    <w:rsid w:val="00DC2F5B"/>
    <w:rsid w:val="00DD131F"/>
    <w:rsid w:val="00DD1F81"/>
    <w:rsid w:val="00DD6E7F"/>
    <w:rsid w:val="00DE3A43"/>
    <w:rsid w:val="00DF17B7"/>
    <w:rsid w:val="00E60259"/>
    <w:rsid w:val="00E63B61"/>
    <w:rsid w:val="00E80325"/>
    <w:rsid w:val="00E8600B"/>
    <w:rsid w:val="00EA24A9"/>
    <w:rsid w:val="00EA772C"/>
    <w:rsid w:val="00EC3478"/>
    <w:rsid w:val="00EC4675"/>
    <w:rsid w:val="00F03A2D"/>
    <w:rsid w:val="00F07975"/>
    <w:rsid w:val="00F11B8F"/>
    <w:rsid w:val="00F20A8F"/>
    <w:rsid w:val="00F20B77"/>
    <w:rsid w:val="00F5523E"/>
    <w:rsid w:val="00F5707B"/>
    <w:rsid w:val="00F63345"/>
    <w:rsid w:val="00F70668"/>
    <w:rsid w:val="00F71064"/>
    <w:rsid w:val="00F823CC"/>
    <w:rsid w:val="00FA4340"/>
    <w:rsid w:val="00FC5AA9"/>
    <w:rsid w:val="00FE2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EAD1"/>
  <w15:docId w15:val="{F8AC0ACA-E659-4FB6-BD3F-27DC8FE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3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3104B"/>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566A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6AA5"/>
  </w:style>
  <w:style w:type="paragraph" w:styleId="Porat">
    <w:name w:val="footer"/>
    <w:basedOn w:val="prastasis"/>
    <w:link w:val="PoratDiagrama"/>
    <w:uiPriority w:val="99"/>
    <w:unhideWhenUsed/>
    <w:rsid w:val="00566A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6AA5"/>
  </w:style>
  <w:style w:type="character" w:styleId="Komentaronuoroda">
    <w:name w:val="annotation reference"/>
    <w:basedOn w:val="Numatytasispastraiposriftas"/>
    <w:uiPriority w:val="99"/>
    <w:semiHidden/>
    <w:unhideWhenUsed/>
    <w:rsid w:val="00F07975"/>
    <w:rPr>
      <w:sz w:val="16"/>
      <w:szCs w:val="16"/>
    </w:rPr>
  </w:style>
  <w:style w:type="paragraph" w:styleId="Komentarotekstas">
    <w:name w:val="annotation text"/>
    <w:basedOn w:val="prastasis"/>
    <w:link w:val="KomentarotekstasDiagrama"/>
    <w:uiPriority w:val="99"/>
    <w:semiHidden/>
    <w:unhideWhenUsed/>
    <w:rsid w:val="00F07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7975"/>
    <w:rPr>
      <w:sz w:val="20"/>
      <w:szCs w:val="20"/>
    </w:rPr>
  </w:style>
  <w:style w:type="paragraph" w:styleId="Komentarotema">
    <w:name w:val="annotation subject"/>
    <w:basedOn w:val="Komentarotekstas"/>
    <w:next w:val="Komentarotekstas"/>
    <w:link w:val="KomentarotemaDiagrama"/>
    <w:uiPriority w:val="99"/>
    <w:semiHidden/>
    <w:unhideWhenUsed/>
    <w:rsid w:val="00F07975"/>
    <w:rPr>
      <w:b/>
      <w:bCs/>
    </w:rPr>
  </w:style>
  <w:style w:type="character" w:customStyle="1" w:styleId="KomentarotemaDiagrama">
    <w:name w:val="Komentaro tema Diagrama"/>
    <w:basedOn w:val="KomentarotekstasDiagrama"/>
    <w:link w:val="Komentarotema"/>
    <w:uiPriority w:val="99"/>
    <w:semiHidden/>
    <w:rsid w:val="00F07975"/>
    <w:rPr>
      <w:b/>
      <w:bCs/>
      <w:sz w:val="20"/>
      <w:szCs w:val="20"/>
    </w:rPr>
  </w:style>
  <w:style w:type="paragraph" w:styleId="Debesliotekstas">
    <w:name w:val="Balloon Text"/>
    <w:basedOn w:val="prastasis"/>
    <w:link w:val="DebesliotekstasDiagrama"/>
    <w:uiPriority w:val="99"/>
    <w:semiHidden/>
    <w:unhideWhenUsed/>
    <w:rsid w:val="00F079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7975"/>
    <w:rPr>
      <w:rFonts w:ascii="Segoe UI" w:hAnsi="Segoe UI" w:cs="Segoe UI"/>
      <w:sz w:val="18"/>
      <w:szCs w:val="18"/>
    </w:rPr>
  </w:style>
  <w:style w:type="character" w:styleId="Hipersaitas">
    <w:name w:val="Hyperlink"/>
    <w:basedOn w:val="Numatytasispastraiposriftas"/>
    <w:uiPriority w:val="99"/>
    <w:unhideWhenUsed/>
    <w:rsid w:val="0042236B"/>
    <w:rPr>
      <w:color w:val="0563C1" w:themeColor="hyperlink"/>
      <w:u w:val="single"/>
    </w:rPr>
  </w:style>
  <w:style w:type="character" w:styleId="Perirtashipersaitas">
    <w:name w:val="FollowedHyperlink"/>
    <w:basedOn w:val="Numatytasispastraiposriftas"/>
    <w:uiPriority w:val="99"/>
    <w:semiHidden/>
    <w:unhideWhenUsed/>
    <w:rsid w:val="0042236B"/>
    <w:rPr>
      <w:color w:val="954F72" w:themeColor="followedHyperlink"/>
      <w:u w:val="single"/>
    </w:rPr>
  </w:style>
  <w:style w:type="paragraph" w:styleId="Puslapioinaostekstas">
    <w:name w:val="footnote text"/>
    <w:basedOn w:val="prastasis"/>
    <w:link w:val="PuslapioinaostekstasDiagrama"/>
    <w:uiPriority w:val="99"/>
    <w:semiHidden/>
    <w:unhideWhenUsed/>
    <w:rsid w:val="00334C5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34C50"/>
    <w:rPr>
      <w:sz w:val="20"/>
      <w:szCs w:val="20"/>
    </w:rPr>
  </w:style>
  <w:style w:type="character" w:styleId="Puslapioinaosnuoroda">
    <w:name w:val="footnote reference"/>
    <w:basedOn w:val="Numatytasispastraiposriftas"/>
    <w:uiPriority w:val="99"/>
    <w:semiHidden/>
    <w:unhideWhenUsed/>
    <w:rsid w:val="00334C50"/>
    <w:rPr>
      <w:vertAlign w:val="superscript"/>
    </w:rPr>
  </w:style>
  <w:style w:type="paragraph" w:styleId="Sraopastraipa">
    <w:name w:val="List Paragraph"/>
    <w:basedOn w:val="prastasis"/>
    <w:uiPriority w:val="34"/>
    <w:qFormat/>
    <w:rsid w:val="00472B9A"/>
    <w:pPr>
      <w:ind w:left="720"/>
      <w:contextualSpacing/>
    </w:pPr>
  </w:style>
  <w:style w:type="paragraph" w:styleId="Pataisymai">
    <w:name w:val="Revision"/>
    <w:hidden/>
    <w:uiPriority w:val="99"/>
    <w:semiHidden/>
    <w:rsid w:val="009A463E"/>
    <w:pPr>
      <w:spacing w:after="0" w:line="240" w:lineRule="auto"/>
    </w:pPr>
  </w:style>
  <w:style w:type="character" w:styleId="Neapdorotaspaminjimas">
    <w:name w:val="Unresolved Mention"/>
    <w:basedOn w:val="Numatytasispastraiposriftas"/>
    <w:uiPriority w:val="99"/>
    <w:semiHidden/>
    <w:unhideWhenUsed/>
    <w:rsid w:val="0083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OJ:L_2024024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5FACD-5F40-4EFC-AE1C-C89D29F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2233</Words>
  <Characters>1274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2025-01-27T11:09:00Z</dcterms:created>
  <dcterms:modified xsi:type="dcterms:W3CDTF">2025-01-27T11:09:00Z</dcterms:modified>
</cp:coreProperties>
</file>