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38D0" w14:textId="77777777" w:rsidR="00AC4326" w:rsidRPr="00585851" w:rsidRDefault="00AC4326" w:rsidP="00AC4326">
      <w:pPr>
        <w:spacing w:after="0" w:line="240" w:lineRule="auto"/>
        <w:ind w:right="-46"/>
        <w:jc w:val="right"/>
        <w:rPr>
          <w:rFonts w:ascii="Times New Roman" w:eastAsia="Calibri" w:hAnsi="Times New Roman" w:cs="Times New Roman"/>
          <w:sz w:val="24"/>
          <w:szCs w:val="24"/>
          <w:lang w:eastAsia="lt-LT"/>
        </w:rPr>
      </w:pPr>
      <w:r w:rsidRPr="00585851">
        <w:rPr>
          <w:rFonts w:ascii="Times New Roman" w:eastAsia="Calibri" w:hAnsi="Times New Roman" w:cs="Times New Roman"/>
          <w:sz w:val="24"/>
          <w:szCs w:val="24"/>
          <w:lang w:eastAsia="lt-LT"/>
        </w:rPr>
        <w:t>Konkurso sąlygų priedas Nr. 1</w:t>
      </w:r>
    </w:p>
    <w:p w14:paraId="590D7CAF" w14:textId="77777777" w:rsidR="00AC4326" w:rsidRDefault="00AC4326" w:rsidP="00874F48">
      <w:pPr>
        <w:jc w:val="center"/>
        <w:rPr>
          <w:rFonts w:ascii="Times New Roman" w:hAnsi="Times New Roman" w:cs="Times New Roman"/>
          <w:b/>
          <w:bCs/>
        </w:rPr>
      </w:pPr>
    </w:p>
    <w:p w14:paraId="0DD5A2E4" w14:textId="146DF2EF" w:rsidR="009C2342" w:rsidRDefault="00874F48" w:rsidP="00874F48">
      <w:pPr>
        <w:jc w:val="center"/>
        <w:rPr>
          <w:rFonts w:ascii="Times New Roman" w:hAnsi="Times New Roman" w:cs="Times New Roman"/>
          <w:b/>
          <w:bCs/>
        </w:rPr>
      </w:pPr>
      <w:r w:rsidRPr="00C63FC9">
        <w:rPr>
          <w:rFonts w:ascii="Times New Roman" w:hAnsi="Times New Roman" w:cs="Times New Roman"/>
          <w:b/>
          <w:bCs/>
        </w:rPr>
        <w:t>TECHNINĖ SPECIFIKACIJA</w:t>
      </w:r>
    </w:p>
    <w:p w14:paraId="0BA8C963" w14:textId="77777777" w:rsidR="00A260A3" w:rsidRPr="00424F33" w:rsidRDefault="00A260A3" w:rsidP="00A260A3">
      <w:pPr>
        <w:jc w:val="both"/>
        <w:rPr>
          <w:rFonts w:ascii="Times New Roman" w:eastAsia="Aptos" w:hAnsi="Times New Roman" w:cs="Times New Roman"/>
          <w:b/>
          <w:bCs/>
          <w:sz w:val="24"/>
          <w:szCs w:val="24"/>
          <w:lang w:eastAsia="lt-LT"/>
        </w:rPr>
      </w:pPr>
      <w:r w:rsidRPr="00424F33">
        <w:rPr>
          <w:rFonts w:ascii="Times New Roman" w:eastAsia="Aptos" w:hAnsi="Times New Roman" w:cs="Times New Roman"/>
          <w:b/>
          <w:bCs/>
          <w:sz w:val="24"/>
          <w:szCs w:val="24"/>
          <w:lang w:eastAsia="lt-LT"/>
        </w:rPr>
        <w:t>Bendrieji reikalavimai</w:t>
      </w:r>
    </w:p>
    <w:p w14:paraId="65428440" w14:textId="77777777" w:rsidR="00A260A3" w:rsidRDefault="00A260A3" w:rsidP="00A260A3">
      <w:pPr>
        <w:jc w:val="both"/>
        <w:rPr>
          <w:rFonts w:ascii="Times New Roman" w:eastAsia="Aptos" w:hAnsi="Times New Roman" w:cs="Times New Roman"/>
          <w:color w:val="EE0000"/>
          <w:sz w:val="24"/>
          <w:szCs w:val="24"/>
          <w:lang w:eastAsia="lt-LT"/>
        </w:rPr>
      </w:pPr>
      <w:r w:rsidRPr="00424F33">
        <w:rPr>
          <w:rFonts w:ascii="Times New Roman" w:eastAsia="Aptos" w:hAnsi="Times New Roman" w:cs="Times New Roman"/>
          <w:sz w:val="24"/>
          <w:szCs w:val="24"/>
          <w:lang w:eastAsia="lt-LT"/>
        </w:rPr>
        <w:t>Tiekėjas turi pateikti dokumentus, įrodančius siūlomos įrangos atitikimą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w:t>
      </w:r>
      <w:proofErr w:type="spellStart"/>
      <w:r w:rsidRPr="00424F33">
        <w:rPr>
          <w:rFonts w:ascii="Times New Roman" w:eastAsia="Aptos" w:hAnsi="Times New Roman" w:cs="Times New Roman"/>
          <w:sz w:val="24"/>
          <w:szCs w:val="24"/>
          <w:lang w:eastAsia="lt-LT"/>
        </w:rPr>
        <w:t>pdf</w:t>
      </w:r>
      <w:proofErr w:type="spellEnd"/>
      <w:r w:rsidRPr="00424F33">
        <w:rPr>
          <w:rFonts w:ascii="Times New Roman" w:eastAsia="Aptos" w:hAnsi="Times New Roman" w:cs="Times New Roman"/>
          <w:sz w:val="24"/>
          <w:szCs w:val="24"/>
          <w:lang w:eastAsia="lt-LT"/>
        </w:rPr>
        <w:t xml:space="preserve"> formatu) </w:t>
      </w:r>
      <w:r w:rsidRPr="00424F33">
        <w:rPr>
          <w:rFonts w:ascii="Times New Roman" w:eastAsia="Aptos" w:hAnsi="Times New Roman" w:cs="Times New Roman"/>
          <w:b/>
          <w:bCs/>
          <w:sz w:val="24"/>
          <w:szCs w:val="24"/>
          <w:lang w:eastAsia="lt-LT"/>
        </w:rPr>
        <w:t>su vertimu į lietuvių kalbą</w:t>
      </w:r>
      <w:r w:rsidRPr="00424F33">
        <w:rPr>
          <w:rFonts w:ascii="Times New Roman" w:eastAsia="Aptos" w:hAnsi="Times New Roman" w:cs="Times New Roman"/>
          <w:color w:val="0078D4"/>
          <w:sz w:val="24"/>
          <w:szCs w:val="24"/>
          <w:lang w:eastAsia="lt-LT"/>
        </w:rPr>
        <w:t xml:space="preserve"> </w:t>
      </w:r>
      <w:r w:rsidRPr="00424F33">
        <w:rPr>
          <w:rFonts w:ascii="Times New Roman" w:eastAsia="Aptos" w:hAnsi="Times New Roman" w:cs="Times New Roman"/>
          <w:sz w:val="24"/>
          <w:szCs w:val="24"/>
          <w:lang w:eastAsia="lt-LT"/>
        </w:rPr>
        <w:t>(kiek tai susiję su atitiktimi techninės specifikacijos reikalavimams).</w:t>
      </w:r>
      <w:r w:rsidRPr="00424F33">
        <w:rPr>
          <w:rFonts w:ascii="Times New Roman" w:eastAsia="Aptos" w:hAnsi="Times New Roman" w:cs="Times New Roman"/>
          <w:b/>
          <w:bCs/>
          <w:sz w:val="24"/>
          <w:szCs w:val="24"/>
          <w:lang w:eastAsia="lt-LT"/>
        </w:rPr>
        <w:t xml:space="preserve"> Perkančioji organizacija nereikalauja, kad šių dokumentų vertimas būtų patvirtintas tiekėjo ar jo įgalioto asmens parašu arba patvirtintas vertėjo parašu ir vertimo biuro antspaudu (jei turi)</w:t>
      </w:r>
      <w:r w:rsidRPr="00424F33">
        <w:rPr>
          <w:rFonts w:ascii="Times New Roman" w:eastAsia="Aptos" w:hAnsi="Times New Roman" w:cs="Times New Roman"/>
          <w:sz w:val="24"/>
          <w:szCs w:val="24"/>
          <w:lang w:eastAsia="lt-LT"/>
        </w:rPr>
        <w:t xml:space="preserve">. </w:t>
      </w:r>
      <w:r w:rsidRPr="00424F33">
        <w:rPr>
          <w:rFonts w:ascii="Times New Roman" w:eastAsia="Aptos" w:hAnsi="Times New Roman" w:cs="Times New Roman"/>
          <w:color w:val="EE0000"/>
          <w:sz w:val="24"/>
          <w:szCs w:val="24"/>
          <w:lang w:eastAsia="lt-LT"/>
        </w:rPr>
        <w:t xml:space="preserve">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w:t>
      </w:r>
    </w:p>
    <w:p w14:paraId="6ECC0C5E" w14:textId="60DD43AC" w:rsidR="0007164D" w:rsidRPr="00C63FC9" w:rsidRDefault="00C776ED" w:rsidP="00C776ED">
      <w:pPr>
        <w:rPr>
          <w:rFonts w:ascii="Times New Roman" w:hAnsi="Times New Roman" w:cs="Times New Roman"/>
          <w:b/>
          <w:bCs/>
        </w:rPr>
      </w:pPr>
      <w:r w:rsidRPr="00C776ED">
        <w:rPr>
          <w:rFonts w:ascii="Times New Roman" w:eastAsia="Aptos" w:hAnsi="Times New Roman" w:cs="Times New Roman"/>
          <w:sz w:val="24"/>
          <w:szCs w:val="24"/>
          <w:lang w:eastAsia="lt-LT"/>
        </w:rPr>
        <w:t>*Garantijai netaikoma.</w:t>
      </w:r>
    </w:p>
    <w:tbl>
      <w:tblPr>
        <w:tblStyle w:val="TableGrid"/>
        <w:tblW w:w="11057" w:type="dxa"/>
        <w:tblInd w:w="-1139" w:type="dxa"/>
        <w:tblLook w:val="04A0" w:firstRow="1" w:lastRow="0" w:firstColumn="1" w:lastColumn="0" w:noHBand="0" w:noVBand="1"/>
      </w:tblPr>
      <w:tblGrid>
        <w:gridCol w:w="696"/>
        <w:gridCol w:w="2110"/>
        <w:gridCol w:w="4282"/>
        <w:gridCol w:w="3969"/>
      </w:tblGrid>
      <w:tr w:rsidR="00AC4326" w:rsidRPr="00C51EBE" w14:paraId="73CD54A7" w14:textId="61604167" w:rsidTr="003A77B6">
        <w:tc>
          <w:tcPr>
            <w:tcW w:w="696" w:type="dxa"/>
          </w:tcPr>
          <w:p w14:paraId="57D6AD5D" w14:textId="77777777" w:rsidR="00AC4326" w:rsidRPr="00C51EBE" w:rsidRDefault="00AC4326" w:rsidP="00C51EBE">
            <w:pPr>
              <w:spacing w:line="276" w:lineRule="auto"/>
              <w:rPr>
                <w:rFonts w:ascii="Times New Roman" w:hAnsi="Times New Roman" w:cs="Times New Roman"/>
                <w:b/>
                <w:bCs/>
                <w:sz w:val="24"/>
                <w:szCs w:val="24"/>
              </w:rPr>
            </w:pPr>
            <w:r w:rsidRPr="00C51EBE">
              <w:rPr>
                <w:rFonts w:ascii="Times New Roman" w:hAnsi="Times New Roman" w:cs="Times New Roman"/>
                <w:b/>
                <w:bCs/>
                <w:sz w:val="24"/>
                <w:szCs w:val="24"/>
              </w:rPr>
              <w:t>Eil. Nr.</w:t>
            </w:r>
          </w:p>
        </w:tc>
        <w:tc>
          <w:tcPr>
            <w:tcW w:w="2110" w:type="dxa"/>
          </w:tcPr>
          <w:p w14:paraId="61C5ACE3" w14:textId="77777777" w:rsidR="00AC4326" w:rsidRPr="00C51EBE" w:rsidRDefault="00AC4326" w:rsidP="00C51EBE">
            <w:pPr>
              <w:spacing w:line="276" w:lineRule="auto"/>
              <w:rPr>
                <w:rFonts w:ascii="Times New Roman" w:hAnsi="Times New Roman" w:cs="Times New Roman"/>
                <w:b/>
                <w:bCs/>
                <w:sz w:val="24"/>
                <w:szCs w:val="24"/>
              </w:rPr>
            </w:pPr>
            <w:r w:rsidRPr="00C51EBE">
              <w:rPr>
                <w:rFonts w:ascii="Times New Roman" w:hAnsi="Times New Roman" w:cs="Times New Roman"/>
                <w:b/>
                <w:bCs/>
                <w:sz w:val="24"/>
                <w:szCs w:val="24"/>
              </w:rPr>
              <w:t>Techninis parametras</w:t>
            </w:r>
          </w:p>
        </w:tc>
        <w:tc>
          <w:tcPr>
            <w:tcW w:w="4282" w:type="dxa"/>
          </w:tcPr>
          <w:p w14:paraId="77867413" w14:textId="77777777" w:rsidR="00AC4326" w:rsidRPr="00C51EBE" w:rsidRDefault="00AC4326" w:rsidP="00C51EBE">
            <w:pPr>
              <w:spacing w:line="276" w:lineRule="auto"/>
              <w:rPr>
                <w:rFonts w:ascii="Times New Roman" w:hAnsi="Times New Roman" w:cs="Times New Roman"/>
                <w:b/>
                <w:bCs/>
                <w:sz w:val="24"/>
                <w:szCs w:val="24"/>
              </w:rPr>
            </w:pPr>
            <w:r w:rsidRPr="00C51EBE">
              <w:rPr>
                <w:rFonts w:ascii="Times New Roman" w:hAnsi="Times New Roman" w:cs="Times New Roman"/>
                <w:b/>
                <w:bCs/>
                <w:sz w:val="24"/>
                <w:szCs w:val="24"/>
              </w:rPr>
              <w:t>Techninio parametro reikalavimas</w:t>
            </w:r>
          </w:p>
        </w:tc>
        <w:tc>
          <w:tcPr>
            <w:tcW w:w="3969" w:type="dxa"/>
          </w:tcPr>
          <w:p w14:paraId="298D1F00" w14:textId="77777777" w:rsidR="00AC4326" w:rsidRPr="00C51EBE" w:rsidRDefault="00AC4326" w:rsidP="00C51EBE">
            <w:pPr>
              <w:spacing w:line="276" w:lineRule="auto"/>
              <w:jc w:val="center"/>
              <w:rPr>
                <w:rFonts w:ascii="Times New Roman" w:hAnsi="Times New Roman" w:cs="Times New Roman"/>
                <w:b/>
                <w:bCs/>
                <w:sz w:val="24"/>
                <w:szCs w:val="24"/>
              </w:rPr>
            </w:pPr>
            <w:r w:rsidRPr="00C51EBE">
              <w:rPr>
                <w:rFonts w:ascii="Times New Roman" w:hAnsi="Times New Roman" w:cs="Times New Roman"/>
                <w:b/>
                <w:bCs/>
                <w:sz w:val="24"/>
                <w:szCs w:val="24"/>
              </w:rPr>
              <w:t>Tiekėjo siūlomi parametrai</w:t>
            </w:r>
          </w:p>
          <w:p w14:paraId="47FA9310" w14:textId="77777777" w:rsidR="00AC4326" w:rsidRDefault="00AC4326" w:rsidP="00C51EBE">
            <w:pPr>
              <w:spacing w:line="276" w:lineRule="auto"/>
              <w:jc w:val="center"/>
              <w:rPr>
                <w:rFonts w:ascii="Times New Roman" w:hAnsi="Times New Roman" w:cs="Times New Roman"/>
                <w:b/>
                <w:bCs/>
                <w:sz w:val="24"/>
                <w:szCs w:val="24"/>
              </w:rPr>
            </w:pPr>
          </w:p>
          <w:p w14:paraId="7F378E5D" w14:textId="77777777" w:rsidR="00C776ED" w:rsidRDefault="00C776ED" w:rsidP="00C776ED">
            <w:pPr>
              <w:jc w:val="center"/>
              <w:rPr>
                <w:rFonts w:ascii="Times New Roman" w:hAnsi="Times New Roman" w:cs="Times New Roman"/>
                <w:b/>
                <w:bCs/>
                <w:lang w:eastAsia="lt-LT"/>
              </w:rPr>
            </w:pPr>
            <w:r w:rsidRPr="00424F33">
              <w:rPr>
                <w:rFonts w:ascii="Times New Roman" w:hAnsi="Times New Roman" w:cs="Times New Roman"/>
                <w:b/>
                <w:bCs/>
                <w:lang w:val="sv-SE" w:eastAsia="lt-LT"/>
              </w:rPr>
              <w:t>*Tiekėjas pildo kiekvien</w:t>
            </w:r>
            <w:r w:rsidRPr="00424F33">
              <w:rPr>
                <w:rFonts w:ascii="Times New Roman" w:hAnsi="Times New Roman" w:cs="Times New Roman"/>
                <w:b/>
                <w:bCs/>
                <w:lang w:eastAsia="lt-LT"/>
              </w:rPr>
              <w:t>ą reikalavimą su atitinkama siūloma reikšme.</w:t>
            </w:r>
          </w:p>
          <w:p w14:paraId="115D792E" w14:textId="77777777" w:rsidR="00C776ED" w:rsidRPr="00424F33" w:rsidRDefault="00C776ED" w:rsidP="00C776ED">
            <w:pPr>
              <w:jc w:val="center"/>
              <w:rPr>
                <w:rFonts w:ascii="Times New Roman" w:hAnsi="Times New Roman" w:cs="Times New Roman"/>
                <w:b/>
                <w:bCs/>
                <w:lang w:eastAsia="lt-LT"/>
              </w:rPr>
            </w:pPr>
          </w:p>
          <w:p w14:paraId="49FE82B2" w14:textId="77777777" w:rsidR="00C776ED" w:rsidRDefault="00C776ED" w:rsidP="00C776ED">
            <w:pPr>
              <w:rPr>
                <w:rFonts w:ascii="Times New Roman" w:hAnsi="Times New Roman" w:cs="Times New Roman"/>
                <w:color w:val="EE0000"/>
                <w:lang w:eastAsia="lt-LT"/>
              </w:rPr>
            </w:pPr>
            <w:r w:rsidRPr="006B74E1">
              <w:rPr>
                <w:rFonts w:ascii="Times New Roman" w:hAnsi="Times New Roman" w:cs="Times New Roman"/>
                <w:color w:val="EE0000"/>
                <w:lang w:eastAsia="lt-LT"/>
              </w:rPr>
              <w:t xml:space="preserve">Prie kiekvieno reikalavimo pateikiamas  techninę charakteristiką pagrindžiantis dokumentas </w:t>
            </w:r>
            <w:r w:rsidRPr="006B74E1">
              <w:rPr>
                <w:rFonts w:ascii="Times New Roman" w:hAnsi="Times New Roman" w:cs="Times New Roman"/>
                <w:color w:val="EE0000"/>
                <w:highlight w:val="yellow"/>
                <w:lang w:eastAsia="lt-LT"/>
              </w:rPr>
              <w:t>_______</w:t>
            </w:r>
            <w:r w:rsidRPr="006B74E1">
              <w:rPr>
                <w:rFonts w:ascii="Times New Roman" w:hAnsi="Times New Roman" w:cs="Times New Roman"/>
                <w:color w:val="EE0000"/>
                <w:lang w:eastAsia="lt-LT"/>
              </w:rPr>
              <w:t xml:space="preserve"> (</w:t>
            </w:r>
            <w:r w:rsidRPr="006B74E1">
              <w:rPr>
                <w:rFonts w:ascii="Times New Roman" w:hAnsi="Times New Roman" w:cs="Times New Roman"/>
                <w:i/>
                <w:iCs/>
                <w:color w:val="EE0000"/>
                <w:lang w:eastAsia="lt-LT"/>
              </w:rPr>
              <w:t>nurodyti pateikiamą dokumentą</w:t>
            </w:r>
            <w:r w:rsidRPr="006B74E1">
              <w:rPr>
                <w:rFonts w:ascii="Times New Roman" w:hAnsi="Times New Roman" w:cs="Times New Roman"/>
                <w:color w:val="EE0000"/>
                <w:lang w:eastAsia="lt-LT"/>
              </w:rPr>
              <w:t xml:space="preserve">), kurio </w:t>
            </w:r>
            <w:r w:rsidRPr="006B74E1">
              <w:rPr>
                <w:rFonts w:ascii="Times New Roman" w:hAnsi="Times New Roman" w:cs="Times New Roman"/>
                <w:color w:val="EE0000"/>
                <w:highlight w:val="yellow"/>
                <w:lang w:eastAsia="lt-LT"/>
              </w:rPr>
              <w:t>_____</w:t>
            </w:r>
            <w:r w:rsidRPr="006B74E1">
              <w:rPr>
                <w:rFonts w:ascii="Times New Roman" w:hAnsi="Times New Roman" w:cs="Times New Roman"/>
                <w:color w:val="EE0000"/>
                <w:lang w:eastAsia="lt-LT"/>
              </w:rPr>
              <w:t xml:space="preserve"> (</w:t>
            </w:r>
            <w:r w:rsidRPr="006B74E1">
              <w:rPr>
                <w:rFonts w:ascii="Times New Roman" w:hAnsi="Times New Roman" w:cs="Times New Roman"/>
                <w:i/>
                <w:iCs/>
                <w:color w:val="EE0000"/>
                <w:lang w:eastAsia="lt-LT"/>
              </w:rPr>
              <w:t>nurodyti</w:t>
            </w:r>
            <w:r w:rsidRPr="006B74E1">
              <w:rPr>
                <w:rFonts w:ascii="Times New Roman" w:hAnsi="Times New Roman" w:cs="Times New Roman"/>
                <w:color w:val="EE0000"/>
                <w:lang w:eastAsia="lt-LT"/>
              </w:rPr>
              <w:t>) puslapyje pateikta atžyma apie parametro reikšmę</w:t>
            </w:r>
          </w:p>
          <w:p w14:paraId="2635F653" w14:textId="77777777" w:rsidR="00C776ED" w:rsidRPr="00C51EBE" w:rsidRDefault="00C776ED" w:rsidP="00C51EBE">
            <w:pPr>
              <w:spacing w:line="276" w:lineRule="auto"/>
              <w:jc w:val="center"/>
              <w:rPr>
                <w:rFonts w:ascii="Times New Roman" w:hAnsi="Times New Roman" w:cs="Times New Roman"/>
                <w:b/>
                <w:bCs/>
                <w:sz w:val="24"/>
                <w:szCs w:val="24"/>
              </w:rPr>
            </w:pPr>
          </w:p>
          <w:p w14:paraId="44B9E8E1" w14:textId="182794A1" w:rsidR="00AC4326" w:rsidRPr="00C51EBE" w:rsidRDefault="00AC4326" w:rsidP="00C51EBE">
            <w:pPr>
              <w:spacing w:line="276" w:lineRule="auto"/>
              <w:jc w:val="center"/>
              <w:rPr>
                <w:rFonts w:ascii="Times New Roman" w:hAnsi="Times New Roman" w:cs="Times New Roman"/>
                <w:b/>
                <w:bCs/>
                <w:sz w:val="24"/>
                <w:szCs w:val="24"/>
              </w:rPr>
            </w:pPr>
            <w:r w:rsidRPr="00C51EBE">
              <w:rPr>
                <w:rFonts w:ascii="Times New Roman" w:hAnsi="Times New Roman" w:cs="Times New Roman"/>
                <w:b/>
                <w:bCs/>
                <w:color w:val="EE0000"/>
                <w:sz w:val="24"/>
                <w:szCs w:val="24"/>
              </w:rPr>
              <w:t xml:space="preserve">(pildo </w:t>
            </w:r>
            <w:proofErr w:type="spellStart"/>
            <w:r w:rsidRPr="00C51EBE">
              <w:rPr>
                <w:rFonts w:ascii="Times New Roman" w:hAnsi="Times New Roman" w:cs="Times New Roman"/>
                <w:b/>
                <w:bCs/>
                <w:color w:val="EE0000"/>
                <w:sz w:val="24"/>
                <w:szCs w:val="24"/>
              </w:rPr>
              <w:t>tiekejas</w:t>
            </w:r>
            <w:proofErr w:type="spellEnd"/>
            <w:r w:rsidRPr="00C51EBE">
              <w:rPr>
                <w:rFonts w:ascii="Times New Roman" w:hAnsi="Times New Roman" w:cs="Times New Roman"/>
                <w:b/>
                <w:bCs/>
                <w:color w:val="EE0000"/>
                <w:sz w:val="24"/>
                <w:szCs w:val="24"/>
              </w:rPr>
              <w:t>)</w:t>
            </w:r>
          </w:p>
        </w:tc>
      </w:tr>
      <w:tr w:rsidR="00AC4326" w:rsidRPr="00C51EBE" w14:paraId="029484D6" w14:textId="77777777" w:rsidTr="003A77B6">
        <w:tc>
          <w:tcPr>
            <w:tcW w:w="696" w:type="dxa"/>
          </w:tcPr>
          <w:p w14:paraId="12CD6F96" w14:textId="16B8B6E6" w:rsidR="00AC4326" w:rsidRPr="00C776ED" w:rsidRDefault="00AC4326" w:rsidP="00C51EBE">
            <w:pPr>
              <w:spacing w:line="276" w:lineRule="auto"/>
              <w:jc w:val="center"/>
              <w:rPr>
                <w:rFonts w:ascii="Times New Roman" w:hAnsi="Times New Roman" w:cs="Times New Roman"/>
                <w:b/>
                <w:bCs/>
                <w:sz w:val="20"/>
                <w:szCs w:val="20"/>
              </w:rPr>
            </w:pPr>
            <w:r w:rsidRPr="00C776ED">
              <w:rPr>
                <w:rFonts w:ascii="Times New Roman" w:hAnsi="Times New Roman" w:cs="Times New Roman"/>
                <w:b/>
                <w:bCs/>
                <w:sz w:val="20"/>
                <w:szCs w:val="20"/>
              </w:rPr>
              <w:t>1</w:t>
            </w:r>
          </w:p>
        </w:tc>
        <w:tc>
          <w:tcPr>
            <w:tcW w:w="2110" w:type="dxa"/>
          </w:tcPr>
          <w:p w14:paraId="6E3E7CB2" w14:textId="474D4F07" w:rsidR="00AC4326" w:rsidRPr="00C776ED" w:rsidRDefault="00AC4326" w:rsidP="00C51EBE">
            <w:pPr>
              <w:spacing w:line="276" w:lineRule="auto"/>
              <w:jc w:val="center"/>
              <w:rPr>
                <w:rFonts w:ascii="Times New Roman" w:hAnsi="Times New Roman" w:cs="Times New Roman"/>
                <w:b/>
                <w:bCs/>
                <w:sz w:val="20"/>
                <w:szCs w:val="20"/>
              </w:rPr>
            </w:pPr>
            <w:r w:rsidRPr="00C776ED">
              <w:rPr>
                <w:rFonts w:ascii="Times New Roman" w:hAnsi="Times New Roman" w:cs="Times New Roman"/>
                <w:b/>
                <w:bCs/>
                <w:sz w:val="20"/>
                <w:szCs w:val="20"/>
              </w:rPr>
              <w:t>3</w:t>
            </w:r>
          </w:p>
        </w:tc>
        <w:tc>
          <w:tcPr>
            <w:tcW w:w="4282" w:type="dxa"/>
          </w:tcPr>
          <w:p w14:paraId="6E42A322" w14:textId="7BDD963B" w:rsidR="00AC4326" w:rsidRPr="00C776ED" w:rsidRDefault="00AC4326" w:rsidP="00C51EBE">
            <w:pPr>
              <w:spacing w:line="276" w:lineRule="auto"/>
              <w:jc w:val="center"/>
              <w:rPr>
                <w:rFonts w:ascii="Times New Roman" w:hAnsi="Times New Roman" w:cs="Times New Roman"/>
                <w:b/>
                <w:bCs/>
                <w:sz w:val="20"/>
                <w:szCs w:val="20"/>
              </w:rPr>
            </w:pPr>
            <w:r w:rsidRPr="00C776ED">
              <w:rPr>
                <w:rFonts w:ascii="Times New Roman" w:hAnsi="Times New Roman" w:cs="Times New Roman"/>
                <w:b/>
                <w:bCs/>
                <w:sz w:val="20"/>
                <w:szCs w:val="20"/>
              </w:rPr>
              <w:t>2</w:t>
            </w:r>
          </w:p>
        </w:tc>
        <w:tc>
          <w:tcPr>
            <w:tcW w:w="3969" w:type="dxa"/>
          </w:tcPr>
          <w:p w14:paraId="0D7953E7" w14:textId="7ED95BB4" w:rsidR="00AC4326" w:rsidRPr="00C776ED" w:rsidRDefault="00AC4326" w:rsidP="00C51EBE">
            <w:pPr>
              <w:spacing w:line="276" w:lineRule="auto"/>
              <w:jc w:val="center"/>
              <w:rPr>
                <w:rFonts w:ascii="Times New Roman" w:hAnsi="Times New Roman" w:cs="Times New Roman"/>
                <w:b/>
                <w:bCs/>
                <w:sz w:val="20"/>
                <w:szCs w:val="20"/>
              </w:rPr>
            </w:pPr>
            <w:r w:rsidRPr="00C776ED">
              <w:rPr>
                <w:rFonts w:ascii="Times New Roman" w:hAnsi="Times New Roman" w:cs="Times New Roman"/>
                <w:b/>
                <w:bCs/>
                <w:sz w:val="20"/>
                <w:szCs w:val="20"/>
              </w:rPr>
              <w:t>4</w:t>
            </w:r>
          </w:p>
        </w:tc>
      </w:tr>
      <w:tr w:rsidR="00AC4326" w:rsidRPr="00C51EBE" w14:paraId="3A9DB2BD" w14:textId="3D8741FD" w:rsidTr="003A77B6">
        <w:tc>
          <w:tcPr>
            <w:tcW w:w="696" w:type="dxa"/>
          </w:tcPr>
          <w:p w14:paraId="273574B1"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w:t>
            </w:r>
          </w:p>
        </w:tc>
        <w:tc>
          <w:tcPr>
            <w:tcW w:w="2110" w:type="dxa"/>
          </w:tcPr>
          <w:p w14:paraId="48CA850A"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Sistemos paskirtis</w:t>
            </w:r>
          </w:p>
        </w:tc>
        <w:tc>
          <w:tcPr>
            <w:tcW w:w="4282" w:type="dxa"/>
          </w:tcPr>
          <w:p w14:paraId="1C5EA933" w14:textId="72878BAA"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Chemiliuminescencinis ir fluorescencinis imunoblotų membranų vaizdinimas</w:t>
            </w:r>
            <w:r w:rsidRPr="00C51EBE">
              <w:rPr>
                <w:rFonts w:ascii="Times New Roman" w:hAnsi="Times New Roman" w:cs="Times New Roman"/>
                <w:sz w:val="24"/>
                <w:szCs w:val="24"/>
              </w:rPr>
              <w:br/>
              <w:t>Fluorescencinis ir kolorimetrinis gelių vaizdinimas</w:t>
            </w:r>
          </w:p>
        </w:tc>
        <w:tc>
          <w:tcPr>
            <w:tcW w:w="3969" w:type="dxa"/>
          </w:tcPr>
          <w:p w14:paraId="08FB4A80"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724FCFF5" w14:textId="51631321" w:rsidTr="003A77B6">
        <w:tc>
          <w:tcPr>
            <w:tcW w:w="696" w:type="dxa"/>
          </w:tcPr>
          <w:p w14:paraId="4EDEC484"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2.</w:t>
            </w:r>
          </w:p>
        </w:tc>
        <w:tc>
          <w:tcPr>
            <w:tcW w:w="2110" w:type="dxa"/>
          </w:tcPr>
          <w:p w14:paraId="5325DD36"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Sistemos valdymas </w:t>
            </w:r>
          </w:p>
        </w:tc>
        <w:tc>
          <w:tcPr>
            <w:tcW w:w="4282" w:type="dxa"/>
          </w:tcPr>
          <w:p w14:paraId="6EA4319D" w14:textId="0CC5D0D1"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Įrenginys su integruotu kompiuteriu (ne planšetiniu).</w:t>
            </w:r>
          </w:p>
          <w:p w14:paraId="2C103B70" w14:textId="3BF15744"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Integruotas kompiuteris ne mažesnės kaip 120 GB atminties.</w:t>
            </w:r>
          </w:p>
        </w:tc>
        <w:tc>
          <w:tcPr>
            <w:tcW w:w="3969" w:type="dxa"/>
          </w:tcPr>
          <w:p w14:paraId="60E1AEEE"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3A9CB794" w14:textId="37870F33" w:rsidTr="003A77B6">
        <w:tc>
          <w:tcPr>
            <w:tcW w:w="696" w:type="dxa"/>
          </w:tcPr>
          <w:p w14:paraId="7AE9D5AC"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3.</w:t>
            </w:r>
          </w:p>
        </w:tc>
        <w:tc>
          <w:tcPr>
            <w:tcW w:w="2110" w:type="dxa"/>
          </w:tcPr>
          <w:p w14:paraId="77B7286F"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Sistemos parametrai</w:t>
            </w:r>
          </w:p>
        </w:tc>
        <w:tc>
          <w:tcPr>
            <w:tcW w:w="4282" w:type="dxa"/>
          </w:tcPr>
          <w:p w14:paraId="50D6486E" w14:textId="3A46C146"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Sudaro 2 dėklų lygiai: (apatinis lygis UV stalui ir viršutinis lygis mėlynam arba baltam stalui arba chemiliuminescenciniams ir epifluorescenciniams  Western blotams arba lygiaveretis).</w:t>
            </w:r>
          </w:p>
          <w:p w14:paraId="4916EDD4" w14:textId="2F655A7B"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Sistema turi automatiškai atpažinti įdėtą stalą ir automatiškai rodyti atitinkamą protokolą (UV, baltas, mėlynas) bei </w:t>
            </w:r>
            <w:r w:rsidRPr="00C51EBE">
              <w:rPr>
                <w:rFonts w:ascii="Times New Roman" w:hAnsi="Times New Roman" w:cs="Times New Roman"/>
                <w:sz w:val="24"/>
                <w:szCs w:val="24"/>
              </w:rPr>
              <w:lastRenderedPageBreak/>
              <w:t>nustatyti filtro nustatymą atitinkamoje padėtyje.</w:t>
            </w:r>
          </w:p>
        </w:tc>
        <w:tc>
          <w:tcPr>
            <w:tcW w:w="3969" w:type="dxa"/>
          </w:tcPr>
          <w:p w14:paraId="535EDA96"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0E361C43" w14:textId="117424E0" w:rsidTr="003A77B6">
        <w:tc>
          <w:tcPr>
            <w:tcW w:w="696" w:type="dxa"/>
          </w:tcPr>
          <w:p w14:paraId="293B8441"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4.</w:t>
            </w:r>
          </w:p>
        </w:tc>
        <w:tc>
          <w:tcPr>
            <w:tcW w:w="2110" w:type="dxa"/>
          </w:tcPr>
          <w:p w14:paraId="6B4D8322"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Transiliuminatorius</w:t>
            </w:r>
          </w:p>
        </w:tc>
        <w:tc>
          <w:tcPr>
            <w:tcW w:w="4282" w:type="dxa"/>
          </w:tcPr>
          <w:p w14:paraId="5EC7E2A1"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Transiliuminatoriaus darbinio ploto išmatavimai ne mažesni nei 24 x 20 cm; </w:t>
            </w:r>
          </w:p>
          <w:p w14:paraId="354E29D5" w14:textId="0D76A642"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ir ne mažiau nei 312nm bangos .</w:t>
            </w:r>
          </w:p>
          <w:p w14:paraId="24300C26" w14:textId="65007CFD"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 Transiliuminatorius  su LED šviesos sistema.</w:t>
            </w:r>
          </w:p>
          <w:p w14:paraId="762BAE3A" w14:textId="624ED210"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Automatinis UV išjungimas atidarius dureles.</w:t>
            </w:r>
          </w:p>
          <w:p w14:paraId="025C8D10" w14:textId="3EE1550C"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UV rankinio perjungimo mygtukas gelio ar juostelių pašalinimui. Magnetinis apsauginis ekranas.</w:t>
            </w:r>
          </w:p>
        </w:tc>
        <w:tc>
          <w:tcPr>
            <w:tcW w:w="3969" w:type="dxa"/>
          </w:tcPr>
          <w:p w14:paraId="2FB74E23"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6F63EA8B" w14:textId="1E397ADD" w:rsidTr="003A77B6">
        <w:tc>
          <w:tcPr>
            <w:tcW w:w="696" w:type="dxa"/>
          </w:tcPr>
          <w:p w14:paraId="4CE6DC2E"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5.</w:t>
            </w:r>
          </w:p>
        </w:tc>
        <w:tc>
          <w:tcPr>
            <w:tcW w:w="2110" w:type="dxa"/>
          </w:tcPr>
          <w:p w14:paraId="4F99A022"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Kameros parametras</w:t>
            </w:r>
          </w:p>
        </w:tc>
        <w:tc>
          <w:tcPr>
            <w:tcW w:w="4282" w:type="dxa"/>
          </w:tcPr>
          <w:p w14:paraId="44B11DEA"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Integruota ne mažesnė nei 16 bitų CCD kamera,</w:t>
            </w:r>
          </w:p>
          <w:p w14:paraId="73584980"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Ne mažesnis nei 65 536 pilkos spalvos lygių pikselių tankis.</w:t>
            </w:r>
          </w:p>
          <w:p w14:paraId="12BE4C14" w14:textId="3A790656"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Natyvinė kamera su ne mažiau nei 30 megapikselių.</w:t>
            </w:r>
          </w:p>
          <w:p w14:paraId="27325686" w14:textId="4612F0B6"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Ne mažesnis nei 3 lygių termoelektrinis (Peltier tipo) arba lygiavertis aušinimas. Temperatūra ne aukštesnė nei -30 </w:t>
            </w:r>
            <w:r w:rsidRPr="00C51EBE">
              <w:rPr>
                <w:rFonts w:ascii="Times New Roman" w:hAnsi="Times New Roman" w:cs="Times New Roman"/>
                <w:sz w:val="24"/>
                <w:szCs w:val="24"/>
                <w:vertAlign w:val="superscript"/>
              </w:rPr>
              <w:t>o</w:t>
            </w:r>
            <w:r w:rsidRPr="00C51EBE">
              <w:rPr>
                <w:rFonts w:ascii="Times New Roman" w:hAnsi="Times New Roman" w:cs="Times New Roman"/>
                <w:sz w:val="24"/>
                <w:szCs w:val="24"/>
              </w:rPr>
              <w:t>C.</w:t>
            </w:r>
          </w:p>
        </w:tc>
        <w:tc>
          <w:tcPr>
            <w:tcW w:w="3969" w:type="dxa"/>
          </w:tcPr>
          <w:p w14:paraId="1E2B40E9"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37D98ED4" w14:textId="41A4256F" w:rsidTr="003A77B6">
        <w:tc>
          <w:tcPr>
            <w:tcW w:w="696" w:type="dxa"/>
          </w:tcPr>
          <w:p w14:paraId="6729C9A9"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6.</w:t>
            </w:r>
          </w:p>
        </w:tc>
        <w:tc>
          <w:tcPr>
            <w:tcW w:w="2110" w:type="dxa"/>
          </w:tcPr>
          <w:p w14:paraId="492A3947"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Optika</w:t>
            </w:r>
          </w:p>
        </w:tc>
        <w:tc>
          <w:tcPr>
            <w:tcW w:w="4282" w:type="dxa"/>
          </w:tcPr>
          <w:p w14:paraId="13AB2BB5" w14:textId="4D43D6A2"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Optika motorizuota,  automatiškai fokusuojanti turinti galimybę fokusuoti ir rankiniu būdu.</w:t>
            </w:r>
          </w:p>
          <w:p w14:paraId="4A8F6A3D" w14:textId="073D6A7F"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Objektyvo diafragmos židinio nuotolis (f reikšmė) ne daugiau nei  f/0,75. Dinaminis diapazonas ne mažesnis nei  4,8 OD.</w:t>
            </w:r>
          </w:p>
        </w:tc>
        <w:tc>
          <w:tcPr>
            <w:tcW w:w="3969" w:type="dxa"/>
          </w:tcPr>
          <w:p w14:paraId="513CF840"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26452881" w14:textId="5F630B6E" w:rsidTr="003A77B6">
        <w:tc>
          <w:tcPr>
            <w:tcW w:w="696" w:type="dxa"/>
          </w:tcPr>
          <w:p w14:paraId="30492678"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7.</w:t>
            </w:r>
          </w:p>
        </w:tc>
        <w:tc>
          <w:tcPr>
            <w:tcW w:w="2110" w:type="dxa"/>
          </w:tcPr>
          <w:p w14:paraId="0155A011"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Epifluorescencinis apšvietimas</w:t>
            </w:r>
          </w:p>
        </w:tc>
        <w:tc>
          <w:tcPr>
            <w:tcW w:w="4282" w:type="dxa"/>
          </w:tcPr>
          <w:p w14:paraId="4E7EC4B4" w14:textId="06180839"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Viršutinis (epi) apšvietimas – baltos šviesos LED arba lygiavertis, automatiškai įsijungiantis atidarius dureles. Sistema turi spalvinį žymeklį. Numatytas automatinis spalvinio arba juodo žymeklio sujungimo (merge) protokolas. </w:t>
            </w:r>
          </w:p>
          <w:p w14:paraId="21A67A09" w14:textId="2FD88518"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Galimybė vienu metu įdiegti kaip ≥7 </w:t>
            </w:r>
            <w:proofErr w:type="spellStart"/>
            <w:r w:rsidRPr="00C51EBE">
              <w:rPr>
                <w:rFonts w:ascii="Times New Roman" w:hAnsi="Times New Roman" w:cs="Times New Roman"/>
                <w:sz w:val="24"/>
                <w:szCs w:val="24"/>
              </w:rPr>
              <w:t>epifluorescencijos</w:t>
            </w:r>
            <w:proofErr w:type="spellEnd"/>
            <w:r w:rsidRPr="00C51EBE">
              <w:rPr>
                <w:rFonts w:ascii="Times New Roman" w:hAnsi="Times New Roman" w:cs="Times New Roman"/>
                <w:sz w:val="24"/>
                <w:szCs w:val="24"/>
              </w:rPr>
              <w:t xml:space="preserve"> sužadinimo šviesos šaltinių ir pasirinkti iš ne mažiau kaip 12 galimų apšvietimo (sužadinimo / išspinduliavimo) kombinacijų: Epi UV 365, šviesiai mėlyna, mėlyna, tamsiai mėlyna, žalia, tamsiai žalia, oranžinė, raudona, NIR, šviesus IR, IR ir tolimasis IR.</w:t>
            </w:r>
          </w:p>
          <w:p w14:paraId="189B171C" w14:textId="547609BB"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Fluorescencinių imunoblotų vaizdų multipleksavimas.</w:t>
            </w:r>
          </w:p>
          <w:p w14:paraId="70374D3F" w14:textId="1F580EFD"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lastRenderedPageBreak/>
              <w:t>Pasirenkami epifluorescencijos šviesos šaltiniai turi naudoti „Chromascan“ arba lygiavertę technologiją.</w:t>
            </w:r>
          </w:p>
        </w:tc>
        <w:tc>
          <w:tcPr>
            <w:tcW w:w="3969" w:type="dxa"/>
          </w:tcPr>
          <w:p w14:paraId="75BA5698"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1A36393F" w14:textId="05355037" w:rsidTr="003A77B6">
        <w:tc>
          <w:tcPr>
            <w:tcW w:w="696" w:type="dxa"/>
          </w:tcPr>
          <w:p w14:paraId="462FACE3"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8.</w:t>
            </w:r>
          </w:p>
        </w:tc>
        <w:tc>
          <w:tcPr>
            <w:tcW w:w="2110" w:type="dxa"/>
          </w:tcPr>
          <w:p w14:paraId="2E085A01"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Filtrų rinkinys dažams</w:t>
            </w:r>
          </w:p>
        </w:tc>
        <w:tc>
          <w:tcPr>
            <w:tcW w:w="4282" w:type="dxa"/>
          </w:tcPr>
          <w:p w14:paraId="1171B487" w14:textId="41A9ABAE"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 ,,Chromascan“ tipo arba lygiaverčiai moduliai, ne mažiau 2 vnt.</w:t>
            </w:r>
          </w:p>
          <w:p w14:paraId="5227628D"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Sužadinimas 480nm – tinkami dažams: FITC, Alexa Fluor 488, GFP, SYTOX Green, Fluorescein, Cy2, Sypro Ruby, DyLight488; </w:t>
            </w:r>
          </w:p>
          <w:p w14:paraId="4BFCAE50" w14:textId="3D443A26"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filtrų rinkinys F-550.</w:t>
            </w:r>
          </w:p>
          <w:p w14:paraId="37B80CE7" w14:textId="6DF396A0"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Sužadinimas 640nm – tinkami dažams: Alexa Fluor 647, Cy5, APC, Atto633, Atto 647N, DyLight 633, DyLight 650; filtrų rinkinys F-700. </w:t>
            </w:r>
          </w:p>
        </w:tc>
        <w:tc>
          <w:tcPr>
            <w:tcW w:w="3969" w:type="dxa"/>
          </w:tcPr>
          <w:p w14:paraId="695309D9"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38FCC9B4" w14:textId="5EC1C198" w:rsidTr="003A77B6">
        <w:tc>
          <w:tcPr>
            <w:tcW w:w="696" w:type="dxa"/>
          </w:tcPr>
          <w:p w14:paraId="2D3EF41D"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9.</w:t>
            </w:r>
          </w:p>
        </w:tc>
        <w:tc>
          <w:tcPr>
            <w:tcW w:w="2110" w:type="dxa"/>
          </w:tcPr>
          <w:p w14:paraId="6327C849"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Emisijos filtrai</w:t>
            </w:r>
          </w:p>
        </w:tc>
        <w:tc>
          <w:tcPr>
            <w:tcW w:w="4282" w:type="dxa"/>
          </w:tcPr>
          <w:p w14:paraId="5BCE8202"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Ne mažesnis nei 8 padėčių motorizuotas filtrų ratas (+1 laisva padėtis chemiluminescencijai).</w:t>
            </w:r>
          </w:p>
          <w:p w14:paraId="6F4AFACD" w14:textId="1C5E714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 Emisijos filtruose naudojama konfokalinio disko arba lygiavertė technologija.</w:t>
            </w:r>
          </w:p>
        </w:tc>
        <w:tc>
          <w:tcPr>
            <w:tcW w:w="3969" w:type="dxa"/>
          </w:tcPr>
          <w:p w14:paraId="4A2CCB8B" w14:textId="77777777" w:rsidR="00AC4326" w:rsidRPr="00C51EBE" w:rsidRDefault="00AC4326" w:rsidP="00C51EBE">
            <w:pPr>
              <w:spacing w:line="276" w:lineRule="auto"/>
              <w:rPr>
                <w:rFonts w:ascii="Times New Roman" w:hAnsi="Times New Roman" w:cs="Times New Roman"/>
                <w:sz w:val="24"/>
                <w:szCs w:val="24"/>
              </w:rPr>
            </w:pPr>
          </w:p>
        </w:tc>
      </w:tr>
      <w:tr w:rsidR="00AC4326" w:rsidRPr="00C51EBE" w14:paraId="4890D82C" w14:textId="698E0E64" w:rsidTr="003A77B6">
        <w:tc>
          <w:tcPr>
            <w:tcW w:w="696" w:type="dxa"/>
          </w:tcPr>
          <w:p w14:paraId="54D2C978"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10.</w:t>
            </w:r>
          </w:p>
        </w:tc>
        <w:tc>
          <w:tcPr>
            <w:tcW w:w="2110" w:type="dxa"/>
          </w:tcPr>
          <w:p w14:paraId="3587DA95"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Duomenų eksportavimas</w:t>
            </w:r>
          </w:p>
        </w:tc>
        <w:tc>
          <w:tcPr>
            <w:tcW w:w="4282" w:type="dxa"/>
          </w:tcPr>
          <w:p w14:paraId="37D965BD" w14:textId="5E4CFF51"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USB LAN jungtis arba lygiavertė.</w:t>
            </w:r>
          </w:p>
        </w:tc>
        <w:tc>
          <w:tcPr>
            <w:tcW w:w="3969" w:type="dxa"/>
          </w:tcPr>
          <w:p w14:paraId="09CAF05E" w14:textId="77777777" w:rsidR="00AC4326" w:rsidRPr="00C51EBE" w:rsidRDefault="00AC4326" w:rsidP="00C51EBE">
            <w:pPr>
              <w:spacing w:line="276" w:lineRule="auto"/>
              <w:jc w:val="both"/>
              <w:rPr>
                <w:rFonts w:ascii="Times New Roman" w:hAnsi="Times New Roman" w:cs="Times New Roman"/>
                <w:sz w:val="24"/>
                <w:szCs w:val="24"/>
              </w:rPr>
            </w:pPr>
          </w:p>
        </w:tc>
      </w:tr>
      <w:tr w:rsidR="00AC4326" w:rsidRPr="00C51EBE" w14:paraId="06965705" w14:textId="73C7FBCB" w:rsidTr="003A77B6">
        <w:tc>
          <w:tcPr>
            <w:tcW w:w="696" w:type="dxa"/>
          </w:tcPr>
          <w:p w14:paraId="77C1FB0E"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11.</w:t>
            </w:r>
          </w:p>
        </w:tc>
        <w:tc>
          <w:tcPr>
            <w:tcW w:w="2110" w:type="dxa"/>
          </w:tcPr>
          <w:p w14:paraId="67C93794" w14:textId="77777777"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Programinė įranga</w:t>
            </w:r>
          </w:p>
        </w:tc>
        <w:tc>
          <w:tcPr>
            <w:tcW w:w="4282" w:type="dxa"/>
          </w:tcPr>
          <w:p w14:paraId="0FA39517" w14:textId="77777777"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Vaizdų išgavimo (acquisition) programinė įranga su iš anksto nustatytais protokolais bei galimybe kurti individualius protokolus.</w:t>
            </w:r>
          </w:p>
          <w:p w14:paraId="3F1CB35C" w14:textId="286040D3"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 xml:space="preserve"> „Preview“, „Auto“, „Manual“ ir „Serial“ režimai. „Auto“ režimu programinė įranga  geba automatiškai parinkti ekspozicijos laiką ir nustatyti konkrečią vaizdo sritį, kuri bus fiksuojama.</w:t>
            </w:r>
          </w:p>
          <w:p w14:paraId="4B1997D4" w14:textId="4ECEA716"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Sistema tiekiama su licencijos nereikalaujančia standartine programine įranga neribotam naudotojų skaičiui, skirta vaizdų redagavimui ir standartinei analizei.</w:t>
            </w:r>
          </w:p>
          <w:p w14:paraId="2FE27DD4" w14:textId="46261EC6"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Programinė įranga automatiškai atlieka juostų (band) atpažinimą, analizę, molekulinės masės nustatymą, kiekybinį įvertinimą bei palaiko chemiliuminescencinių ir fluorescencinių imunoblotų, taškinių blotų (spot blot), 1D DNR/RNR gelių ir baltymų gelių analizę.</w:t>
            </w:r>
          </w:p>
          <w:p w14:paraId="1F01F161" w14:textId="0D6C3157"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 xml:space="preserve"> Programinė įranga siūlo „live“ ir „live-3D“ režimus vaizdų fiksavimo metu, palaikančius visas fluorescencines taikymo sritis.</w:t>
            </w:r>
          </w:p>
          <w:p w14:paraId="676D7E0C" w14:textId="0E00C7E3"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lastRenderedPageBreak/>
              <w:t xml:space="preserve"> Yra galimybė po vaizdo fiksavimo jį peržiūrėti 3D režimu, invertuoti spalvas (juoda/balta arba balta/juoda), rodyti arba nerodyti saturaciją bei pridėti anotacijas, flat field“ funkcija netolygaus apšvietimo intensyvumo korekcijai tiek fono, tiek signalo atžvilgiu. Procentinės pilkos spalvos intensyvumo išraiškos galimybė. Pateikiama histograma grafiniam duomenų atvaizdavimui.</w:t>
            </w:r>
          </w:p>
          <w:p w14:paraId="35DD8E72" w14:textId="13EB49BB"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Parodoma konkrečios juostos užfiksuoti pilkos spalvos lygiai, tiesiog palietus atitinkamą vietą ekrane, įterpia ir sujungia spalvinio arba juodai balto žymeklio vaizdą, pasirenkant mėginį, kad būtų galima tiesiogiai palyginti baltymą su žymekliu. Multipleksuotų vaizdų rodymo galimybė.</w:t>
            </w:r>
          </w:p>
          <w:p w14:paraId="0FAE822F" w14:textId="34262858"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Fono koregavimas ir pilkos spalvos lygio skalės reguliavimas galimi tik atvaizdavimui, nekeičiant duomenų vientisumo.</w:t>
            </w:r>
          </w:p>
          <w:p w14:paraId="34C50597" w14:textId="759FEE5A"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 xml:space="preserve"> Programinė įranga išsaugoja vaizdus TIFF, Tagged TIFF, JPEG arba Bitmap formatais, palaikant 16 bitų arba 8 bitų vaizdus.</w:t>
            </w:r>
          </w:p>
          <w:p w14:paraId="560AC58E" w14:textId="5539D714"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Vaizdai automatiškai išsaugomi integruotoje galerijoje.</w:t>
            </w:r>
          </w:p>
        </w:tc>
        <w:tc>
          <w:tcPr>
            <w:tcW w:w="3969" w:type="dxa"/>
          </w:tcPr>
          <w:p w14:paraId="5A138778" w14:textId="77777777" w:rsidR="00AC4326" w:rsidRPr="00C51EBE" w:rsidRDefault="00AC4326" w:rsidP="00C51EBE">
            <w:pPr>
              <w:spacing w:line="276" w:lineRule="auto"/>
              <w:jc w:val="both"/>
              <w:rPr>
                <w:rFonts w:ascii="Times New Roman" w:hAnsi="Times New Roman" w:cs="Times New Roman"/>
                <w:sz w:val="24"/>
                <w:szCs w:val="24"/>
              </w:rPr>
            </w:pPr>
          </w:p>
        </w:tc>
      </w:tr>
      <w:tr w:rsidR="00AC4326" w:rsidRPr="00C51EBE" w14:paraId="61EA7C6F" w14:textId="6F06C2AD" w:rsidTr="003A77B6">
        <w:tc>
          <w:tcPr>
            <w:tcW w:w="696" w:type="dxa"/>
          </w:tcPr>
          <w:p w14:paraId="7E9C7697" w14:textId="29F65D90"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12.</w:t>
            </w:r>
          </w:p>
        </w:tc>
        <w:tc>
          <w:tcPr>
            <w:tcW w:w="2110" w:type="dxa"/>
          </w:tcPr>
          <w:p w14:paraId="537E8068" w14:textId="77777777"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Instrukcijos</w:t>
            </w:r>
          </w:p>
        </w:tc>
        <w:tc>
          <w:tcPr>
            <w:tcW w:w="4282" w:type="dxa"/>
          </w:tcPr>
          <w:p w14:paraId="3710F1DE" w14:textId="44B528F6"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Tiekėjas</w:t>
            </w:r>
            <w:r w:rsidR="003A77B6">
              <w:rPr>
                <w:rFonts w:ascii="Times New Roman" w:hAnsi="Times New Roman" w:cs="Times New Roman"/>
                <w:sz w:val="24"/>
                <w:szCs w:val="24"/>
              </w:rPr>
              <w:t>, kartu su preke</w:t>
            </w:r>
            <w:r w:rsidRPr="00C51EBE">
              <w:rPr>
                <w:rFonts w:ascii="Times New Roman" w:hAnsi="Times New Roman" w:cs="Times New Roman"/>
                <w:sz w:val="24"/>
                <w:szCs w:val="24"/>
              </w:rPr>
              <w:t xml:space="preserve"> turi pateikti detalų vartotojo vadovą anglų arba lietuvių kalba.</w:t>
            </w:r>
          </w:p>
        </w:tc>
        <w:tc>
          <w:tcPr>
            <w:tcW w:w="3969" w:type="dxa"/>
          </w:tcPr>
          <w:p w14:paraId="71676792" w14:textId="77777777" w:rsidR="00AC4326" w:rsidRPr="00C51EBE" w:rsidRDefault="00AC4326" w:rsidP="00C51EBE">
            <w:pPr>
              <w:spacing w:line="276" w:lineRule="auto"/>
              <w:jc w:val="both"/>
              <w:rPr>
                <w:rFonts w:ascii="Times New Roman" w:hAnsi="Times New Roman" w:cs="Times New Roman"/>
                <w:sz w:val="24"/>
                <w:szCs w:val="24"/>
              </w:rPr>
            </w:pPr>
          </w:p>
        </w:tc>
      </w:tr>
      <w:tr w:rsidR="00AC4326" w:rsidRPr="00C51EBE" w14:paraId="62DE9BF7" w14:textId="55114BED" w:rsidTr="003A77B6">
        <w:tc>
          <w:tcPr>
            <w:tcW w:w="696" w:type="dxa"/>
          </w:tcPr>
          <w:p w14:paraId="6053D724" w14:textId="509CE946"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13.</w:t>
            </w:r>
          </w:p>
        </w:tc>
        <w:tc>
          <w:tcPr>
            <w:tcW w:w="2110" w:type="dxa"/>
          </w:tcPr>
          <w:p w14:paraId="0B717BCA" w14:textId="13C41702"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Gelių dokumentavimo sistemos garantija</w:t>
            </w:r>
          </w:p>
        </w:tc>
        <w:tc>
          <w:tcPr>
            <w:tcW w:w="4282" w:type="dxa"/>
          </w:tcPr>
          <w:p w14:paraId="1BA6A397" w14:textId="13C4CB61"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Ne mažiau nei 36 mėn., išskyrus filtrus ir transiliuminatoriaus lempas. Įrangos garantija apima nemokamą remontą ir neveikiančių dalių arba viso prietaiso pakeitimą, kad įranga galėtų pilnavertiškai veikti visą garantijos laikotarpį.</w:t>
            </w:r>
          </w:p>
        </w:tc>
        <w:tc>
          <w:tcPr>
            <w:tcW w:w="3969" w:type="dxa"/>
          </w:tcPr>
          <w:p w14:paraId="139A9931" w14:textId="77777777" w:rsidR="00AC4326" w:rsidRPr="00C51EBE" w:rsidRDefault="00AC4326" w:rsidP="00C51EBE">
            <w:pPr>
              <w:spacing w:line="276" w:lineRule="auto"/>
              <w:jc w:val="both"/>
              <w:rPr>
                <w:rFonts w:ascii="Times New Roman" w:hAnsi="Times New Roman" w:cs="Times New Roman"/>
                <w:sz w:val="24"/>
                <w:szCs w:val="24"/>
              </w:rPr>
            </w:pPr>
          </w:p>
        </w:tc>
      </w:tr>
      <w:tr w:rsidR="00AC4326" w:rsidRPr="00C51EBE" w14:paraId="1C5D78B4" w14:textId="77B62225" w:rsidTr="003A77B6">
        <w:tc>
          <w:tcPr>
            <w:tcW w:w="696" w:type="dxa"/>
          </w:tcPr>
          <w:p w14:paraId="0917556E" w14:textId="4B713EA9"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w:t>
            </w:r>
          </w:p>
        </w:tc>
        <w:tc>
          <w:tcPr>
            <w:tcW w:w="2110" w:type="dxa"/>
          </w:tcPr>
          <w:p w14:paraId="5F3508A4" w14:textId="1B3B9822"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 xml:space="preserve">Vaizdinimo mėginių sistemos dalis </w:t>
            </w:r>
          </w:p>
        </w:tc>
        <w:tc>
          <w:tcPr>
            <w:tcW w:w="4282" w:type="dxa"/>
          </w:tcPr>
          <w:p w14:paraId="109977D0" w14:textId="48EEC9D8"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hAnsi="Times New Roman" w:cs="Times New Roman"/>
                <w:sz w:val="24"/>
                <w:szCs w:val="24"/>
              </w:rPr>
              <w:t xml:space="preserve">Laminaras, skirtas vaizdinimo sistemos mėginių paruošimui ir vaizdinimo sistemos patalpinimui, jeigu mėginys yra jautrus. </w:t>
            </w:r>
          </w:p>
        </w:tc>
        <w:tc>
          <w:tcPr>
            <w:tcW w:w="3969" w:type="dxa"/>
          </w:tcPr>
          <w:p w14:paraId="2148EE30" w14:textId="77777777" w:rsidR="00AC4326" w:rsidRPr="00C51EBE" w:rsidRDefault="00AC4326" w:rsidP="00C51EBE">
            <w:pPr>
              <w:spacing w:line="276" w:lineRule="auto"/>
              <w:jc w:val="both"/>
              <w:rPr>
                <w:rFonts w:ascii="Times New Roman" w:hAnsi="Times New Roman" w:cs="Times New Roman"/>
                <w:sz w:val="24"/>
                <w:szCs w:val="24"/>
              </w:rPr>
            </w:pPr>
          </w:p>
        </w:tc>
      </w:tr>
      <w:tr w:rsidR="00AC4326" w:rsidRPr="00C51EBE" w14:paraId="6A705A76" w14:textId="5943C0D4" w:rsidTr="003A77B6">
        <w:tc>
          <w:tcPr>
            <w:tcW w:w="696" w:type="dxa"/>
          </w:tcPr>
          <w:p w14:paraId="504C425A" w14:textId="2B39EC4B"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14.1.</w:t>
            </w:r>
          </w:p>
        </w:tc>
        <w:tc>
          <w:tcPr>
            <w:tcW w:w="2110" w:type="dxa"/>
          </w:tcPr>
          <w:p w14:paraId="189A4C1E" w14:textId="3FF4F1EB" w:rsidR="00AC4326" w:rsidRPr="00C51EBE" w:rsidRDefault="00AC4326" w:rsidP="00C51EBE">
            <w:pPr>
              <w:spacing w:line="276" w:lineRule="auto"/>
              <w:rPr>
                <w:rFonts w:ascii="Times New Roman" w:hAnsi="Times New Roman" w:cs="Times New Roman"/>
                <w:sz w:val="24"/>
                <w:szCs w:val="24"/>
              </w:rPr>
            </w:pPr>
            <w:r w:rsidRPr="00C51EBE">
              <w:rPr>
                <w:rFonts w:ascii="Times New Roman" w:eastAsia="Calibri" w:hAnsi="Times New Roman" w:cs="Times New Roman"/>
                <w:noProof/>
                <w:sz w:val="24"/>
                <w:szCs w:val="24"/>
              </w:rPr>
              <w:t>Įrenginio tipas</w:t>
            </w:r>
          </w:p>
        </w:tc>
        <w:tc>
          <w:tcPr>
            <w:tcW w:w="4282" w:type="dxa"/>
          </w:tcPr>
          <w:p w14:paraId="7266D112" w14:textId="32F1A601" w:rsidR="00AC4326" w:rsidRPr="00C51EBE" w:rsidRDefault="00AC4326" w:rsidP="00C51EBE">
            <w:pPr>
              <w:spacing w:line="276" w:lineRule="auto"/>
              <w:jc w:val="both"/>
              <w:rPr>
                <w:rFonts w:ascii="Times New Roman" w:hAnsi="Times New Roman" w:cs="Times New Roman"/>
                <w:sz w:val="24"/>
                <w:szCs w:val="24"/>
              </w:rPr>
            </w:pPr>
            <w:r w:rsidRPr="00C51EBE">
              <w:rPr>
                <w:rFonts w:ascii="Times New Roman" w:eastAsia="Calibri" w:hAnsi="Times New Roman" w:cs="Times New Roman"/>
                <w:noProof/>
                <w:sz w:val="24"/>
                <w:szCs w:val="24"/>
              </w:rPr>
              <w:t>Vertikalaus srauto II apsaugos lygio laminaras</w:t>
            </w:r>
          </w:p>
        </w:tc>
        <w:tc>
          <w:tcPr>
            <w:tcW w:w="3969" w:type="dxa"/>
          </w:tcPr>
          <w:p w14:paraId="174965C0" w14:textId="77777777" w:rsidR="00AC4326" w:rsidRPr="00C51EBE" w:rsidRDefault="00AC4326" w:rsidP="00C51EBE">
            <w:pPr>
              <w:spacing w:line="276" w:lineRule="auto"/>
              <w:jc w:val="both"/>
              <w:rPr>
                <w:rFonts w:ascii="Times New Roman" w:eastAsia="Calibri" w:hAnsi="Times New Roman" w:cs="Times New Roman"/>
                <w:noProof/>
                <w:sz w:val="24"/>
                <w:szCs w:val="24"/>
              </w:rPr>
            </w:pPr>
          </w:p>
        </w:tc>
      </w:tr>
      <w:tr w:rsidR="00AC4326" w:rsidRPr="00C51EBE" w14:paraId="0B3A76A5" w14:textId="3EA5009B" w:rsidTr="003A77B6">
        <w:tc>
          <w:tcPr>
            <w:tcW w:w="696" w:type="dxa"/>
          </w:tcPr>
          <w:p w14:paraId="0DC0AD29" w14:textId="75363F5A"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14.2</w:t>
            </w:r>
          </w:p>
        </w:tc>
        <w:tc>
          <w:tcPr>
            <w:tcW w:w="2110" w:type="dxa"/>
          </w:tcPr>
          <w:p w14:paraId="33BFBBC9" w14:textId="7EC0BEBD"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 xml:space="preserve">Paskirtis </w:t>
            </w:r>
          </w:p>
        </w:tc>
        <w:tc>
          <w:tcPr>
            <w:tcW w:w="4282" w:type="dxa"/>
          </w:tcPr>
          <w:p w14:paraId="092D41F4" w14:textId="049ABA40"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 xml:space="preserve">Naudojamas laboratorijose, dirbant su sterilumo reikalaujančiomis sistemomis bei mėginiais. </w:t>
            </w:r>
          </w:p>
          <w:p w14:paraId="5D93E935" w14:textId="0643904E" w:rsidR="00AC4326" w:rsidRPr="00C51EBE" w:rsidRDefault="00AC4326" w:rsidP="00C51EBE">
            <w:pPr>
              <w:spacing w:line="276" w:lineRule="auto"/>
              <w:jc w:val="both"/>
              <w:rPr>
                <w:rFonts w:ascii="Times New Roman" w:eastAsia="Calibri" w:hAnsi="Times New Roman" w:cs="Times New Roman"/>
                <w:noProof/>
                <w:sz w:val="24"/>
                <w:szCs w:val="24"/>
              </w:rPr>
            </w:pPr>
          </w:p>
        </w:tc>
        <w:tc>
          <w:tcPr>
            <w:tcW w:w="3969" w:type="dxa"/>
          </w:tcPr>
          <w:p w14:paraId="5B152262" w14:textId="77777777" w:rsidR="00AC4326" w:rsidRPr="00C51EBE" w:rsidRDefault="00AC4326" w:rsidP="00C51EBE">
            <w:pPr>
              <w:spacing w:line="276" w:lineRule="auto"/>
              <w:rPr>
                <w:rFonts w:ascii="Times New Roman" w:eastAsia="Calibri" w:hAnsi="Times New Roman" w:cs="Times New Roman"/>
                <w:noProof/>
                <w:sz w:val="24"/>
                <w:szCs w:val="24"/>
              </w:rPr>
            </w:pPr>
          </w:p>
        </w:tc>
      </w:tr>
      <w:tr w:rsidR="00AC4326" w:rsidRPr="00C51EBE" w14:paraId="567ED86A" w14:textId="6B49D6DE" w:rsidTr="003A77B6">
        <w:tc>
          <w:tcPr>
            <w:tcW w:w="696" w:type="dxa"/>
          </w:tcPr>
          <w:p w14:paraId="5C288223" w14:textId="48A7A3DE"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lastRenderedPageBreak/>
              <w:t>14.3</w:t>
            </w:r>
          </w:p>
        </w:tc>
        <w:tc>
          <w:tcPr>
            <w:tcW w:w="2110" w:type="dxa"/>
          </w:tcPr>
          <w:p w14:paraId="19155960" w14:textId="3472458F"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Komplektą sudaro:</w:t>
            </w:r>
          </w:p>
        </w:tc>
        <w:tc>
          <w:tcPr>
            <w:tcW w:w="4282" w:type="dxa"/>
          </w:tcPr>
          <w:p w14:paraId="37326B93" w14:textId="7DCBB368"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 xml:space="preserve">Ne mažiau kaip du HEPA filtrai: pagrindinis srauto filtras, oro pašalinimo filtras. </w:t>
            </w:r>
          </w:p>
          <w:p w14:paraId="5874B4D2" w14:textId="67019BE5"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Reguliuojamo aukščio stovas, reguliavimas ne siauresnėse ribose kaip nuo 700 mm iki 800 mm. Pagaminta iš plieno</w:t>
            </w:r>
            <w:r w:rsidR="006E4B43" w:rsidRPr="00C51EBE">
              <w:rPr>
                <w:rFonts w:ascii="Times New Roman" w:eastAsia="Calibri" w:hAnsi="Times New Roman" w:cs="Times New Roman"/>
                <w:noProof/>
                <w:sz w:val="24"/>
                <w:szCs w:val="24"/>
              </w:rPr>
              <w:t xml:space="preserve"> arba lygiartės medžiagos</w:t>
            </w:r>
            <w:r w:rsidRPr="00C51EBE">
              <w:rPr>
                <w:rFonts w:ascii="Times New Roman" w:eastAsia="Calibri" w:hAnsi="Times New Roman" w:cs="Times New Roman"/>
                <w:noProof/>
                <w:sz w:val="24"/>
                <w:szCs w:val="24"/>
              </w:rPr>
              <w:t xml:space="preserve"> atsparaus cheminėms medžiagoms, išorė padengta antibakterine danga.</w:t>
            </w:r>
          </w:p>
          <w:p w14:paraId="335F2137" w14:textId="0763596D"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Priekinis langas.  Ergonominio pasvyrimo, pasvyrimo kampas nuo vertikalės ne mažiau kaip 5 laipsniai. Atidarymo aukštis ne mažesnis nei 210 mm.</w:t>
            </w:r>
          </w:p>
          <w:p w14:paraId="52CCE360" w14:textId="27717A74"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Šoninės sienelės be stiklo.</w:t>
            </w:r>
          </w:p>
          <w:p w14:paraId="35547C4A" w14:textId="2370A3E3"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Darbastalis.  Padalintas į ne mažiau kaip keturias sekcijas, kurias galima išimti valymui. Pagamintas iš plieno arba lygiavertis, atsparaus dezinfekcinėms medžiagoms. Po darbastaliu turi būti ertmė galimų skysčių surinkimui.</w:t>
            </w:r>
          </w:p>
          <w:p w14:paraId="16C91DD9" w14:textId="531DDD8C"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Integruota UV lempa dezinfekcijai (ant galinės sienelės); apšviestumo lygis ne mažesnis kaip 1200 Lux su LED šviestuvu.</w:t>
            </w:r>
          </w:p>
          <w:p w14:paraId="0CDD759A" w14:textId="1D101C55" w:rsidR="00AC4326" w:rsidRPr="00C51EBE" w:rsidRDefault="00AC4326" w:rsidP="00C51EBE">
            <w:pPr>
              <w:pStyle w:val="ListParagraph"/>
              <w:numPr>
                <w:ilvl w:val="0"/>
                <w:numId w:val="2"/>
              </w:num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Vidinėje laminaro darbinėje aplinkoje ne mažiau kaip 2 vnt elektros rozečių. Laikmatis, skaičiuojantis UV lempos darbo laiką, filtrų aptarnavimo laiką.</w:t>
            </w:r>
          </w:p>
          <w:p w14:paraId="6312777D" w14:textId="6D8A130A" w:rsidR="00AC4326" w:rsidRPr="00C51EBE" w:rsidRDefault="00AC4326" w:rsidP="00C51EBE">
            <w:pPr>
              <w:spacing w:line="276" w:lineRule="auto"/>
              <w:rPr>
                <w:rFonts w:ascii="Times New Roman" w:eastAsia="Calibri" w:hAnsi="Times New Roman" w:cs="Times New Roman"/>
                <w:noProof/>
                <w:sz w:val="24"/>
                <w:szCs w:val="24"/>
              </w:rPr>
            </w:pPr>
          </w:p>
        </w:tc>
        <w:tc>
          <w:tcPr>
            <w:tcW w:w="3969" w:type="dxa"/>
          </w:tcPr>
          <w:p w14:paraId="0AC4E3D6" w14:textId="77777777" w:rsidR="00AC4326" w:rsidRPr="00C51EBE" w:rsidRDefault="00AC4326" w:rsidP="00FD681A">
            <w:pPr>
              <w:pStyle w:val="ListParagraph"/>
              <w:spacing w:line="276" w:lineRule="auto"/>
              <w:rPr>
                <w:rFonts w:ascii="Times New Roman" w:eastAsia="Calibri" w:hAnsi="Times New Roman" w:cs="Times New Roman"/>
                <w:noProof/>
                <w:sz w:val="24"/>
                <w:szCs w:val="24"/>
              </w:rPr>
            </w:pPr>
          </w:p>
        </w:tc>
      </w:tr>
      <w:tr w:rsidR="00AC4326" w:rsidRPr="00C51EBE" w14:paraId="5E79DB87" w14:textId="20CB4FCE" w:rsidTr="003A77B6">
        <w:tc>
          <w:tcPr>
            <w:tcW w:w="696" w:type="dxa"/>
          </w:tcPr>
          <w:p w14:paraId="61A995C4" w14:textId="77225D7A"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14.4</w:t>
            </w:r>
          </w:p>
        </w:tc>
        <w:tc>
          <w:tcPr>
            <w:tcW w:w="2110" w:type="dxa"/>
          </w:tcPr>
          <w:p w14:paraId="41E367FB" w14:textId="03E7B977"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Triukšmo lygis</w:t>
            </w:r>
          </w:p>
        </w:tc>
        <w:tc>
          <w:tcPr>
            <w:tcW w:w="4282" w:type="dxa"/>
          </w:tcPr>
          <w:p w14:paraId="4C18D19D" w14:textId="6BC2C186"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Ne daugiau kaip 60 dB(A).</w:t>
            </w:r>
          </w:p>
        </w:tc>
        <w:tc>
          <w:tcPr>
            <w:tcW w:w="3969" w:type="dxa"/>
          </w:tcPr>
          <w:p w14:paraId="32C15E1D" w14:textId="77777777" w:rsidR="00AC4326" w:rsidRPr="00C51EBE" w:rsidRDefault="00AC4326" w:rsidP="00C51EBE">
            <w:pPr>
              <w:spacing w:line="276" w:lineRule="auto"/>
              <w:rPr>
                <w:rFonts w:ascii="Times New Roman" w:eastAsia="Calibri" w:hAnsi="Times New Roman" w:cs="Times New Roman"/>
                <w:noProof/>
                <w:sz w:val="24"/>
                <w:szCs w:val="24"/>
              </w:rPr>
            </w:pPr>
          </w:p>
        </w:tc>
      </w:tr>
      <w:tr w:rsidR="00AC4326" w:rsidRPr="00C51EBE" w14:paraId="067F411E" w14:textId="76B5C946" w:rsidTr="003A77B6">
        <w:tc>
          <w:tcPr>
            <w:tcW w:w="696" w:type="dxa"/>
          </w:tcPr>
          <w:p w14:paraId="79A82600" w14:textId="7CCA36AD"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14.5</w:t>
            </w:r>
          </w:p>
        </w:tc>
        <w:tc>
          <w:tcPr>
            <w:tcW w:w="2110" w:type="dxa"/>
          </w:tcPr>
          <w:p w14:paraId="42C6BE2B" w14:textId="5798A593"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Oro srautai ir greitis</w:t>
            </w:r>
          </w:p>
        </w:tc>
        <w:tc>
          <w:tcPr>
            <w:tcW w:w="4282" w:type="dxa"/>
          </w:tcPr>
          <w:p w14:paraId="0B53F48A" w14:textId="50BF9057" w:rsidR="00AC4326" w:rsidRPr="00C51EBE" w:rsidRDefault="00AC4326" w:rsidP="00C51EBE">
            <w:pPr>
              <w:spacing w:line="276" w:lineRule="auto"/>
              <w:rPr>
                <w:rFonts w:ascii="Times New Roman" w:eastAsia="Calibri" w:hAnsi="Times New Roman" w:cs="Times New Roman"/>
                <w:noProof/>
                <w:sz w:val="24"/>
                <w:szCs w:val="24"/>
                <w:lang w:val="pt-BR"/>
              </w:rPr>
            </w:pPr>
            <w:r w:rsidRPr="00C51EBE">
              <w:rPr>
                <w:rFonts w:ascii="Times New Roman" w:eastAsia="Calibri" w:hAnsi="Times New Roman" w:cs="Times New Roman"/>
                <w:noProof/>
                <w:sz w:val="24"/>
                <w:szCs w:val="24"/>
              </w:rPr>
              <w:t>Oro cirkuliacija ne mažiau 70</w:t>
            </w:r>
            <w:r w:rsidRPr="00C51EBE">
              <w:rPr>
                <w:rFonts w:ascii="Times New Roman" w:eastAsia="Calibri" w:hAnsi="Times New Roman" w:cs="Times New Roman"/>
                <w:noProof/>
                <w:sz w:val="24"/>
                <w:szCs w:val="24"/>
                <w:lang w:val="pt-BR"/>
              </w:rPr>
              <w:t>% recirkuliuojamas oro ir 30% patalpos paimto oro.</w:t>
            </w:r>
          </w:p>
          <w:p w14:paraId="5D7A4E50" w14:textId="70C5E203"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 xml:space="preserve">Laminarinis srautas ne mažiau kaip 0,38 m/s. Ties atydarytu langui užtikrinamas ne mažesnis kaip 0,55 m/s oro įtraukimas. </w:t>
            </w:r>
          </w:p>
        </w:tc>
        <w:tc>
          <w:tcPr>
            <w:tcW w:w="3969" w:type="dxa"/>
          </w:tcPr>
          <w:p w14:paraId="36F78C26" w14:textId="77777777" w:rsidR="00AC4326" w:rsidRPr="00C51EBE" w:rsidRDefault="00AC4326" w:rsidP="00C51EBE">
            <w:pPr>
              <w:spacing w:line="276" w:lineRule="auto"/>
              <w:rPr>
                <w:rFonts w:ascii="Times New Roman" w:eastAsia="Calibri" w:hAnsi="Times New Roman" w:cs="Times New Roman"/>
                <w:noProof/>
                <w:sz w:val="24"/>
                <w:szCs w:val="24"/>
              </w:rPr>
            </w:pPr>
          </w:p>
        </w:tc>
      </w:tr>
      <w:tr w:rsidR="00AC4326" w:rsidRPr="00C51EBE" w14:paraId="6602D85B" w14:textId="09FFF64D" w:rsidTr="003A77B6">
        <w:tc>
          <w:tcPr>
            <w:tcW w:w="696" w:type="dxa"/>
          </w:tcPr>
          <w:p w14:paraId="570E0B9B" w14:textId="28689C2F"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14.6.</w:t>
            </w:r>
          </w:p>
        </w:tc>
        <w:tc>
          <w:tcPr>
            <w:tcW w:w="2110" w:type="dxa"/>
          </w:tcPr>
          <w:p w14:paraId="50E023C8" w14:textId="1632FECB"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Aliarmų sistema</w:t>
            </w:r>
          </w:p>
        </w:tc>
        <w:tc>
          <w:tcPr>
            <w:tcW w:w="4282" w:type="dxa"/>
          </w:tcPr>
          <w:p w14:paraId="41C98DC4" w14:textId="38192079"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 xml:space="preserve">Laminaras turi informuoti apie gedimus garsiniu ir (arba)vaizdiniu pranešimu. Aliarmų sistema turi apimti ne mažiau kaip sekančius pranešimus:netinkamoje padėtyje esantis priekinis langas, </w:t>
            </w:r>
            <w:r w:rsidRPr="00C51EBE">
              <w:rPr>
                <w:rFonts w:ascii="Times New Roman" w:eastAsia="Calibri" w:hAnsi="Times New Roman" w:cs="Times New Roman"/>
                <w:noProof/>
                <w:sz w:val="24"/>
                <w:szCs w:val="24"/>
              </w:rPr>
              <w:lastRenderedPageBreak/>
              <w:t xml:space="preserve">nepakankamas oro srautas, filtro užsikišimo, elektros dingimo. </w:t>
            </w:r>
          </w:p>
        </w:tc>
        <w:tc>
          <w:tcPr>
            <w:tcW w:w="3969" w:type="dxa"/>
          </w:tcPr>
          <w:p w14:paraId="3B989B39" w14:textId="77777777" w:rsidR="00AC4326" w:rsidRPr="00C51EBE" w:rsidRDefault="00AC4326" w:rsidP="00C51EBE">
            <w:pPr>
              <w:spacing w:line="276" w:lineRule="auto"/>
              <w:rPr>
                <w:rFonts w:ascii="Times New Roman" w:eastAsia="Calibri" w:hAnsi="Times New Roman" w:cs="Times New Roman"/>
                <w:noProof/>
                <w:sz w:val="24"/>
                <w:szCs w:val="24"/>
              </w:rPr>
            </w:pPr>
          </w:p>
        </w:tc>
      </w:tr>
      <w:tr w:rsidR="00AC4326" w:rsidRPr="00C51EBE" w14:paraId="3BD36C03" w14:textId="337E2C3D" w:rsidTr="003A77B6">
        <w:tc>
          <w:tcPr>
            <w:tcW w:w="696" w:type="dxa"/>
          </w:tcPr>
          <w:p w14:paraId="44C78FB9" w14:textId="6B7342FB" w:rsidR="00AC4326" w:rsidRPr="00C51EBE" w:rsidRDefault="00AC4326" w:rsidP="00C51EBE">
            <w:pPr>
              <w:spacing w:line="276" w:lineRule="auto"/>
              <w:rPr>
                <w:rFonts w:ascii="Times New Roman" w:hAnsi="Times New Roman" w:cs="Times New Roman"/>
                <w:sz w:val="24"/>
                <w:szCs w:val="24"/>
              </w:rPr>
            </w:pPr>
            <w:r w:rsidRPr="00C51EBE">
              <w:rPr>
                <w:rFonts w:ascii="Times New Roman" w:hAnsi="Times New Roman" w:cs="Times New Roman"/>
                <w:sz w:val="24"/>
                <w:szCs w:val="24"/>
              </w:rPr>
              <w:t>14.7</w:t>
            </w:r>
          </w:p>
        </w:tc>
        <w:tc>
          <w:tcPr>
            <w:tcW w:w="2110" w:type="dxa"/>
          </w:tcPr>
          <w:p w14:paraId="36E1751D" w14:textId="5543ACB3"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Garantija</w:t>
            </w:r>
          </w:p>
        </w:tc>
        <w:tc>
          <w:tcPr>
            <w:tcW w:w="4282" w:type="dxa"/>
          </w:tcPr>
          <w:p w14:paraId="0BE9458F" w14:textId="4F118610" w:rsidR="00AC4326" w:rsidRPr="00C51EBE" w:rsidRDefault="00AC4326" w:rsidP="00C51EBE">
            <w:pPr>
              <w:spacing w:line="276" w:lineRule="auto"/>
              <w:rPr>
                <w:rFonts w:ascii="Times New Roman" w:eastAsia="Calibri" w:hAnsi="Times New Roman" w:cs="Times New Roman"/>
                <w:noProof/>
                <w:sz w:val="24"/>
                <w:szCs w:val="24"/>
              </w:rPr>
            </w:pPr>
            <w:r w:rsidRPr="00C51EBE">
              <w:rPr>
                <w:rFonts w:ascii="Times New Roman" w:eastAsia="Calibri" w:hAnsi="Times New Roman" w:cs="Times New Roman"/>
                <w:noProof/>
                <w:sz w:val="24"/>
                <w:szCs w:val="24"/>
              </w:rPr>
              <w:t xml:space="preserve">Ne mažiau nei </w:t>
            </w:r>
            <w:r w:rsidR="000B5E6E">
              <w:rPr>
                <w:rFonts w:ascii="Times New Roman" w:eastAsia="Calibri" w:hAnsi="Times New Roman" w:cs="Times New Roman"/>
                <w:noProof/>
                <w:sz w:val="24"/>
                <w:szCs w:val="24"/>
              </w:rPr>
              <w:t>24</w:t>
            </w:r>
            <w:r w:rsidRPr="00C51EBE">
              <w:rPr>
                <w:rFonts w:ascii="Times New Roman" w:eastAsia="Calibri" w:hAnsi="Times New Roman" w:cs="Times New Roman"/>
                <w:noProof/>
                <w:sz w:val="24"/>
                <w:szCs w:val="24"/>
              </w:rPr>
              <w:t xml:space="preserve"> mėnesiai.</w:t>
            </w:r>
          </w:p>
          <w:p w14:paraId="0256A943" w14:textId="3FDD86AD" w:rsidR="00AC4326" w:rsidRPr="00C51EBE" w:rsidRDefault="00AC4326" w:rsidP="00C51EBE">
            <w:pPr>
              <w:spacing w:line="276" w:lineRule="auto"/>
              <w:rPr>
                <w:rFonts w:ascii="Times New Roman" w:eastAsia="Calibri" w:hAnsi="Times New Roman" w:cs="Times New Roman"/>
                <w:noProof/>
                <w:sz w:val="24"/>
                <w:szCs w:val="24"/>
              </w:rPr>
            </w:pPr>
          </w:p>
        </w:tc>
        <w:tc>
          <w:tcPr>
            <w:tcW w:w="3969" w:type="dxa"/>
          </w:tcPr>
          <w:p w14:paraId="0A73F67B" w14:textId="77777777" w:rsidR="00AC4326" w:rsidRPr="00C51EBE" w:rsidRDefault="00AC4326" w:rsidP="00C51EBE">
            <w:pPr>
              <w:spacing w:line="276" w:lineRule="auto"/>
              <w:rPr>
                <w:rFonts w:ascii="Times New Roman" w:eastAsia="Calibri" w:hAnsi="Times New Roman" w:cs="Times New Roman"/>
                <w:noProof/>
                <w:sz w:val="24"/>
                <w:szCs w:val="24"/>
              </w:rPr>
            </w:pPr>
          </w:p>
        </w:tc>
      </w:tr>
    </w:tbl>
    <w:p w14:paraId="5FBF2DBA" w14:textId="77777777" w:rsidR="001D7D1E" w:rsidRDefault="001D7D1E" w:rsidP="001D7D1E">
      <w:pPr>
        <w:spacing w:line="240" w:lineRule="auto"/>
        <w:ind w:left="-851"/>
        <w:rPr>
          <w:rFonts w:ascii="Times New Roman" w:hAnsi="Times New Roman" w:cs="Times New Roman"/>
          <w:i/>
          <w:iCs/>
          <w:sz w:val="20"/>
          <w:szCs w:val="20"/>
        </w:rPr>
      </w:pPr>
      <w:r w:rsidRPr="00BF0ED8">
        <w:rPr>
          <w:rFonts w:ascii="Times New Roman" w:hAnsi="Times New Roman" w:cs="Times New Roman"/>
          <w:b/>
          <w:bCs/>
          <w:i/>
          <w:iCs/>
          <w:sz w:val="20"/>
          <w:szCs w:val="20"/>
        </w:rPr>
        <w:t>Pastaba:</w:t>
      </w:r>
      <w:r w:rsidRPr="00BF0ED8">
        <w:rPr>
          <w:rFonts w:ascii="Times New Roman" w:hAnsi="Times New Roman" w:cs="Times New Roman"/>
          <w:i/>
          <w:iCs/>
          <w:sz w:val="20"/>
          <w:szCs w:val="20"/>
        </w:rPr>
        <w:t> Jeigu perkančiosios organizacijos parengtoje techninėje specifikacijoje nurodytas konkretus (t. y. šalia nenurodytas žodis „arba lygiavertis“) prekės ženklas, gamintojas, modelis ar tiekimo šaltinis, konkretus procesas (būdingas konkretaus tiekėjo tiekiamoms prekėms ar teikiamoms paslaugoms), patentas, tipas, metodas, protokolas, standartas, sertifikatas, konkreti kilmė ar gamyba (dėl kurių tam tikriems subjektams ar tam tikriems produktams būtų sudarytos palankesnės sąlygos arba jie būtų atmesti), normos, direktyvos, formatas, medžiaga, sistema, jungtis ar panašiai – tiekėjas gali siūlyti ir lygiaverčius prekės ženklus, gamintojus, modelius ar tiekimo šaltinius, procesus, patentus, tipus, metodus, protokolus, standartus, sertifikatus, normas, direktyvas, formatus, medžiagas, sistemas, jungtis ir panašiai. Jei techninėje specifikacijoje nurodyta konkreti (t. y. šalia nenurodytas žodis „ne žemesnė kaip“) klasė, kategorija ar pan. – gali būti siūloma ir ne žemesnė kaip techninėje specifikacijoje nurodyta klasė, kategorija ar pan. Jei perkančiosios organizacijos parengtoje techninėje specifikacijoje nurodytos konkrečios (t. y. nenurodyti žodžiai ne siauresnėse) ribos, intervalai ar pan. – gali būti siūlomos prekės, kurių konkrečios ribos, intervalai ar pan. yra ne siauresni kaip nurodyti  techninėje specifikacijoje. Jei perkančiosios organizacijos parengtoje techninėje specifikacijoje yra nurodyti konkretūs (t. y. nenurodytos paklaidos, nuokrypiai, procentai ar pan.) matmenys, dydžiai ar pan. – siūlomų prekių matmenų neatitikimo techninės specifikacijos reikalavimams paklaida gali būti ne didesnė kaip</w:t>
      </w:r>
      <w:r w:rsidRPr="00BF0ED8">
        <w:rPr>
          <w:rFonts w:ascii="Times New Roman" w:hAnsi="Times New Roman" w:cs="Times New Roman"/>
          <w:sz w:val="20"/>
          <w:szCs w:val="20"/>
        </w:rPr>
        <w:t xml:space="preserve"> </w:t>
      </w:r>
      <w:r w:rsidRPr="00BF0ED8">
        <w:rPr>
          <w:rFonts w:ascii="Times New Roman" w:hAnsi="Times New Roman" w:cs="Times New Roman"/>
          <w:i/>
          <w:iCs/>
          <w:sz w:val="20"/>
          <w:szCs w:val="20"/>
        </w:rPr>
        <w:t>2 proc.</w:t>
      </w:r>
    </w:p>
    <w:p w14:paraId="59D0FD6C" w14:textId="77777777" w:rsidR="00F47FBF" w:rsidRPr="00EA0DF7" w:rsidRDefault="00F47FBF" w:rsidP="00F47FBF">
      <w:pPr>
        <w:ind w:left="-851"/>
        <w:rPr>
          <w:rFonts w:ascii="Times New Roman" w:hAnsi="Times New Roman" w:cs="Times New Roman"/>
          <w:sz w:val="24"/>
          <w:szCs w:val="24"/>
        </w:rPr>
      </w:pPr>
      <w:r w:rsidRPr="00EA0DF7">
        <w:rPr>
          <w:rFonts w:ascii="Times New Roman" w:hAnsi="Times New Roman" w:cs="Times New Roman"/>
          <w:sz w:val="24"/>
          <w:szCs w:val="24"/>
        </w:rPr>
        <w:t>Aplinkosauginiai kriterijai</w:t>
      </w:r>
    </w:p>
    <w:p w14:paraId="07BF8844" w14:textId="1B6446CD" w:rsidR="00F47FBF" w:rsidRPr="00F47FBF" w:rsidRDefault="00F47FBF" w:rsidP="00F47FBF">
      <w:p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ab/>
      </w:r>
      <w:r w:rsidRPr="00F47FBF">
        <w:rPr>
          <w:rFonts w:ascii="Times New Roman" w:hAnsi="Times New Roman" w:cs="Times New Roman"/>
          <w:sz w:val="24"/>
          <w:szCs w:val="24"/>
        </w:rPr>
        <w:t>Prekėms nustatomi</w:t>
      </w:r>
      <w:r>
        <w:rPr>
          <w:rFonts w:ascii="Times New Roman" w:hAnsi="Times New Roman" w:cs="Times New Roman"/>
          <w:sz w:val="24"/>
          <w:szCs w:val="24"/>
        </w:rPr>
        <w:t>,</w:t>
      </w:r>
      <w:r w:rsidRPr="00F47FBF">
        <w:rPr>
          <w:rFonts w:ascii="Times New Roman" w:hAnsi="Times New Roman" w:cs="Times New Roman"/>
          <w:sz w:val="24"/>
          <w:szCs w:val="24"/>
        </w:rPr>
        <w:t xml:space="preserve"> vadovaujantis Aplinkos apsaugos kriterijų taikymo, vykdant žaliuosius pirkimus, tvarkos aprašo, patvirtinto 2011 m. birželio 28 d. įsakymu D1-508 „Dėl Aplinkos apsaugos kriterijų taikymo, vykdant žaliuosius pirkimus, tvarkos aprašo patvirtinimo“ (toliau – Tvarkos aprašas) 4.4.4.4 papunkčiu:</w:t>
      </w:r>
    </w:p>
    <w:p w14:paraId="59DB4330" w14:textId="58F688BE" w:rsidR="00F47FBF" w:rsidRPr="00F47FBF" w:rsidRDefault="00F47FBF" w:rsidP="00F47FBF">
      <w:pPr>
        <w:spacing w:after="0" w:line="276" w:lineRule="auto"/>
        <w:ind w:left="-851" w:firstLine="851"/>
        <w:jc w:val="both"/>
        <w:rPr>
          <w:rFonts w:ascii="Times New Roman" w:hAnsi="Times New Roman" w:cs="Times New Roman"/>
          <w:sz w:val="24"/>
          <w:szCs w:val="24"/>
        </w:rPr>
      </w:pPr>
      <w:r w:rsidRPr="00F47FBF">
        <w:rPr>
          <w:rFonts w:ascii="Times New Roman" w:hAnsi="Times New Roman" w:cs="Times New Roman"/>
          <w:sz w:val="24"/>
          <w:szCs w:val="24"/>
        </w:rPr>
        <w:t xml:space="preserve">1. prekei taikoma ilgesnė nei standartinė garantija – ne mažesnė nei 36 mėn. (techninės specifikacijos </w:t>
      </w:r>
      <w:r w:rsidR="001D7D1E">
        <w:rPr>
          <w:rFonts w:ascii="Times New Roman" w:hAnsi="Times New Roman" w:cs="Times New Roman"/>
          <w:sz w:val="24"/>
          <w:szCs w:val="24"/>
        </w:rPr>
        <w:t>13</w:t>
      </w:r>
      <w:r w:rsidRPr="00F47FBF">
        <w:rPr>
          <w:rFonts w:ascii="Times New Roman" w:hAnsi="Times New Roman" w:cs="Times New Roman"/>
          <w:sz w:val="24"/>
          <w:szCs w:val="24"/>
        </w:rPr>
        <w:t>p.);</w:t>
      </w:r>
    </w:p>
    <w:p w14:paraId="4BAD61E7" w14:textId="77777777" w:rsidR="00F47FBF" w:rsidRPr="00F47FBF" w:rsidRDefault="00F47FBF" w:rsidP="00F47FBF">
      <w:pPr>
        <w:spacing w:after="0" w:line="276" w:lineRule="auto"/>
        <w:ind w:left="-851" w:firstLine="851"/>
        <w:jc w:val="both"/>
        <w:rPr>
          <w:rFonts w:ascii="Times New Roman" w:hAnsi="Times New Roman" w:cs="Times New Roman"/>
          <w:sz w:val="24"/>
          <w:szCs w:val="24"/>
        </w:rPr>
      </w:pPr>
      <w:r w:rsidRPr="00F47FBF">
        <w:rPr>
          <w:rFonts w:ascii="Times New Roman" w:hAnsi="Times New Roman" w:cs="Times New Roman"/>
          <w:sz w:val="24"/>
          <w:szCs w:val="24"/>
        </w:rPr>
        <w:t>2. techninės specifikacijos 14.3 punkte nurodytas reikalavimas: reguliuojamo aukščio stovas ir darbastalis pagaminti iš plieno arba lygiavertės medžiagos atitinka kriterijų, kad prekė yra tvirta, ilgaamžė, funkcionali.</w:t>
      </w:r>
    </w:p>
    <w:p w14:paraId="5591B01C" w14:textId="77777777" w:rsidR="00F47FBF" w:rsidRPr="00F47FBF" w:rsidRDefault="00F47FBF" w:rsidP="00F47FBF">
      <w:pPr>
        <w:spacing w:after="0" w:line="276" w:lineRule="auto"/>
        <w:ind w:left="-851"/>
        <w:jc w:val="both"/>
        <w:rPr>
          <w:rFonts w:ascii="Times New Roman" w:hAnsi="Times New Roman" w:cs="Times New Roman"/>
          <w:sz w:val="24"/>
          <w:szCs w:val="24"/>
        </w:rPr>
      </w:pPr>
    </w:p>
    <w:p w14:paraId="0B352A3D" w14:textId="77777777" w:rsidR="00F47FBF" w:rsidRDefault="00F47FBF" w:rsidP="00F47FBF">
      <w:pPr>
        <w:ind w:left="-851"/>
        <w:jc w:val="both"/>
      </w:pPr>
    </w:p>
    <w:sectPr w:rsidR="00F47FBF" w:rsidSect="00AC4326">
      <w:pgSz w:w="11906" w:h="16838"/>
      <w:pgMar w:top="70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41B04"/>
    <w:multiLevelType w:val="hybridMultilevel"/>
    <w:tmpl w:val="128AB24C"/>
    <w:lvl w:ilvl="0" w:tplc="96A0077A">
      <w:start w:val="3"/>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6401467"/>
    <w:multiLevelType w:val="hybridMultilevel"/>
    <w:tmpl w:val="DE309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9116596">
    <w:abstractNumId w:val="0"/>
  </w:num>
  <w:num w:numId="2" w16cid:durableId="427116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42"/>
    <w:rsid w:val="00020F07"/>
    <w:rsid w:val="00021C38"/>
    <w:rsid w:val="00023912"/>
    <w:rsid w:val="000261ED"/>
    <w:rsid w:val="00032990"/>
    <w:rsid w:val="00070707"/>
    <w:rsid w:val="0007164D"/>
    <w:rsid w:val="00091259"/>
    <w:rsid w:val="000923BB"/>
    <w:rsid w:val="000A6A9D"/>
    <w:rsid w:val="000B5E6E"/>
    <w:rsid w:val="000E578A"/>
    <w:rsid w:val="000F2B34"/>
    <w:rsid w:val="00120DED"/>
    <w:rsid w:val="00145A40"/>
    <w:rsid w:val="001905F9"/>
    <w:rsid w:val="001D7D1E"/>
    <w:rsid w:val="002845E4"/>
    <w:rsid w:val="002D4F0D"/>
    <w:rsid w:val="002E2B15"/>
    <w:rsid w:val="002F305B"/>
    <w:rsid w:val="003513BD"/>
    <w:rsid w:val="00380FE6"/>
    <w:rsid w:val="003A77B6"/>
    <w:rsid w:val="003E3BD2"/>
    <w:rsid w:val="00413088"/>
    <w:rsid w:val="00415268"/>
    <w:rsid w:val="004420AA"/>
    <w:rsid w:val="00461A82"/>
    <w:rsid w:val="004E1A0F"/>
    <w:rsid w:val="00523272"/>
    <w:rsid w:val="005637B0"/>
    <w:rsid w:val="005728B9"/>
    <w:rsid w:val="005B6FC4"/>
    <w:rsid w:val="005C0AD7"/>
    <w:rsid w:val="005C491A"/>
    <w:rsid w:val="005E12C0"/>
    <w:rsid w:val="006476DE"/>
    <w:rsid w:val="006E4B43"/>
    <w:rsid w:val="006F5268"/>
    <w:rsid w:val="007174C2"/>
    <w:rsid w:val="00764A33"/>
    <w:rsid w:val="0077214C"/>
    <w:rsid w:val="00777949"/>
    <w:rsid w:val="0079350A"/>
    <w:rsid w:val="007A30B2"/>
    <w:rsid w:val="007C7EDA"/>
    <w:rsid w:val="00816A9A"/>
    <w:rsid w:val="00852E9D"/>
    <w:rsid w:val="0086303B"/>
    <w:rsid w:val="00874F48"/>
    <w:rsid w:val="008B7FC7"/>
    <w:rsid w:val="008D210C"/>
    <w:rsid w:val="008D2F04"/>
    <w:rsid w:val="008D7DC6"/>
    <w:rsid w:val="008E6AD9"/>
    <w:rsid w:val="00940ADC"/>
    <w:rsid w:val="00974BD9"/>
    <w:rsid w:val="009A74AD"/>
    <w:rsid w:val="009B654B"/>
    <w:rsid w:val="009C2342"/>
    <w:rsid w:val="00A260A3"/>
    <w:rsid w:val="00A644DF"/>
    <w:rsid w:val="00A94ECA"/>
    <w:rsid w:val="00AB2527"/>
    <w:rsid w:val="00AC4326"/>
    <w:rsid w:val="00AD641A"/>
    <w:rsid w:val="00B05F58"/>
    <w:rsid w:val="00B64F3D"/>
    <w:rsid w:val="00B80E63"/>
    <w:rsid w:val="00BA76AC"/>
    <w:rsid w:val="00BB1223"/>
    <w:rsid w:val="00BE0B19"/>
    <w:rsid w:val="00BE6412"/>
    <w:rsid w:val="00C12E41"/>
    <w:rsid w:val="00C51EBE"/>
    <w:rsid w:val="00C63FC9"/>
    <w:rsid w:val="00C776ED"/>
    <w:rsid w:val="00CD6782"/>
    <w:rsid w:val="00CD6996"/>
    <w:rsid w:val="00D078EF"/>
    <w:rsid w:val="00D15995"/>
    <w:rsid w:val="00D31892"/>
    <w:rsid w:val="00D43252"/>
    <w:rsid w:val="00DA797D"/>
    <w:rsid w:val="00DC2FD7"/>
    <w:rsid w:val="00DD2E9C"/>
    <w:rsid w:val="00DE091E"/>
    <w:rsid w:val="00E002F0"/>
    <w:rsid w:val="00E0690C"/>
    <w:rsid w:val="00E9627D"/>
    <w:rsid w:val="00EA0DF7"/>
    <w:rsid w:val="00EB6CE3"/>
    <w:rsid w:val="00F47FBF"/>
    <w:rsid w:val="00F57379"/>
    <w:rsid w:val="00F700E1"/>
    <w:rsid w:val="00F90D04"/>
    <w:rsid w:val="00F92E2B"/>
    <w:rsid w:val="00FD68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6BD58"/>
  <w15:chartTrackingRefBased/>
  <w15:docId w15:val="{9D180289-3120-491B-B787-F283F3FF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342"/>
    <w:rPr>
      <w:kern w:val="0"/>
      <w14:ligatures w14:val="none"/>
    </w:rPr>
  </w:style>
  <w:style w:type="paragraph" w:styleId="Heading1">
    <w:name w:val="heading 1"/>
    <w:basedOn w:val="Normal"/>
    <w:next w:val="Normal"/>
    <w:link w:val="Heading1Char"/>
    <w:uiPriority w:val="9"/>
    <w:qFormat/>
    <w:rsid w:val="009C23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23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23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23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23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23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3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3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3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3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23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23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23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23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23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3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3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342"/>
    <w:rPr>
      <w:rFonts w:eastAsiaTheme="majorEastAsia" w:cstheme="majorBidi"/>
      <w:color w:val="272727" w:themeColor="text1" w:themeTint="D8"/>
    </w:rPr>
  </w:style>
  <w:style w:type="paragraph" w:styleId="Title">
    <w:name w:val="Title"/>
    <w:basedOn w:val="Normal"/>
    <w:next w:val="Normal"/>
    <w:link w:val="TitleChar"/>
    <w:uiPriority w:val="10"/>
    <w:qFormat/>
    <w:rsid w:val="009C23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3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3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3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342"/>
    <w:pPr>
      <w:spacing w:before="160"/>
      <w:jc w:val="center"/>
    </w:pPr>
    <w:rPr>
      <w:i/>
      <w:iCs/>
      <w:color w:val="404040" w:themeColor="text1" w:themeTint="BF"/>
    </w:rPr>
  </w:style>
  <w:style w:type="character" w:customStyle="1" w:styleId="QuoteChar">
    <w:name w:val="Quote Char"/>
    <w:basedOn w:val="DefaultParagraphFont"/>
    <w:link w:val="Quote"/>
    <w:uiPriority w:val="29"/>
    <w:rsid w:val="009C2342"/>
    <w:rPr>
      <w:i/>
      <w:iCs/>
      <w:color w:val="404040" w:themeColor="text1" w:themeTint="BF"/>
    </w:rPr>
  </w:style>
  <w:style w:type="paragraph" w:styleId="ListParagraph">
    <w:name w:val="List Paragraph"/>
    <w:basedOn w:val="Normal"/>
    <w:uiPriority w:val="34"/>
    <w:qFormat/>
    <w:rsid w:val="009C2342"/>
    <w:pPr>
      <w:ind w:left="720"/>
      <w:contextualSpacing/>
    </w:pPr>
  </w:style>
  <w:style w:type="character" w:styleId="IntenseEmphasis">
    <w:name w:val="Intense Emphasis"/>
    <w:basedOn w:val="DefaultParagraphFont"/>
    <w:uiPriority w:val="21"/>
    <w:qFormat/>
    <w:rsid w:val="009C2342"/>
    <w:rPr>
      <w:i/>
      <w:iCs/>
      <w:color w:val="2F5496" w:themeColor="accent1" w:themeShade="BF"/>
    </w:rPr>
  </w:style>
  <w:style w:type="paragraph" w:styleId="IntenseQuote">
    <w:name w:val="Intense Quote"/>
    <w:basedOn w:val="Normal"/>
    <w:next w:val="Normal"/>
    <w:link w:val="IntenseQuoteChar"/>
    <w:uiPriority w:val="30"/>
    <w:qFormat/>
    <w:rsid w:val="009C23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2342"/>
    <w:rPr>
      <w:i/>
      <w:iCs/>
      <w:color w:val="2F5496" w:themeColor="accent1" w:themeShade="BF"/>
    </w:rPr>
  </w:style>
  <w:style w:type="character" w:styleId="IntenseReference">
    <w:name w:val="Intense Reference"/>
    <w:basedOn w:val="DefaultParagraphFont"/>
    <w:uiPriority w:val="32"/>
    <w:qFormat/>
    <w:rsid w:val="009C2342"/>
    <w:rPr>
      <w:b/>
      <w:bCs/>
      <w:smallCaps/>
      <w:color w:val="2F5496" w:themeColor="accent1" w:themeShade="BF"/>
      <w:spacing w:val="5"/>
    </w:rPr>
  </w:style>
  <w:style w:type="table" w:styleId="TableGrid">
    <w:name w:val="Table Grid"/>
    <w:basedOn w:val="TableNormal"/>
    <w:uiPriority w:val="39"/>
    <w:rsid w:val="009C23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641A"/>
    <w:rPr>
      <w:sz w:val="16"/>
      <w:szCs w:val="16"/>
    </w:rPr>
  </w:style>
  <w:style w:type="paragraph" w:styleId="CommentText">
    <w:name w:val="annotation text"/>
    <w:basedOn w:val="Normal"/>
    <w:link w:val="CommentTextChar"/>
    <w:uiPriority w:val="99"/>
    <w:unhideWhenUsed/>
    <w:rsid w:val="00AD641A"/>
    <w:pPr>
      <w:spacing w:line="240" w:lineRule="auto"/>
    </w:pPr>
    <w:rPr>
      <w:sz w:val="20"/>
      <w:szCs w:val="20"/>
    </w:rPr>
  </w:style>
  <w:style w:type="character" w:customStyle="1" w:styleId="CommentTextChar">
    <w:name w:val="Comment Text Char"/>
    <w:basedOn w:val="DefaultParagraphFont"/>
    <w:link w:val="CommentText"/>
    <w:uiPriority w:val="99"/>
    <w:rsid w:val="00AD641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D641A"/>
    <w:rPr>
      <w:b/>
      <w:bCs/>
    </w:rPr>
  </w:style>
  <w:style w:type="character" w:customStyle="1" w:styleId="CommentSubjectChar">
    <w:name w:val="Comment Subject Char"/>
    <w:basedOn w:val="CommentTextChar"/>
    <w:link w:val="CommentSubject"/>
    <w:uiPriority w:val="99"/>
    <w:semiHidden/>
    <w:rsid w:val="00AD641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6912</Words>
  <Characters>3941</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Zeilia | INOSPECTRA</dc:creator>
  <cp:keywords/>
  <dc:description/>
  <cp:lastModifiedBy>Virginija Lapaitytė</cp:lastModifiedBy>
  <cp:revision>16</cp:revision>
  <dcterms:created xsi:type="dcterms:W3CDTF">2026-08-18T06:01:00Z</dcterms:created>
  <dcterms:modified xsi:type="dcterms:W3CDTF">2026-08-20T07:07:00Z</dcterms:modified>
</cp:coreProperties>
</file>