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797344AE" w14:textId="0CAEFAE0" w:rsidR="002F356E" w:rsidRPr="002F356E" w:rsidRDefault="002F356E" w:rsidP="00AD7D1C">
      <w:pPr>
        <w:autoSpaceDE w:val="0"/>
        <w:autoSpaceDN w:val="0"/>
        <w:adjustRightInd w:val="0"/>
        <w:jc w:val="center"/>
        <w:rPr>
          <w:b/>
          <w:bCs/>
          <w:lang w:val="lt-LT"/>
        </w:rPr>
      </w:pPr>
      <w:r w:rsidRPr="000830A3">
        <w:rPr>
          <w:b/>
          <w:bCs/>
          <w:lang w:val="it-IT"/>
        </w:rPr>
        <w:t>ŠILUTĖS ŠV. KRYŽIAUS PASTATŲ KOMPLEKSO PARAPINĖS MOKYKLOS (U. K. KVR 30365), KATALIKŲ BAŽNYČIOS G. 5, ŠILUTĖS M., TVARKYBOS (REMONTO, RESTAURAVIMO) DARBAI</w:t>
      </w:r>
      <w:r w:rsidRPr="002F356E" w:rsidDel="002F356E">
        <w:rPr>
          <w:b/>
          <w:bCs/>
          <w:color w:val="000000" w:themeColor="text1"/>
          <w:lang w:val="lt-LT"/>
        </w:rPr>
        <w:t xml:space="preserve"> </w:t>
      </w:r>
    </w:p>
    <w:p w14:paraId="2B5F7FF1" w14:textId="77777777" w:rsidR="00034B7C" w:rsidRPr="00007A7D" w:rsidRDefault="00034B7C" w:rsidP="006C28F0">
      <w:pPr>
        <w:spacing w:line="276" w:lineRule="auto"/>
        <w:jc w:val="center"/>
        <w:rPr>
          <w:rFonts w:asciiTheme="majorBidi" w:hAnsiTheme="majorBidi" w:cstheme="majorBidi"/>
          <w:b/>
          <w:bCs/>
          <w:i/>
          <w:color w:val="000000" w:themeColor="text1"/>
          <w:lang w:val="lt-L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lastRenderedPageBreak/>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785DEE" w:rsidRPr="004A2D1C" w14:paraId="4DE46E3C" w14:textId="77777777" w:rsidTr="006C28F0">
        <w:trPr>
          <w:trHeight w:val="533"/>
        </w:trPr>
        <w:tc>
          <w:tcPr>
            <w:tcW w:w="9243" w:type="dxa"/>
          </w:tcPr>
          <w:p w14:paraId="6CB56A03" w14:textId="5194B929" w:rsidR="00785DEE" w:rsidRPr="008B2F1C" w:rsidRDefault="00785DEE" w:rsidP="00071A7F">
            <w:pPr>
              <w:spacing w:line="276" w:lineRule="auto"/>
              <w:rPr>
                <w:rFonts w:asciiTheme="majorBidi" w:hAnsiTheme="majorBidi" w:cstheme="majorBidi"/>
                <w:b/>
                <w:color w:val="000000" w:themeColor="text1"/>
                <w:lang w:val="it-IT"/>
              </w:rPr>
            </w:pPr>
            <w:r w:rsidRPr="008B2F1C">
              <w:rPr>
                <w:rFonts w:asciiTheme="majorBidi" w:hAnsiTheme="majorBidi" w:cstheme="majorBidi"/>
                <w:b/>
                <w:bCs/>
                <w:color w:val="000000" w:themeColor="text1"/>
                <w:lang w:val="it-IT"/>
              </w:rPr>
              <w:t xml:space="preserve">9 </w:t>
            </w:r>
            <w:r w:rsidRPr="008B2F1C">
              <w:rPr>
                <w:rFonts w:asciiTheme="majorBidi" w:eastAsia="Times New Roman" w:hAnsiTheme="majorBidi" w:cstheme="majorBidi"/>
                <w:b/>
                <w:bCs/>
                <w:color w:val="000000" w:themeColor="text1"/>
                <w:lang w:val="it-IT"/>
              </w:rPr>
              <w:t>PRIEDAS</w:t>
            </w:r>
            <w:r w:rsidR="003028AA">
              <w:rPr>
                <w:rFonts w:asciiTheme="majorBidi" w:eastAsia="Times New Roman" w:hAnsiTheme="majorBidi" w:cstheme="majorBidi"/>
                <w:b/>
                <w:bCs/>
                <w:color w:val="000000" w:themeColor="text1"/>
                <w:lang w:val="it-IT"/>
              </w:rPr>
              <w:t>.</w:t>
            </w:r>
            <w:r w:rsidRPr="008B2F1C">
              <w:rPr>
                <w:rFonts w:asciiTheme="majorBidi" w:eastAsia="Times New Roman" w:hAnsiTheme="majorBidi" w:cstheme="majorBidi"/>
                <w:b/>
                <w:bCs/>
                <w:color w:val="000000" w:themeColor="text1"/>
                <w:lang w:val="it-IT"/>
              </w:rPr>
              <w:t xml:space="preserve"> PASIŪLYMO GALIOJIMO GARANTIJOS FORMA </w:t>
            </w:r>
            <w:bookmarkStart w:id="4" w:name="_Hlk156463695"/>
            <w:r w:rsidRPr="008B2F1C">
              <w:rPr>
                <w:rFonts w:asciiTheme="majorBidi" w:eastAsia="Times New Roman" w:hAnsiTheme="majorBidi" w:cstheme="majorBidi"/>
                <w:b/>
                <w:bCs/>
                <w:color w:val="000000" w:themeColor="text1"/>
                <w:lang w:val="it-IT"/>
              </w:rPr>
              <w:t>IR PASIŪLYMO LAIDAVIMO DRAUDIMO RAŠTO FORMA</w:t>
            </w:r>
            <w:bookmarkEnd w:id="4"/>
          </w:p>
        </w:tc>
        <w:tc>
          <w:tcPr>
            <w:tcW w:w="1418" w:type="dxa"/>
          </w:tcPr>
          <w:p w14:paraId="06B0F645" w14:textId="20A2905F"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41AE64C8" w:rsidR="00F2146D" w:rsidRPr="008B2F1C" w:rsidRDefault="00F2146D" w:rsidP="00095E2A">
            <w:pPr>
              <w:spacing w:line="276" w:lineRule="auto"/>
              <w:rPr>
                <w:rFonts w:asciiTheme="majorBidi" w:hAnsiTheme="majorBidi" w:cstheme="majorBidi"/>
                <w:b/>
                <w:bCs/>
                <w:color w:val="000000" w:themeColor="text1"/>
                <w:lang w:val="it-IT"/>
              </w:rPr>
            </w:pPr>
            <w:r w:rsidRPr="008B2F1C">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10 priedas</w:t>
            </w:r>
          </w:p>
        </w:tc>
      </w:tr>
      <w:tr w:rsidR="00785DEE" w:rsidRPr="004A2D1C" w14:paraId="7A751980" w14:textId="77777777" w:rsidTr="00095E2A">
        <w:trPr>
          <w:trHeight w:val="517"/>
        </w:trPr>
        <w:tc>
          <w:tcPr>
            <w:tcW w:w="9243" w:type="dxa"/>
          </w:tcPr>
          <w:p w14:paraId="747D8538" w14:textId="031206E5" w:rsidR="00785DEE" w:rsidRPr="008B2F1C" w:rsidRDefault="00785DEE" w:rsidP="00095E2A">
            <w:pPr>
              <w:pStyle w:val="Heading1"/>
              <w:ind w:right="0"/>
              <w:jc w:val="left"/>
              <w:rPr>
                <w:rFonts w:asciiTheme="majorBidi" w:hAnsiTheme="majorBidi" w:cstheme="majorBidi"/>
                <w:b w:val="0"/>
                <w:bCs/>
                <w:color w:val="000000" w:themeColor="text1"/>
              </w:rPr>
            </w:pPr>
            <w:r w:rsidRPr="008B2F1C">
              <w:rPr>
                <w:rFonts w:asciiTheme="majorBidi" w:hAnsiTheme="majorBidi" w:cstheme="majorBidi"/>
                <w:bCs/>
                <w:color w:val="000000" w:themeColor="text1"/>
              </w:rPr>
              <w:t>11 PRIEDAS</w:t>
            </w:r>
            <w:r w:rsidR="004B2B8C">
              <w:rPr>
                <w:rFonts w:asciiTheme="majorBidi" w:hAnsiTheme="majorBidi" w:cstheme="majorBidi"/>
                <w:bCs/>
                <w:color w:val="000000" w:themeColor="text1"/>
              </w:rPr>
              <w:t>.</w:t>
            </w:r>
            <w:r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11 priedas</w:t>
            </w:r>
          </w:p>
        </w:tc>
      </w:tr>
      <w:tr w:rsidR="00BB048B" w:rsidRPr="00BB048B" w14:paraId="477598FF" w14:textId="77777777" w:rsidTr="006C28F0">
        <w:trPr>
          <w:trHeight w:val="533"/>
        </w:trPr>
        <w:tc>
          <w:tcPr>
            <w:tcW w:w="9243" w:type="dxa"/>
          </w:tcPr>
          <w:p w14:paraId="5C1BE282" w14:textId="70BA87BC" w:rsidR="00BB048B" w:rsidRPr="00BB048B" w:rsidRDefault="00BB048B" w:rsidP="00E86FBD">
            <w:pPr>
              <w:spacing w:line="276" w:lineRule="auto"/>
              <w:jc w:val="both"/>
              <w:rPr>
                <w:rFonts w:asciiTheme="majorBidi" w:hAnsiTheme="majorBidi" w:cstheme="majorBidi"/>
                <w:b/>
                <w:bCs/>
                <w:color w:val="000000" w:themeColor="text1"/>
              </w:rPr>
            </w:pPr>
            <w:r w:rsidRPr="00BB048B">
              <w:rPr>
                <w:rFonts w:asciiTheme="majorBidi" w:hAnsiTheme="majorBidi" w:cstheme="majorBidi"/>
                <w:b/>
                <w:bCs/>
                <w:color w:val="000000" w:themeColor="text1"/>
              </w:rPr>
              <w:t>12 PRIEDAS. ATLIKTŲ DARBŲ, KURIUOS VYKDANT SPECIALISTAS VADOVAVO TVARKYBOS DARBAMS</w:t>
            </w:r>
            <w:r w:rsidR="00296CAE">
              <w:rPr>
                <w:rFonts w:asciiTheme="majorBidi" w:hAnsiTheme="majorBidi" w:cstheme="majorBidi"/>
                <w:b/>
                <w:bCs/>
                <w:color w:val="000000" w:themeColor="text1"/>
              </w:rPr>
              <w:t>,</w:t>
            </w:r>
            <w:r w:rsidRPr="00BB048B">
              <w:rPr>
                <w:rFonts w:asciiTheme="majorBidi" w:hAnsiTheme="majorBidi" w:cstheme="majorBidi"/>
                <w:b/>
                <w:bCs/>
                <w:color w:val="000000" w:themeColor="text1"/>
              </w:rPr>
              <w:t xml:space="preserve"> </w:t>
            </w:r>
            <w:r w:rsidRPr="00BB048B">
              <w:rPr>
                <w:rFonts w:asciiTheme="majorBidi" w:hAnsiTheme="majorBidi" w:cstheme="majorBidi"/>
                <w:b/>
                <w:bCs/>
                <w:color w:val="000000" w:themeColor="text1"/>
                <w:lang w:val="lt-LT"/>
              </w:rPr>
              <w:t>SĄRAŠAS</w:t>
            </w:r>
            <w:r w:rsidRPr="00BB048B">
              <w:rPr>
                <w:rFonts w:asciiTheme="majorBidi" w:hAnsiTheme="majorBidi" w:cstheme="majorBidi"/>
                <w:b/>
                <w:bCs/>
                <w:color w:val="000000" w:themeColor="text1"/>
              </w:rPr>
              <w:t xml:space="preserve"> </w:t>
            </w:r>
            <w:r w:rsidRPr="00BB048B">
              <w:rPr>
                <w:rFonts w:eastAsia="Calibri"/>
                <w:b/>
                <w:bCs/>
                <w:lang w:val="lt-LT" w:eastAsia="x-none"/>
              </w:rPr>
              <w:t>KVALIFIKACIJOS REIKALAVIMŲ 1.2 PUNKTO PAGRINDIMUI</w:t>
            </w:r>
          </w:p>
        </w:tc>
        <w:tc>
          <w:tcPr>
            <w:tcW w:w="1418" w:type="dxa"/>
          </w:tcPr>
          <w:p w14:paraId="34CD6A59" w14:textId="13563C7C" w:rsidR="00BB048B" w:rsidRPr="00BB048B" w:rsidRDefault="00BB048B"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12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5"/>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8"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8"/>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0DE40D17" w:rsidR="005179A6" w:rsidRPr="002F356E" w:rsidRDefault="000442FD" w:rsidP="00900334">
      <w:pPr>
        <w:autoSpaceDE w:val="0"/>
        <w:autoSpaceDN w:val="0"/>
        <w:adjustRightInd w:val="0"/>
        <w:ind w:firstLine="567"/>
        <w:jc w:val="both"/>
        <w:rPr>
          <w:b/>
          <w:bCs/>
          <w:i/>
          <w:iCs/>
          <w:lang w:val="lt-LT"/>
        </w:rPr>
      </w:pPr>
      <w:r w:rsidRPr="004A2D1C">
        <w:rPr>
          <w:rFonts w:asciiTheme="majorBidi" w:hAnsiTheme="majorBidi" w:cstheme="majorBidi"/>
          <w:lang w:val="it-IT"/>
        </w:rPr>
        <w:t xml:space="preserve">2.1. </w:t>
      </w:r>
      <w:r w:rsidR="00A6147A" w:rsidRPr="004A2D1C">
        <w:rPr>
          <w:rFonts w:asciiTheme="majorBidi" w:hAnsiTheme="majorBidi" w:cstheme="majorBidi"/>
          <w:lang w:val="it-IT"/>
        </w:rPr>
        <w:t xml:space="preserve">Darbų pavadinimas: </w:t>
      </w:r>
      <w:bookmarkStart w:id="9" w:name="_Hlk172201873"/>
      <w:r w:rsidR="002F356E" w:rsidRPr="000830A3">
        <w:rPr>
          <w:b/>
          <w:bCs/>
          <w:lang w:val="it-IT"/>
        </w:rPr>
        <w:t>Šilutės Šv. Kryžiaus pastatų komplekso parapinės mokyklos (u. k. KVR 30365), Katalikų Bažnyčios g. 5, Šilutės m., tvarkybos (remonto, restauravimo) darbai</w:t>
      </w:r>
      <w:r w:rsidR="002F356E" w:rsidRPr="002F356E" w:rsidDel="002F356E">
        <w:rPr>
          <w:b/>
          <w:bCs/>
          <w:color w:val="000000" w:themeColor="text1"/>
          <w:lang w:val="lt-LT"/>
        </w:rPr>
        <w:t xml:space="preserve"> </w:t>
      </w:r>
      <w:bookmarkEnd w:id="9"/>
      <w:r w:rsidR="00A6147A" w:rsidRPr="002F356E">
        <w:rPr>
          <w:rFonts w:asciiTheme="majorBidi" w:hAnsiTheme="majorBidi" w:cstheme="majorBidi"/>
          <w:b/>
          <w:bCs/>
          <w:lang w:val="lt-LT"/>
        </w:rPr>
        <w:t>(toliau – darbai).</w:t>
      </w:r>
    </w:p>
    <w:p w14:paraId="718B8AC9" w14:textId="17F26A29"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D67C40" w:rsidRPr="00D67C40">
        <w:rPr>
          <w:lang w:val="lt-LT"/>
        </w:rPr>
        <w:t>Šilutės Šv. Kryžiaus parapija</w:t>
      </w:r>
      <w:r w:rsidR="00D67C40">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D600A5" w:rsidRPr="004A2D1C">
        <w:rPr>
          <w:rFonts w:asciiTheme="majorBidi" w:hAnsiTheme="majorBidi" w:cstheme="majorBidi"/>
          <w:lang w:val="lt-LT"/>
        </w:rPr>
        <w:t xml:space="preserve">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043345E7"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2F356E">
        <w:rPr>
          <w:b/>
          <w:bCs/>
          <w:iCs/>
          <w:color w:val="000000" w:themeColor="text1"/>
          <w:lang w:val="lt-LT"/>
        </w:rPr>
        <w:t>106 209,76</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2F356E">
        <w:rPr>
          <w:rFonts w:asciiTheme="majorBidi" w:hAnsiTheme="majorBidi" w:cstheme="majorBidi"/>
          <w:b/>
          <w:bCs/>
          <w:lang w:val="lt-LT"/>
        </w:rPr>
        <w:t>128 513,81</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70581C00"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w:t>
      </w:r>
      <w:r w:rsidR="001562A1" w:rsidRPr="00267F74">
        <w:rPr>
          <w:rFonts w:asciiTheme="majorBidi" w:hAnsiTheme="majorBidi" w:cstheme="majorBidi"/>
          <w:lang w:val="lt-LT"/>
        </w:rPr>
        <w:t xml:space="preserve">2025 m. </w:t>
      </w:r>
      <w:r w:rsidR="006D2914" w:rsidRPr="00267F74">
        <w:rPr>
          <w:rFonts w:asciiTheme="majorBidi" w:hAnsiTheme="majorBidi" w:cstheme="majorBidi"/>
          <w:lang w:val="lt-LT"/>
        </w:rPr>
        <w:t xml:space="preserve">valstybės biudžeto lėšomis finansuos Kultūros infrastruktūros centras </w:t>
      </w:r>
      <w:bookmarkStart w:id="10" w:name="_Hlk188514262"/>
      <w:r w:rsidR="006D2914" w:rsidRPr="00267F74">
        <w:rPr>
          <w:rFonts w:asciiTheme="majorBidi" w:hAnsiTheme="majorBidi" w:cstheme="majorBidi"/>
          <w:lang w:val="lt-LT"/>
        </w:rPr>
        <w:t>(Sutartyje vadinamas Užsakovu)</w:t>
      </w:r>
      <w:bookmarkEnd w:id="10"/>
      <w:r w:rsidR="00D67C40">
        <w:rPr>
          <w:rFonts w:asciiTheme="majorBidi" w:hAnsiTheme="majorBidi" w:cstheme="majorBidi"/>
          <w:lang w:val="lt-LT"/>
        </w:rPr>
        <w:t xml:space="preserve">, Šilutės rajono savivaldybės administracija </w:t>
      </w:r>
      <w:r w:rsidR="00A336DB" w:rsidRPr="00A336DB">
        <w:rPr>
          <w:rFonts w:asciiTheme="majorBidi" w:hAnsiTheme="majorBidi" w:cstheme="majorBidi"/>
          <w:lang w:val="lt-LT"/>
        </w:rPr>
        <w:t xml:space="preserve">(Sutartyje vadinama </w:t>
      </w:r>
      <w:r w:rsidR="00A336DB">
        <w:rPr>
          <w:rFonts w:asciiTheme="majorBidi" w:hAnsiTheme="majorBidi" w:cstheme="majorBidi"/>
          <w:lang w:val="lt-LT"/>
        </w:rPr>
        <w:t>Stat</w:t>
      </w:r>
      <w:r w:rsidR="00A336DB" w:rsidRPr="00A336DB">
        <w:rPr>
          <w:rFonts w:asciiTheme="majorBidi" w:hAnsiTheme="majorBidi" w:cstheme="majorBidi"/>
          <w:lang w:val="lt-LT"/>
        </w:rPr>
        <w:t>ytoju)</w:t>
      </w:r>
      <w:r w:rsidR="00A336DB">
        <w:rPr>
          <w:rFonts w:asciiTheme="majorBidi" w:hAnsiTheme="majorBidi" w:cstheme="majorBidi"/>
          <w:lang w:val="lt-LT"/>
        </w:rPr>
        <w:t xml:space="preserve"> ir </w:t>
      </w:r>
      <w:r w:rsidR="00D67C40" w:rsidRPr="00D67C40">
        <w:rPr>
          <w:rFonts w:asciiTheme="majorBidi" w:hAnsiTheme="majorBidi" w:cstheme="majorBidi"/>
          <w:lang w:val="lt-LT"/>
        </w:rPr>
        <w:t>Šilutės Šv. Kryžiaus parapija</w:t>
      </w:r>
      <w:r w:rsidR="00D67C40">
        <w:rPr>
          <w:rFonts w:asciiTheme="majorBidi" w:hAnsiTheme="majorBidi" w:cstheme="majorBidi"/>
          <w:lang w:val="lt-LT"/>
        </w:rPr>
        <w:t xml:space="preserve"> </w:t>
      </w:r>
      <w:r w:rsidR="00D67C40" w:rsidRPr="00D67C40">
        <w:rPr>
          <w:rFonts w:asciiTheme="majorBidi" w:hAnsiTheme="majorBidi" w:cstheme="majorBidi"/>
          <w:lang w:val="lt-LT"/>
        </w:rPr>
        <w:t xml:space="preserve">(Sutartyje vadinama </w:t>
      </w:r>
      <w:r w:rsidR="00D67C40">
        <w:rPr>
          <w:rFonts w:asciiTheme="majorBidi" w:hAnsiTheme="majorBidi" w:cstheme="majorBidi"/>
          <w:lang w:val="lt-LT"/>
        </w:rPr>
        <w:t>Valdyt</w:t>
      </w:r>
      <w:r w:rsidR="00D67C40" w:rsidRPr="00D67C40">
        <w:rPr>
          <w:rFonts w:asciiTheme="majorBidi" w:hAnsiTheme="majorBidi" w:cstheme="majorBidi"/>
          <w:lang w:val="lt-LT"/>
        </w:rPr>
        <w:t>o</w:t>
      </w:r>
      <w:r w:rsidR="00D67C40">
        <w:rPr>
          <w:rFonts w:asciiTheme="majorBidi" w:hAnsiTheme="majorBidi" w:cstheme="majorBidi"/>
          <w:lang w:val="lt-LT"/>
        </w:rPr>
        <w:t>j</w:t>
      </w:r>
      <w:r w:rsidR="00D67C40" w:rsidRPr="00D67C40">
        <w:rPr>
          <w:rFonts w:asciiTheme="majorBidi" w:hAnsiTheme="majorBidi" w:cstheme="majorBidi"/>
          <w:lang w:val="lt-LT"/>
        </w:rPr>
        <w:t>u)</w:t>
      </w:r>
      <w:r w:rsidR="00E47A87" w:rsidRPr="00267F74">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4DE10F71"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1"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2F356E">
        <w:rPr>
          <w:b/>
          <w:bCs/>
          <w:lang w:val="lt-LT"/>
        </w:rPr>
        <w:t>vasario</w:t>
      </w:r>
      <w:r w:rsidR="002F356E" w:rsidRPr="0071405B">
        <w:rPr>
          <w:b/>
          <w:bCs/>
          <w:lang w:val="lt-LT"/>
        </w:rPr>
        <w:t xml:space="preserve"> </w:t>
      </w:r>
      <w:r w:rsidR="008852DB">
        <w:rPr>
          <w:b/>
          <w:bCs/>
          <w:lang w:val="lt-LT"/>
        </w:rPr>
        <w:t>4</w:t>
      </w:r>
      <w:r w:rsidR="008852DB" w:rsidRPr="0071405B">
        <w:rPr>
          <w:b/>
          <w:bCs/>
          <w:lang w:val="lt-LT"/>
        </w:rPr>
        <w:t xml:space="preserve"> </w:t>
      </w:r>
      <w:r w:rsidR="00DE69EA" w:rsidRPr="0071405B">
        <w:rPr>
          <w:b/>
          <w:bCs/>
          <w:lang w:val="lt-LT"/>
        </w:rPr>
        <w:t>d.</w:t>
      </w:r>
      <w:r w:rsidR="00125BE9" w:rsidRPr="0071405B">
        <w:rPr>
          <w:b/>
          <w:bCs/>
          <w:lang w:val="lt-LT"/>
        </w:rPr>
        <w:t xml:space="preserve"> </w:t>
      </w:r>
      <w:r w:rsidR="008852DB">
        <w:rPr>
          <w:b/>
          <w:bCs/>
          <w:lang w:val="lt-LT"/>
        </w:rPr>
        <w:t>11</w:t>
      </w:r>
      <w:r w:rsidR="008852DB" w:rsidRPr="0071405B">
        <w:rPr>
          <w:b/>
          <w:bCs/>
          <w:lang w:val="lt-LT"/>
        </w:rPr>
        <w:t xml:space="preserve"> </w:t>
      </w:r>
      <w:r w:rsidR="00DE69EA" w:rsidRPr="0071405B">
        <w:rPr>
          <w:b/>
          <w:bCs/>
          <w:lang w:val="lt-LT"/>
        </w:rPr>
        <w:t>val.</w:t>
      </w:r>
      <w:r w:rsidR="00125BE9" w:rsidRPr="0071405B">
        <w:rPr>
          <w:b/>
          <w:bCs/>
          <w:lang w:val="lt-LT"/>
        </w:rPr>
        <w:t xml:space="preserve"> </w:t>
      </w:r>
      <w:r w:rsidR="007A2313">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11"/>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E83F3A">
        <w:rPr>
          <w:rFonts w:asciiTheme="majorBidi" w:hAnsiTheme="majorBidi" w:cstheme="majorBidi"/>
          <w:lang w:val="lt-LT"/>
        </w:rPr>
        <w:t>ą</w:t>
      </w:r>
      <w:r w:rsidR="006D2BC2" w:rsidRPr="004A2D1C">
        <w:rPr>
          <w:rFonts w:asciiTheme="majorBidi" w:hAnsiTheme="majorBidi" w:cstheme="majorBidi"/>
          <w:lang w:val="lt-LT"/>
        </w:rPr>
        <w:t xml:space="preserve"> </w:t>
      </w:r>
      <w:r w:rsidR="002F356E">
        <w:rPr>
          <w:rFonts w:asciiTheme="majorBidi" w:hAnsiTheme="majorBidi" w:cstheme="majorBidi"/>
          <w:lang w:val="lt-LT"/>
        </w:rPr>
        <w:t xml:space="preserve">Zigmą </w:t>
      </w:r>
      <w:proofErr w:type="spellStart"/>
      <w:r w:rsidR="002F356E">
        <w:rPr>
          <w:rFonts w:asciiTheme="majorBidi" w:hAnsiTheme="majorBidi" w:cstheme="majorBidi"/>
          <w:lang w:val="lt-LT"/>
        </w:rPr>
        <w:t>Arcišauską</w:t>
      </w:r>
      <w:proofErr w:type="spellEnd"/>
      <w:r w:rsidR="00D029EF" w:rsidRPr="0026653C">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D029EF">
        <w:rPr>
          <w:rFonts w:asciiTheme="majorBidi" w:hAnsiTheme="majorBidi" w:cstheme="majorBidi"/>
          <w:lang w:val="lt-LT"/>
        </w:rPr>
        <w:t xml:space="preserve">615 </w:t>
      </w:r>
      <w:r w:rsidR="00F80EFF">
        <w:rPr>
          <w:rFonts w:asciiTheme="majorBidi" w:hAnsiTheme="majorBidi" w:cstheme="majorBidi"/>
          <w:lang w:val="lt-LT"/>
        </w:rPr>
        <w:t>91880</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0642E600"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F80EFF">
        <w:rPr>
          <w:rFonts w:ascii="Times New Roman" w:hAnsi="Times New Roman" w:cs="Times New Roman"/>
          <w:b/>
          <w:color w:val="000000" w:themeColor="text1"/>
          <w:sz w:val="24"/>
          <w:szCs w:val="24"/>
        </w:rPr>
        <w:t>6</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26443D">
        <w:rPr>
          <w:rFonts w:ascii="Times New Roman" w:hAnsi="Times New Roman" w:cs="Times New Roman"/>
          <w:b/>
          <w:color w:val="000000" w:themeColor="text1"/>
          <w:sz w:val="24"/>
          <w:szCs w:val="24"/>
        </w:rPr>
        <w:t>spalio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77777777"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8F1B4F">
        <w:rPr>
          <w:rFonts w:asciiTheme="majorBidi" w:eastAsia="Times New Roman" w:hAnsiTheme="majorBidi" w:cstheme="majorBidi"/>
          <w:color w:val="000000" w:themeColor="text1"/>
          <w:kern w:val="2"/>
          <w:lang w:val="lt-LT"/>
          <w14:ligatures w14:val="standardContextual"/>
        </w:rPr>
        <w:t>2 (dviem)</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8F1B4F">
        <w:rPr>
          <w:rFonts w:asciiTheme="majorBidi" w:eastAsia="Times New Roman" w:hAnsiTheme="majorBidi" w:cstheme="majorBidi"/>
          <w:color w:val="000000" w:themeColor="text1"/>
          <w:kern w:val="2"/>
          <w:lang w:val="lt-LT"/>
          <w14:ligatures w14:val="standardContextual"/>
        </w:rPr>
        <w:t xml:space="preserve">: </w:t>
      </w:r>
      <w:r w:rsidR="008F1B4F" w:rsidRPr="00C52623">
        <w:rPr>
          <w:rFonts w:asciiTheme="majorBidi" w:eastAsia="Times New Roman" w:hAnsiTheme="majorBidi" w:cstheme="majorBidi"/>
          <w:color w:val="000000" w:themeColor="text1"/>
          <w:kern w:val="2"/>
          <w:lang w:val="lt-LT"/>
          <w14:ligatures w14:val="standardContextual"/>
        </w:rPr>
        <w:t>1 kartą dėl nenu</w:t>
      </w:r>
      <w:r w:rsidR="008F1B4F" w:rsidRPr="0026443D">
        <w:rPr>
          <w:rFonts w:asciiTheme="majorBidi" w:eastAsia="Times New Roman" w:hAnsiTheme="majorBidi" w:cstheme="majorBidi"/>
          <w:color w:val="000000" w:themeColor="text1"/>
          <w:kern w:val="2"/>
          <w:lang w:val="lt-LT"/>
          <w14:ligatures w14:val="standardContextual"/>
        </w:rPr>
        <w:t>ma</w:t>
      </w:r>
      <w:r w:rsidR="008F1B4F" w:rsidRPr="00C52623">
        <w:rPr>
          <w:rFonts w:asciiTheme="majorBidi" w:eastAsia="Times New Roman" w:hAnsiTheme="majorBidi" w:cstheme="majorBidi"/>
          <w:color w:val="000000" w:themeColor="text1"/>
          <w:kern w:val="2"/>
          <w:lang w:val="lt-LT"/>
          <w14:ligatures w14:val="standardContextual"/>
        </w:rPr>
        <w:t>tytų aplinkybių</w:t>
      </w:r>
      <w:r w:rsidR="008F1B4F" w:rsidRPr="00125BE9">
        <w:rPr>
          <w:rFonts w:asciiTheme="majorBidi" w:eastAsia="Times New Roman" w:hAnsiTheme="majorBidi" w:cstheme="majorBidi"/>
          <w:color w:val="000000" w:themeColor="text1"/>
          <w:kern w:val="2"/>
          <w:lang w:val="lt-LT"/>
          <w14:ligatures w14:val="standardContextual"/>
        </w:rPr>
        <w:t>, o tuo</w:t>
      </w:r>
      <w:r w:rsidR="008F1B4F" w:rsidRPr="004A2D1C">
        <w:rPr>
          <w:rFonts w:asciiTheme="majorBidi" w:eastAsia="Times New Roman" w:hAnsiTheme="majorBidi" w:cstheme="majorBidi"/>
          <w:color w:val="000000" w:themeColor="text1"/>
          <w:kern w:val="2"/>
          <w:lang w:val="lt-LT"/>
          <w14:ligatures w14:val="standardContextual"/>
        </w:rPr>
        <w:t xml:space="preserve">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2"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w:t>
      </w:r>
      <w:r w:rsidR="00BD09C8" w:rsidRPr="004A2D1C">
        <w:rPr>
          <w:rFonts w:asciiTheme="majorBidi" w:hAnsiTheme="majorBidi" w:cstheme="majorBidi"/>
          <w:color w:val="000000" w:themeColor="text1"/>
          <w:lang w:val="lt-LT"/>
        </w:rPr>
        <w:lastRenderedPageBreak/>
        <w:t>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3"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4" w:name="_Toc362767482"/>
      <w:bookmarkStart w:id="15"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3"/>
      <w:bookmarkEnd w:id="14"/>
      <w:bookmarkEnd w:id="15"/>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w:t>
      </w:r>
      <w:r w:rsidR="00901571" w:rsidRPr="004A2D1C">
        <w:rPr>
          <w:rFonts w:asciiTheme="majorBidi" w:hAnsiTheme="majorBidi" w:cstheme="majorBidi"/>
          <w:color w:val="000000" w:themeColor="text1"/>
          <w:lang w:val="lt-LT"/>
        </w:rPr>
        <w:lastRenderedPageBreak/>
        <w:t>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perkančiosios organizacijos prašymu pateikė visus atitiktį kvalifikacijos reikalavimams patvirtinančius ir </w:t>
      </w:r>
      <w:r w:rsidRPr="004A2D1C">
        <w:rPr>
          <w:rFonts w:asciiTheme="majorBidi" w:hAnsiTheme="majorBidi" w:cstheme="majorBidi"/>
          <w:color w:val="000000" w:themeColor="text1"/>
          <w:lang w:val="lt-LT"/>
        </w:rPr>
        <w:lastRenderedPageBreak/>
        <w:t>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2"/>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xml:space="preserve">),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w:t>
      </w:r>
      <w:r w:rsidRPr="004A2D1C">
        <w:rPr>
          <w:rFonts w:asciiTheme="majorBidi" w:hAnsiTheme="majorBidi" w:cstheme="majorBidi"/>
          <w:lang w:val="lt-LT"/>
        </w:rPr>
        <w:lastRenderedPageBreak/>
        <w:t>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6"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6"/>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7"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7"/>
    </w:p>
    <w:p w14:paraId="7649981D" w14:textId="77777777" w:rsidR="00A45057" w:rsidRPr="00E720AF" w:rsidRDefault="00A45057" w:rsidP="00771BEB">
      <w:pPr>
        <w:rPr>
          <w:lang w:val="lt-LT"/>
        </w:rPr>
      </w:pPr>
    </w:p>
    <w:p w14:paraId="08DADB98" w14:textId="29B6E6A5" w:rsidR="00A45057" w:rsidRPr="004A2D1C"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A45057">
        <w:rPr>
          <w:rFonts w:asciiTheme="majorBidi" w:eastAsia="Times New Roman" w:hAnsiTheme="majorBidi" w:cstheme="majorBidi"/>
          <w:b/>
          <w:bCs/>
          <w:color w:val="000000" w:themeColor="text1"/>
          <w:lang w:val="lt-LT"/>
        </w:rPr>
        <w:t>2</w:t>
      </w:r>
      <w:r w:rsidR="00A45057" w:rsidRPr="004A2D1C">
        <w:rPr>
          <w:rFonts w:asciiTheme="majorBidi" w:eastAsia="Times New Roman" w:hAnsiTheme="majorBidi" w:cstheme="majorBidi"/>
          <w:b/>
          <w:bCs/>
          <w:color w:val="000000" w:themeColor="text1"/>
          <w:lang w:val="lt-LT"/>
        </w:rPr>
        <w:t xml:space="preserve"> </w:t>
      </w:r>
      <w:r w:rsidR="00A45057">
        <w:rPr>
          <w:rFonts w:asciiTheme="majorBidi" w:eastAsia="Times New Roman" w:hAnsiTheme="majorBidi" w:cstheme="majorBidi"/>
          <w:b/>
          <w:bCs/>
          <w:color w:val="000000" w:themeColor="text1"/>
          <w:lang w:val="lt-LT"/>
        </w:rPr>
        <w:t>5</w:t>
      </w:r>
      <w:r w:rsidR="00A45057" w:rsidRPr="004A2D1C">
        <w:rPr>
          <w:rFonts w:asciiTheme="majorBidi" w:eastAsia="Times New Roman" w:hAnsiTheme="majorBidi" w:cstheme="majorBidi"/>
          <w:b/>
          <w:bCs/>
          <w:color w:val="000000" w:themeColor="text1"/>
          <w:lang w:val="lt-LT"/>
        </w:rPr>
        <w:t>00,00</w:t>
      </w:r>
      <w:r w:rsidR="00A45057" w:rsidRPr="004A2D1C">
        <w:rPr>
          <w:rFonts w:asciiTheme="majorBidi" w:eastAsia="Times New Roman" w:hAnsiTheme="majorBidi" w:cstheme="majorBidi"/>
          <w:color w:val="000000" w:themeColor="text1"/>
          <w:lang w:val="lt-LT"/>
        </w:rPr>
        <w:t xml:space="preserve"> </w:t>
      </w:r>
      <w:r w:rsidR="00A45057" w:rsidRPr="004A2D1C">
        <w:rPr>
          <w:rFonts w:asciiTheme="majorBidi" w:eastAsia="Times New Roman" w:hAnsiTheme="majorBidi" w:cstheme="majorBidi"/>
          <w:b/>
          <w:bCs/>
          <w:color w:val="000000" w:themeColor="text1"/>
          <w:lang w:val="lt-LT"/>
        </w:rPr>
        <w:t>EUR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Perkančioji organizacija grąžina pasiūlymo galiojimo užtikrinimą esant bent vienai iš šių sąlygų:</w:t>
      </w:r>
    </w:p>
    <w:p w14:paraId="6970301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įsigalioja pirkimo sutartis;</w:t>
      </w:r>
    </w:p>
    <w:p w14:paraId="4CAD23B5"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8"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7"/>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w:t>
      </w:r>
      <w:r w:rsidRPr="004A2D1C">
        <w:rPr>
          <w:rFonts w:asciiTheme="majorBidi" w:eastAsia="Calibri" w:hAnsiTheme="majorBidi" w:cstheme="majorBidi"/>
          <w:color w:val="000000" w:themeColor="text1"/>
          <w:sz w:val="24"/>
          <w:szCs w:val="24"/>
        </w:rPr>
        <w:lastRenderedPageBreak/>
        <w:t>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F90F907" w14:textId="632EA50A"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ListParagraph"/>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Pr="00071A7F" w:rsidRDefault="00ED02AE" w:rsidP="00071A7F">
      <w:pPr>
        <w:pStyle w:val="ListParagraph"/>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9" w:name="_Toc4408145"/>
      <w:r w:rsidRPr="00301303">
        <w:rPr>
          <w:color w:val="000000" w:themeColor="text1"/>
        </w:rPr>
        <w:t>VII SKYRIUS</w:t>
      </w:r>
      <w:r w:rsidRPr="00301303">
        <w:rPr>
          <w:color w:val="000000" w:themeColor="text1"/>
        </w:rPr>
        <w:br/>
        <w:t>PASIŪLYMŲ KAINOS ŠIFRAVIMAS</w:t>
      </w:r>
      <w:bookmarkEnd w:id="19"/>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20"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20"/>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 xml:space="preserve">organizacija visus gautus klausimus </w:t>
      </w:r>
      <w:r w:rsidRPr="00EC09A9">
        <w:rPr>
          <w:rFonts w:ascii="Times New Roman" w:hAnsi="Times New Roman" w:cs="Times New Roman"/>
          <w:color w:val="000000" w:themeColor="text1"/>
          <w:sz w:val="24"/>
          <w:szCs w:val="24"/>
        </w:rPr>
        <w:lastRenderedPageBreak/>
        <w:t>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1"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1"/>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pagal kainos ir kokybės santykį - </w:t>
      </w:r>
      <w:r w:rsidRPr="007831B0">
        <w:rPr>
          <w:rFonts w:ascii="Times New Roman" w:hAnsi="Times New Roman" w:cs="Times New Roman"/>
          <w:b/>
          <w:bCs/>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w:t>
      </w:r>
      <w:r w:rsidRPr="00F1389D">
        <w:rPr>
          <w:rFonts w:asciiTheme="majorBidi" w:hAnsiTheme="majorBidi" w:cstheme="majorBidi"/>
          <w:color w:val="000000" w:themeColor="text1"/>
          <w:sz w:val="24"/>
          <w:szCs w:val="24"/>
        </w:rPr>
        <w:lastRenderedPageBreak/>
        <w:t>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 xml:space="preserve">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w:t>
      </w:r>
      <w:r w:rsidRPr="00452734">
        <w:rPr>
          <w:rFonts w:asciiTheme="majorBidi" w:eastAsia="Times New Roman" w:hAnsiTheme="majorBidi" w:cstheme="majorBidi"/>
          <w:color w:val="000000" w:themeColor="text1"/>
          <w:kern w:val="2"/>
          <w:lang w:val="lt-LT"/>
          <w14:ligatures w14:val="standardContextual"/>
        </w:rPr>
        <w:lastRenderedPageBreak/>
        <w:t>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77777777" w:rsidR="00665163" w:rsidRPr="00301303" w:rsidRDefault="00665163" w:rsidP="00071A7F">
      <w:pPr>
        <w:pStyle w:val="Heading1"/>
        <w:spacing w:line="276" w:lineRule="auto"/>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SUTARTIES 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4AF262DF"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C52623">
        <w:rPr>
          <w:rFonts w:asciiTheme="majorBidi" w:hAnsiTheme="majorBidi" w:cstheme="majorBidi"/>
          <w:lang w:val="lt-LT"/>
        </w:rPr>
        <w:t>Stat</w:t>
      </w:r>
      <w:r w:rsidRPr="00665163">
        <w:rPr>
          <w:rFonts w:asciiTheme="majorBidi" w:hAnsiTheme="majorBidi" w:cstheme="majorBidi"/>
          <w:lang w:val="lt-LT"/>
        </w:rPr>
        <w:t>ytojo</w:t>
      </w:r>
      <w:r w:rsidR="00A336DB">
        <w:rPr>
          <w:rFonts w:asciiTheme="majorBidi" w:hAnsiTheme="majorBidi" w:cstheme="majorBidi"/>
          <w:lang w:val="lt-LT"/>
        </w:rPr>
        <w:t>, Valdytojo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w:t>
      </w:r>
      <w:r w:rsidR="00665163" w:rsidRPr="00665163">
        <w:rPr>
          <w:rFonts w:asciiTheme="majorBidi" w:hAnsiTheme="majorBidi" w:cstheme="majorBidi"/>
          <w:lang w:val="lt-LT"/>
        </w:rPr>
        <w:lastRenderedPageBreak/>
        <w:t xml:space="preserve">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03EB5980"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00334">
        <w:rPr>
          <w:rFonts w:asciiTheme="majorBidi" w:hAnsiTheme="majorBidi" w:cstheme="majorBidi"/>
          <w:b/>
          <w:bCs/>
          <w:lang w:val="lt-LT"/>
        </w:rPr>
        <w:t xml:space="preserve">iki </w:t>
      </w:r>
      <w:r w:rsidR="00577259" w:rsidRPr="00900334">
        <w:rPr>
          <w:rFonts w:asciiTheme="majorBidi" w:hAnsiTheme="majorBidi" w:cstheme="majorBidi"/>
          <w:b/>
          <w:bCs/>
          <w:lang w:val="lt-LT"/>
        </w:rPr>
        <w:t>202</w:t>
      </w:r>
      <w:r w:rsidR="00A336DB">
        <w:rPr>
          <w:rFonts w:asciiTheme="majorBidi" w:hAnsiTheme="majorBidi" w:cstheme="majorBidi"/>
          <w:b/>
          <w:bCs/>
          <w:lang w:val="lt-LT"/>
        </w:rPr>
        <w:t>6</w:t>
      </w:r>
      <w:r w:rsidR="00577259" w:rsidRPr="00900334">
        <w:rPr>
          <w:rFonts w:asciiTheme="majorBidi" w:hAnsiTheme="majorBidi" w:cstheme="majorBidi"/>
          <w:b/>
          <w:bCs/>
          <w:lang w:val="lt-LT"/>
        </w:rPr>
        <w:t xml:space="preserve"> </w:t>
      </w:r>
      <w:r w:rsidR="00665163" w:rsidRPr="00900334">
        <w:rPr>
          <w:rFonts w:asciiTheme="majorBidi" w:hAnsiTheme="majorBidi" w:cstheme="majorBidi"/>
          <w:b/>
          <w:bCs/>
          <w:lang w:val="lt-LT"/>
        </w:rPr>
        <w:t>m. lapkričio 25 d</w:t>
      </w:r>
      <w:r w:rsidR="00665163" w:rsidRPr="003A6264">
        <w:rPr>
          <w:rFonts w:asciiTheme="majorBidi" w:hAnsiTheme="majorBidi" w:cstheme="majorBidi"/>
          <w:b/>
          <w:bCs/>
          <w:lang w:val="lt-LT"/>
        </w:rPr>
        <w:t>.</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w:t>
      </w:r>
      <w:r w:rsidR="00665163" w:rsidRPr="00665163">
        <w:rPr>
          <w:rFonts w:asciiTheme="majorBidi" w:hAnsiTheme="majorBidi" w:cstheme="majorBidi"/>
          <w:lang w:val="lt-LT"/>
        </w:rPr>
        <w:lastRenderedPageBreak/>
        <w:t xml:space="preserve">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2"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2"/>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3"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4"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lastRenderedPageBreak/>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5"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6" w:name="_Toc4408152"/>
      <w:r>
        <w:rPr>
          <w:color w:val="000000" w:themeColor="text1"/>
        </w:rPr>
        <w:tab/>
      </w:r>
      <w:r w:rsidR="00BE3E44" w:rsidRPr="00301303">
        <w:rPr>
          <w:color w:val="000000" w:themeColor="text1"/>
        </w:rPr>
        <w:t>2 PRIEDAS. PASIŪLYMO FORMA</w:t>
      </w:r>
      <w:bookmarkEnd w:id="26"/>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7"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8"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9"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9"/>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30" w:name="_Hlk157355436"/>
      <w:r w:rsidRPr="00301303">
        <w:rPr>
          <w:i/>
          <w:color w:val="000000" w:themeColor="text1"/>
          <w:lang w:val="lt-LT" w:eastAsia="x-none"/>
        </w:rPr>
        <w:t>Pateikiama atskiru dokumentu.</w:t>
      </w:r>
    </w:p>
    <w:bookmarkEnd w:id="30"/>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1" w:name="_Hlk157356515"/>
      <w:r w:rsidR="00AA74BD" w:rsidRPr="00AA74BD">
        <w:rPr>
          <w:rFonts w:ascii="Times New Roman" w:hAnsi="Times New Roman" w:cs="Times New Roman"/>
          <w:b/>
          <w:bCs/>
          <w:sz w:val="24"/>
          <w:szCs w:val="24"/>
        </w:rPr>
        <w:t xml:space="preserve">. </w:t>
      </w:r>
      <w:bookmarkStart w:id="32" w:name="_Hlk156464174"/>
      <w:r w:rsidR="00AA74BD" w:rsidRPr="00AA74BD">
        <w:rPr>
          <w:rFonts w:ascii="Times New Roman" w:hAnsi="Times New Roman" w:cs="Times New Roman"/>
          <w:b/>
          <w:bCs/>
          <w:sz w:val="24"/>
          <w:szCs w:val="24"/>
        </w:rPr>
        <w:t>SPECIALISTŲ, KURIE BUS ATSAKINGI UŽ PIRKIMO SUTARTIES VYKDYMĄ, SĄRAŠAS</w:t>
      </w:r>
      <w:bookmarkEnd w:id="31"/>
    </w:p>
    <w:bookmarkEnd w:id="32"/>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3" w:name="_Hlk157363146"/>
      <w:r w:rsidRPr="00301303">
        <w:rPr>
          <w:i/>
          <w:color w:val="000000" w:themeColor="text1"/>
          <w:lang w:val="lt-LT" w:eastAsia="x-none"/>
        </w:rPr>
        <w:t>Pateikiama atskiru dokumentu.</w:t>
      </w:r>
    </w:p>
    <w:bookmarkEnd w:id="33"/>
    <w:p w14:paraId="3501A5E4" w14:textId="77777777" w:rsidR="00AA74BD" w:rsidRDefault="00AA74BD" w:rsidP="00071A7F">
      <w:pPr>
        <w:spacing w:line="276" w:lineRule="auto"/>
        <w:rPr>
          <w:lang w:val="lt-LT"/>
        </w:rPr>
      </w:pPr>
    </w:p>
    <w:p w14:paraId="3A501104" w14:textId="2961CC50"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037B034A" w:rsidR="00AE76CD" w:rsidRDefault="00AE76CD" w:rsidP="00771BEB">
      <w:pPr>
        <w:spacing w:line="276" w:lineRule="auto"/>
        <w:ind w:left="1296" w:firstLine="1296"/>
        <w:rPr>
          <w:rFonts w:asciiTheme="majorBidi" w:hAnsiTheme="majorBidi" w:cstheme="majorBidi"/>
          <w:lang w:val="lt-LT"/>
        </w:rPr>
      </w:pPr>
      <w:r w:rsidRPr="00AE76CD">
        <w:rPr>
          <w:rFonts w:asciiTheme="majorBidi" w:hAnsiTheme="majorBidi" w:cstheme="majorBidi"/>
          <w:b/>
          <w:bCs/>
          <w:color w:val="000000" w:themeColor="text1"/>
          <w:lang w:val="lt-LT"/>
        </w:rPr>
        <w:t>10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2B9E6C3C" w14:textId="77777777" w:rsidR="002C7194" w:rsidRPr="00301303" w:rsidRDefault="002C7194" w:rsidP="00071A7F">
      <w:pPr>
        <w:pStyle w:val="Heading1"/>
        <w:spacing w:line="276" w:lineRule="auto"/>
        <w:ind w:left="284"/>
        <w:jc w:val="left"/>
        <w:rPr>
          <w:color w:val="000000" w:themeColor="text1"/>
        </w:rPr>
      </w:pPr>
      <w:r w:rsidRPr="00301303">
        <w:rPr>
          <w:color w:val="000000" w:themeColor="text1"/>
        </w:rPr>
        <w:t>11 PRIEDAS. ATLIKTŲ DARBŲ, KURIUOS VYKDANT SPECIALISTAS VADOVAVO TVARKYBOS DARBAMS, SĄRAŠAS</w:t>
      </w:r>
    </w:p>
    <w:p w14:paraId="57E4E6E7" w14:textId="77777777" w:rsidR="00AE76CD" w:rsidRDefault="00AE76CD" w:rsidP="00071A7F">
      <w:pPr>
        <w:spacing w:line="276" w:lineRule="auto"/>
        <w:rPr>
          <w:rFonts w:asciiTheme="majorBidi" w:hAnsiTheme="majorBidi" w:cstheme="majorBidi"/>
          <w:lang w:val="lt-LT"/>
        </w:rPr>
      </w:pP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0B1B349B" w14:textId="5018EA5F" w:rsidR="00C67E4A" w:rsidRPr="00301303" w:rsidRDefault="00C67E4A" w:rsidP="00C67E4A">
      <w:pPr>
        <w:pStyle w:val="Heading1"/>
        <w:spacing w:line="276" w:lineRule="auto"/>
        <w:ind w:left="284"/>
        <w:jc w:val="left"/>
        <w:rPr>
          <w:color w:val="000000" w:themeColor="text1"/>
        </w:rPr>
      </w:pPr>
      <w:r w:rsidRPr="00301303">
        <w:rPr>
          <w:color w:val="000000" w:themeColor="text1"/>
        </w:rPr>
        <w:lastRenderedPageBreak/>
        <w:t>1</w:t>
      </w:r>
      <w:r>
        <w:rPr>
          <w:color w:val="000000" w:themeColor="text1"/>
        </w:rPr>
        <w:t>2</w:t>
      </w:r>
      <w:r w:rsidRPr="00301303">
        <w:rPr>
          <w:color w:val="000000" w:themeColor="text1"/>
        </w:rPr>
        <w:t xml:space="preserve"> PRIEDAS. </w:t>
      </w:r>
      <w:r w:rsidRPr="00C67E4A">
        <w:rPr>
          <w:rFonts w:asciiTheme="majorBidi" w:hAnsiTheme="majorBidi" w:cstheme="majorBidi"/>
          <w:color w:val="000000" w:themeColor="text1"/>
        </w:rPr>
        <w:t xml:space="preserve">ATLIKTŲ DARBŲ, KURIUOS VYKDANT SPECIALISTAS VADOVAVO TVARKYBOS DARBAMS SĄRAŠAS </w:t>
      </w:r>
      <w:r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77777777"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Pr>
          <w:i/>
          <w:color w:val="000000" w:themeColor="text1"/>
          <w:lang w:val="lt-LT" w:eastAsia="x-none"/>
        </w:rPr>
        <w:t>u.</w:t>
      </w:r>
    </w:p>
    <w:p w14:paraId="54C41880" w14:textId="77777777" w:rsidR="002C7194" w:rsidRPr="004A2D1C" w:rsidRDefault="002C7194" w:rsidP="005E0C6A">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7AD1"/>
    <w:rsid w:val="00071A7F"/>
    <w:rsid w:val="000830A3"/>
    <w:rsid w:val="00095E2A"/>
    <w:rsid w:val="000A51A0"/>
    <w:rsid w:val="000A7F9D"/>
    <w:rsid w:val="000B41FB"/>
    <w:rsid w:val="000B7595"/>
    <w:rsid w:val="000E6265"/>
    <w:rsid w:val="00125BE9"/>
    <w:rsid w:val="00126BE3"/>
    <w:rsid w:val="0013732C"/>
    <w:rsid w:val="001562A1"/>
    <w:rsid w:val="00180B12"/>
    <w:rsid w:val="00183CEB"/>
    <w:rsid w:val="0019008A"/>
    <w:rsid w:val="00193075"/>
    <w:rsid w:val="0019671B"/>
    <w:rsid w:val="001A42B6"/>
    <w:rsid w:val="001B0F89"/>
    <w:rsid w:val="001C4B8C"/>
    <w:rsid w:val="001D7842"/>
    <w:rsid w:val="001E408A"/>
    <w:rsid w:val="001E6C5A"/>
    <w:rsid w:val="00210C45"/>
    <w:rsid w:val="002155D4"/>
    <w:rsid w:val="002336F8"/>
    <w:rsid w:val="00253D89"/>
    <w:rsid w:val="00263F1B"/>
    <w:rsid w:val="0026443D"/>
    <w:rsid w:val="00267F74"/>
    <w:rsid w:val="00274FE6"/>
    <w:rsid w:val="00284E69"/>
    <w:rsid w:val="00291026"/>
    <w:rsid w:val="00296CAE"/>
    <w:rsid w:val="002A1D3A"/>
    <w:rsid w:val="002A2F1E"/>
    <w:rsid w:val="002A7D93"/>
    <w:rsid w:val="002B08C8"/>
    <w:rsid w:val="002B3F08"/>
    <w:rsid w:val="002B7F3C"/>
    <w:rsid w:val="002C7194"/>
    <w:rsid w:val="002E3879"/>
    <w:rsid w:val="002E5F9A"/>
    <w:rsid w:val="002F144D"/>
    <w:rsid w:val="002F356E"/>
    <w:rsid w:val="0030038F"/>
    <w:rsid w:val="003005BB"/>
    <w:rsid w:val="003028AA"/>
    <w:rsid w:val="003043EB"/>
    <w:rsid w:val="00342516"/>
    <w:rsid w:val="003451A9"/>
    <w:rsid w:val="00370D52"/>
    <w:rsid w:val="00387245"/>
    <w:rsid w:val="00392161"/>
    <w:rsid w:val="003A6264"/>
    <w:rsid w:val="003B61E9"/>
    <w:rsid w:val="003C086F"/>
    <w:rsid w:val="003D212E"/>
    <w:rsid w:val="003E573E"/>
    <w:rsid w:val="003F1069"/>
    <w:rsid w:val="003F177B"/>
    <w:rsid w:val="00441A22"/>
    <w:rsid w:val="00452734"/>
    <w:rsid w:val="004A2D1C"/>
    <w:rsid w:val="004B2B8C"/>
    <w:rsid w:val="004B2FB1"/>
    <w:rsid w:val="004D3623"/>
    <w:rsid w:val="004E1569"/>
    <w:rsid w:val="004E7D9A"/>
    <w:rsid w:val="005179A6"/>
    <w:rsid w:val="00523C71"/>
    <w:rsid w:val="0053420C"/>
    <w:rsid w:val="00546F32"/>
    <w:rsid w:val="005506AD"/>
    <w:rsid w:val="00554ED6"/>
    <w:rsid w:val="00577259"/>
    <w:rsid w:val="00581C3F"/>
    <w:rsid w:val="00593973"/>
    <w:rsid w:val="005B0746"/>
    <w:rsid w:val="005C2320"/>
    <w:rsid w:val="005C5D0E"/>
    <w:rsid w:val="005D0D0D"/>
    <w:rsid w:val="005E0C6A"/>
    <w:rsid w:val="005F0FE8"/>
    <w:rsid w:val="005F3DEC"/>
    <w:rsid w:val="00603EF5"/>
    <w:rsid w:val="00612F22"/>
    <w:rsid w:val="00615B82"/>
    <w:rsid w:val="006346DB"/>
    <w:rsid w:val="006425B5"/>
    <w:rsid w:val="00644100"/>
    <w:rsid w:val="0066339B"/>
    <w:rsid w:val="00665163"/>
    <w:rsid w:val="00672DD5"/>
    <w:rsid w:val="00675E2F"/>
    <w:rsid w:val="00676474"/>
    <w:rsid w:val="006959DC"/>
    <w:rsid w:val="006A761C"/>
    <w:rsid w:val="006C28F0"/>
    <w:rsid w:val="006D2914"/>
    <w:rsid w:val="006D2BC2"/>
    <w:rsid w:val="006D5170"/>
    <w:rsid w:val="006E0D12"/>
    <w:rsid w:val="006E3754"/>
    <w:rsid w:val="006F6900"/>
    <w:rsid w:val="006F6D89"/>
    <w:rsid w:val="00702983"/>
    <w:rsid w:val="00702FB5"/>
    <w:rsid w:val="0071405B"/>
    <w:rsid w:val="00755969"/>
    <w:rsid w:val="00763F37"/>
    <w:rsid w:val="00771BEB"/>
    <w:rsid w:val="00780D56"/>
    <w:rsid w:val="007831B0"/>
    <w:rsid w:val="00783AF9"/>
    <w:rsid w:val="00785DEE"/>
    <w:rsid w:val="007917EC"/>
    <w:rsid w:val="00792666"/>
    <w:rsid w:val="00792675"/>
    <w:rsid w:val="007A2313"/>
    <w:rsid w:val="007A5E0B"/>
    <w:rsid w:val="007B4F31"/>
    <w:rsid w:val="007C0EE9"/>
    <w:rsid w:val="007D06D4"/>
    <w:rsid w:val="007D2ACE"/>
    <w:rsid w:val="007E1881"/>
    <w:rsid w:val="00800D19"/>
    <w:rsid w:val="0080244F"/>
    <w:rsid w:val="00810C15"/>
    <w:rsid w:val="00811A31"/>
    <w:rsid w:val="0081271C"/>
    <w:rsid w:val="00833833"/>
    <w:rsid w:val="0084409D"/>
    <w:rsid w:val="00862499"/>
    <w:rsid w:val="00882C10"/>
    <w:rsid w:val="008852DB"/>
    <w:rsid w:val="008A1E88"/>
    <w:rsid w:val="008A34A8"/>
    <w:rsid w:val="008B2F1C"/>
    <w:rsid w:val="008C12C3"/>
    <w:rsid w:val="008D07CC"/>
    <w:rsid w:val="008D5469"/>
    <w:rsid w:val="008F1B4F"/>
    <w:rsid w:val="008F6114"/>
    <w:rsid w:val="008F773F"/>
    <w:rsid w:val="00900334"/>
    <w:rsid w:val="00901571"/>
    <w:rsid w:val="00903117"/>
    <w:rsid w:val="00904859"/>
    <w:rsid w:val="00914FF5"/>
    <w:rsid w:val="00917BC4"/>
    <w:rsid w:val="00923747"/>
    <w:rsid w:val="009247FF"/>
    <w:rsid w:val="00926CD3"/>
    <w:rsid w:val="00932D81"/>
    <w:rsid w:val="00940933"/>
    <w:rsid w:val="00942338"/>
    <w:rsid w:val="00954757"/>
    <w:rsid w:val="00956E01"/>
    <w:rsid w:val="00972809"/>
    <w:rsid w:val="00973AFE"/>
    <w:rsid w:val="00986BA8"/>
    <w:rsid w:val="009B7BA7"/>
    <w:rsid w:val="009E73A8"/>
    <w:rsid w:val="009F5062"/>
    <w:rsid w:val="00A042B8"/>
    <w:rsid w:val="00A07A6C"/>
    <w:rsid w:val="00A14360"/>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3EAA"/>
    <w:rsid w:val="00AE4CDD"/>
    <w:rsid w:val="00AE76CD"/>
    <w:rsid w:val="00AF5543"/>
    <w:rsid w:val="00AF5B16"/>
    <w:rsid w:val="00B10147"/>
    <w:rsid w:val="00B21D30"/>
    <w:rsid w:val="00B540E3"/>
    <w:rsid w:val="00B67410"/>
    <w:rsid w:val="00B90DAD"/>
    <w:rsid w:val="00B91F07"/>
    <w:rsid w:val="00B92AC3"/>
    <w:rsid w:val="00BB048B"/>
    <w:rsid w:val="00BB774E"/>
    <w:rsid w:val="00BC03C7"/>
    <w:rsid w:val="00BC5E4C"/>
    <w:rsid w:val="00BD09C8"/>
    <w:rsid w:val="00BD1342"/>
    <w:rsid w:val="00BE2CA1"/>
    <w:rsid w:val="00BE3E44"/>
    <w:rsid w:val="00BE7E19"/>
    <w:rsid w:val="00C37305"/>
    <w:rsid w:val="00C37616"/>
    <w:rsid w:val="00C37CF1"/>
    <w:rsid w:val="00C41642"/>
    <w:rsid w:val="00C52623"/>
    <w:rsid w:val="00C54B4C"/>
    <w:rsid w:val="00C67E4A"/>
    <w:rsid w:val="00C85AAB"/>
    <w:rsid w:val="00CA61F5"/>
    <w:rsid w:val="00CA6642"/>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7A8C"/>
    <w:rsid w:val="00D57C64"/>
    <w:rsid w:val="00D600A5"/>
    <w:rsid w:val="00D67C40"/>
    <w:rsid w:val="00D850A7"/>
    <w:rsid w:val="00D9282A"/>
    <w:rsid w:val="00DC620C"/>
    <w:rsid w:val="00DE69EA"/>
    <w:rsid w:val="00E07527"/>
    <w:rsid w:val="00E114B7"/>
    <w:rsid w:val="00E20193"/>
    <w:rsid w:val="00E2252A"/>
    <w:rsid w:val="00E47A87"/>
    <w:rsid w:val="00E70796"/>
    <w:rsid w:val="00E720AF"/>
    <w:rsid w:val="00E76B42"/>
    <w:rsid w:val="00E83F3A"/>
    <w:rsid w:val="00E86FBD"/>
    <w:rsid w:val="00E9020D"/>
    <w:rsid w:val="00EA77EE"/>
    <w:rsid w:val="00EC0483"/>
    <w:rsid w:val="00EC09A9"/>
    <w:rsid w:val="00EC7599"/>
    <w:rsid w:val="00ED02AE"/>
    <w:rsid w:val="00ED039B"/>
    <w:rsid w:val="00F10078"/>
    <w:rsid w:val="00F129D7"/>
    <w:rsid w:val="00F1389D"/>
    <w:rsid w:val="00F169E9"/>
    <w:rsid w:val="00F17A3E"/>
    <w:rsid w:val="00F2146D"/>
    <w:rsid w:val="00F51252"/>
    <w:rsid w:val="00F72366"/>
    <w:rsid w:val="00F73C15"/>
    <w:rsid w:val="00F75ECD"/>
    <w:rsid w:val="00F80EFF"/>
    <w:rsid w:val="00F91D9F"/>
    <w:rsid w:val="00FA2DFA"/>
    <w:rsid w:val="00FB5D89"/>
    <w:rsid w:val="00FC0CE3"/>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9480</Words>
  <Characters>54040</Characters>
  <Application>Microsoft Office Word</Application>
  <DocSecurity>0</DocSecurity>
  <Lines>450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2025-01-27T07:07:00Z</dcterms:created>
  <dcterms:modified xsi:type="dcterms:W3CDTF">2025-01-27T07:07:00Z</dcterms:modified>
</cp:coreProperties>
</file>