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696DC" w14:textId="77777777" w:rsidR="00C44556" w:rsidRDefault="00C44556" w:rsidP="003D1458">
      <w:pPr>
        <w:tabs>
          <w:tab w:val="left" w:pos="6840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6DAE8CFC" w14:textId="00376CCE" w:rsidR="0095328C" w:rsidRPr="003D1458" w:rsidRDefault="0049627C" w:rsidP="003D1458">
      <w:pPr>
        <w:tabs>
          <w:tab w:val="left" w:pos="6840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TIEKĖJO </w:t>
      </w:r>
      <w:r w:rsidR="003D1458" w:rsidRPr="003D1458">
        <w:rPr>
          <w:rFonts w:asciiTheme="majorBidi" w:hAnsiTheme="majorBidi" w:cstheme="majorBidi"/>
          <w:b/>
          <w:bCs/>
          <w:sz w:val="22"/>
          <w:szCs w:val="22"/>
        </w:rPr>
        <w:t>SIŪLOM</w:t>
      </w:r>
      <w:r w:rsidR="005A4A93">
        <w:rPr>
          <w:rFonts w:asciiTheme="majorBidi" w:hAnsiTheme="majorBidi" w:cstheme="majorBidi"/>
          <w:b/>
          <w:bCs/>
          <w:sz w:val="22"/>
          <w:szCs w:val="22"/>
        </w:rPr>
        <w:t>Ų</w:t>
      </w:r>
      <w:r w:rsidR="003D1458" w:rsidRPr="003D1458">
        <w:rPr>
          <w:rFonts w:asciiTheme="majorBidi" w:hAnsiTheme="majorBidi" w:cstheme="majorBidi"/>
          <w:b/>
          <w:bCs/>
          <w:sz w:val="22"/>
          <w:szCs w:val="22"/>
        </w:rPr>
        <w:t xml:space="preserve"> SPECIALIST</w:t>
      </w:r>
      <w:r w:rsidR="005A4A93">
        <w:rPr>
          <w:rFonts w:asciiTheme="majorBidi" w:hAnsiTheme="majorBidi" w:cstheme="majorBidi"/>
          <w:b/>
          <w:bCs/>
          <w:sz w:val="22"/>
          <w:szCs w:val="22"/>
        </w:rPr>
        <w:t>Ų SĄRAŠAS</w:t>
      </w:r>
    </w:p>
    <w:p w14:paraId="5052899E" w14:textId="7952BBF7" w:rsidR="00B1636D" w:rsidRPr="003D1458" w:rsidRDefault="00B1636D" w:rsidP="003D1458">
      <w:pPr>
        <w:spacing w:line="276" w:lineRule="auto"/>
        <w:rPr>
          <w:bCs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41"/>
        <w:gridCol w:w="2220"/>
        <w:gridCol w:w="2667"/>
        <w:gridCol w:w="2789"/>
        <w:gridCol w:w="2789"/>
        <w:gridCol w:w="2789"/>
      </w:tblGrid>
      <w:tr w:rsidR="00996085" w:rsidRPr="00994A95" w14:paraId="35C0EEC6" w14:textId="3BC0A61F" w:rsidTr="00996085">
        <w:trPr>
          <w:trHeight w:val="70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09764798" w14:textId="2DBFAFB5" w:rsidR="00996085" w:rsidRPr="003D1458" w:rsidRDefault="00996085" w:rsidP="00001489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D1458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Kvalifikacijos reikalavim</w:t>
            </w:r>
            <w:r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ų</w:t>
            </w:r>
            <w:r w:rsidRPr="003D1458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 xml:space="preserve"> lentelės eilutės numeris</w:t>
            </w:r>
            <w:r w:rsidR="00612BE2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9A559DA" w14:textId="2DC4804E" w:rsidR="00996085" w:rsidRPr="003D1458" w:rsidRDefault="00996085" w:rsidP="00001489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D1458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Pozicija, į kurią siūlomas specialistas</w:t>
            </w:r>
            <w:r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*</w:t>
            </w:r>
            <w:r w:rsidR="00612BE2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774CC8B" w14:textId="77777777" w:rsidR="00996085" w:rsidRPr="003D1458" w:rsidRDefault="00996085" w:rsidP="00001489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D1458">
              <w:rPr>
                <w:bCs/>
                <w:i/>
                <w:iCs/>
                <w:sz w:val="22"/>
                <w:szCs w:val="22"/>
              </w:rPr>
              <w:t>Specialisto vardas, pavardė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951DAD" w14:textId="77777777" w:rsidR="00F4049E" w:rsidRDefault="00F4049E" w:rsidP="00F4049E">
            <w:pPr>
              <w:jc w:val="center"/>
              <w:rPr>
                <w:i/>
                <w:iCs/>
              </w:rPr>
            </w:pPr>
          </w:p>
          <w:p w14:paraId="48EFE696" w14:textId="319548E5" w:rsidR="00AF3C34" w:rsidRPr="00F4049E" w:rsidRDefault="00AF3C34" w:rsidP="00F4049E">
            <w:pPr>
              <w:jc w:val="center"/>
              <w:rPr>
                <w:i/>
                <w:iCs/>
              </w:rPr>
            </w:pPr>
            <w:r w:rsidRPr="00F4049E">
              <w:rPr>
                <w:i/>
                <w:iCs/>
              </w:rPr>
              <w:t>Patirtis, vykdant bent 1 (vieną) vadybos sistemos pagal ISO/IEC 20000-1:2018 sertifikavimo ir (ar) persertifikavimo auditą, ir (ar) vidaus auditą</w:t>
            </w:r>
          </w:p>
          <w:p w14:paraId="56D7F438" w14:textId="3830AF8F" w:rsidR="00996085" w:rsidRPr="003D1458" w:rsidRDefault="00996085" w:rsidP="00001489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3BFDB0" w14:textId="77777777" w:rsidR="00E91F1F" w:rsidRDefault="00E91F1F" w:rsidP="00E91F1F">
            <w:pPr>
              <w:rPr>
                <w:i/>
                <w:iCs/>
              </w:rPr>
            </w:pPr>
          </w:p>
          <w:p w14:paraId="17F0BD93" w14:textId="53BFFBD1" w:rsidR="00E91F1F" w:rsidRPr="00E91F1F" w:rsidRDefault="00E91F1F" w:rsidP="00E91F1F">
            <w:pPr>
              <w:jc w:val="center"/>
              <w:rPr>
                <w:i/>
                <w:iCs/>
              </w:rPr>
            </w:pPr>
            <w:r w:rsidRPr="00E91F1F">
              <w:rPr>
                <w:i/>
                <w:iCs/>
              </w:rPr>
              <w:t>Patirtis, vykdant bent 1 (vieną) vadybos sistemos pagal ISO/IEC 27001:2013 ar ISO/IEC 27001:2022 sertifikavimo ir (ar) persertifikavimo auditą, ir (ar) vidaus auditą.</w:t>
            </w:r>
          </w:p>
          <w:p w14:paraId="3D26F48F" w14:textId="79A04904" w:rsidR="00996085" w:rsidRPr="003D1458" w:rsidRDefault="00996085" w:rsidP="00001489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B1C9F4" w14:textId="4471E60B" w:rsidR="00996085" w:rsidRPr="002A7FA8" w:rsidRDefault="00996085" w:rsidP="00996085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C34B8">
              <w:rPr>
                <w:bCs/>
                <w:i/>
                <w:iCs/>
                <w:sz w:val="22"/>
                <w:szCs w:val="22"/>
              </w:rPr>
              <w:t>Lietuvių</w:t>
            </w:r>
            <w:r w:rsidR="007A5431" w:rsidRPr="003C34B8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3C34B8">
              <w:rPr>
                <w:bCs/>
                <w:i/>
                <w:iCs/>
                <w:sz w:val="22"/>
                <w:szCs w:val="22"/>
              </w:rPr>
              <w:t>kalb</w:t>
            </w:r>
            <w:r w:rsidR="005C76CA">
              <w:rPr>
                <w:bCs/>
                <w:i/>
                <w:iCs/>
                <w:sz w:val="22"/>
                <w:szCs w:val="22"/>
              </w:rPr>
              <w:t>os</w:t>
            </w:r>
            <w:r w:rsidRPr="003C34B8">
              <w:rPr>
                <w:bCs/>
                <w:i/>
                <w:iCs/>
                <w:sz w:val="22"/>
                <w:szCs w:val="22"/>
              </w:rPr>
              <w:t xml:space="preserve"> žinių lygis</w:t>
            </w:r>
          </w:p>
        </w:tc>
      </w:tr>
      <w:tr w:rsidR="00996085" w:rsidRPr="00994A95" w14:paraId="7515C6CC" w14:textId="079D758D" w:rsidTr="00996085">
        <w:trPr>
          <w:trHeight w:val="111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594E105" w14:textId="1C07F71F" w:rsidR="00996085" w:rsidRPr="00B1636D" w:rsidRDefault="001E1D53" w:rsidP="00AE33E5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75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B895467" w14:textId="0C9328A8" w:rsidR="00996085" w:rsidRPr="00B1636D" w:rsidRDefault="00BE39DA" w:rsidP="00001489">
            <w:pPr>
              <w:spacing w:before="120" w:after="120"/>
              <w:jc w:val="both"/>
              <w:rPr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color w:val="000000"/>
                <w:sz w:val="22"/>
                <w:szCs w:val="22"/>
                <w:bdr w:val="nil"/>
              </w:rPr>
              <w:t>Auditorius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80095" w14:textId="77777777" w:rsidR="00996085" w:rsidRPr="00994A95" w:rsidRDefault="00996085" w:rsidP="0000148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3610" w14:textId="77777777" w:rsidR="00996085" w:rsidRPr="00994A95" w:rsidRDefault="00996085" w:rsidP="0000148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5A02" w14:textId="77777777" w:rsidR="00996085" w:rsidRPr="00994A95" w:rsidRDefault="00996085" w:rsidP="0000148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68E1" w14:textId="77777777" w:rsidR="00996085" w:rsidRPr="00994A95" w:rsidRDefault="00996085" w:rsidP="0000148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96085" w:rsidRPr="00994A95" w14:paraId="2159665A" w14:textId="03CB6499" w:rsidTr="00996085">
        <w:trPr>
          <w:trHeight w:val="161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7868C8" w14:textId="1D742CEE" w:rsidR="00996085" w:rsidRPr="00B1636D" w:rsidRDefault="00996085" w:rsidP="002E79B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58B76B" w14:textId="5BD5358C" w:rsidR="00996085" w:rsidRPr="002E79B9" w:rsidRDefault="00996085" w:rsidP="001A4192">
            <w:pPr>
              <w:spacing w:before="60" w:after="60"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159E3" w14:textId="77777777" w:rsidR="00996085" w:rsidRPr="00994A95" w:rsidRDefault="00996085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4763" w14:textId="77777777" w:rsidR="00996085" w:rsidRPr="00994A95" w:rsidRDefault="00996085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8E2D" w14:textId="77777777" w:rsidR="00996085" w:rsidRPr="00994A95" w:rsidRDefault="00996085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E16E" w14:textId="77777777" w:rsidR="00996085" w:rsidRPr="00994A95" w:rsidRDefault="00996085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193F5227" w14:textId="5E09C7AC" w:rsidR="00612BE2" w:rsidRDefault="00612BE2" w:rsidP="008F21A1">
      <w:pPr>
        <w:jc w:val="both"/>
        <w:rPr>
          <w:rFonts w:asciiTheme="majorBidi" w:hAnsiTheme="majorBidi" w:cstheme="majorBidi"/>
          <w:i/>
          <w:iCs/>
          <w:sz w:val="20"/>
        </w:rPr>
      </w:pPr>
      <w:r>
        <w:rPr>
          <w:rFonts w:asciiTheme="majorBidi" w:hAnsiTheme="majorBidi" w:cstheme="majorBidi"/>
          <w:i/>
          <w:iCs/>
          <w:sz w:val="20"/>
        </w:rPr>
        <w:t>*</w:t>
      </w:r>
      <w:r w:rsidR="000C5D7A">
        <w:rPr>
          <w:rFonts w:asciiTheme="majorBidi" w:hAnsiTheme="majorBidi" w:cstheme="majorBidi"/>
          <w:i/>
          <w:iCs/>
          <w:sz w:val="20"/>
        </w:rPr>
        <w:t xml:space="preserve">Pirkimo sąlygų </w:t>
      </w:r>
      <w:r w:rsidR="000C5D7A" w:rsidRPr="00687853">
        <w:rPr>
          <w:rFonts w:asciiTheme="majorBidi" w:hAnsiTheme="majorBidi" w:cstheme="majorBidi"/>
          <w:i/>
          <w:iCs/>
          <w:sz w:val="20"/>
          <w:u w:val="single"/>
        </w:rPr>
        <w:t>5 priedas „Kvalifikacijos reikalavimai tiekėjui“</w:t>
      </w:r>
      <w:r w:rsidR="00687853" w:rsidRPr="00687853">
        <w:rPr>
          <w:rFonts w:asciiTheme="majorBidi" w:hAnsiTheme="majorBidi" w:cstheme="majorBidi"/>
          <w:i/>
          <w:iCs/>
          <w:sz w:val="20"/>
          <w:u w:val="single"/>
        </w:rPr>
        <w:t>.</w:t>
      </w:r>
    </w:p>
    <w:p w14:paraId="12557373" w14:textId="3A2B84EE" w:rsidR="001A4192" w:rsidRPr="008F21A1" w:rsidRDefault="00C5148B" w:rsidP="008F21A1">
      <w:pPr>
        <w:jc w:val="both"/>
        <w:rPr>
          <w:rFonts w:asciiTheme="majorBidi" w:hAnsiTheme="majorBidi" w:cstheme="majorBidi"/>
          <w:i/>
          <w:iCs/>
          <w:sz w:val="20"/>
        </w:rPr>
      </w:pPr>
      <w:r>
        <w:rPr>
          <w:rFonts w:asciiTheme="majorBidi" w:hAnsiTheme="majorBidi" w:cstheme="majorBidi"/>
          <w:i/>
          <w:iCs/>
          <w:sz w:val="20"/>
        </w:rPr>
        <w:t>*</w:t>
      </w:r>
      <w:r w:rsidR="000C5D7A">
        <w:rPr>
          <w:rFonts w:asciiTheme="majorBidi" w:hAnsiTheme="majorBidi" w:cstheme="majorBidi"/>
          <w:i/>
          <w:iCs/>
          <w:sz w:val="20"/>
        </w:rPr>
        <w:t>*</w:t>
      </w:r>
      <w:r w:rsidR="00866612" w:rsidRPr="00D73B68">
        <w:rPr>
          <w:rFonts w:asciiTheme="majorBidi" w:hAnsiTheme="majorBidi" w:cstheme="majorBidi"/>
          <w:i/>
          <w:iCs/>
          <w:sz w:val="20"/>
        </w:rPr>
        <w:t>Jeigu pasitelkiamas specialistas nėra tiekėjo darbuotojas, kartu su pasiūlymų turi būti pateikiamas specialisto sutikimas, ketinimų protokolas, sutartis arba kitas dokumentas,</w:t>
      </w:r>
      <w:r w:rsidR="00866612" w:rsidRPr="00996085">
        <w:rPr>
          <w:rFonts w:asciiTheme="majorBidi" w:hAnsiTheme="majorBidi" w:cstheme="majorBidi"/>
          <w:i/>
          <w:iCs/>
          <w:sz w:val="20"/>
        </w:rPr>
        <w:t xml:space="preserve"> </w:t>
      </w:r>
      <w:r w:rsidR="00866612" w:rsidRPr="00D73B68">
        <w:rPr>
          <w:rFonts w:asciiTheme="majorBidi" w:hAnsiTheme="majorBidi" w:cstheme="majorBidi"/>
          <w:i/>
          <w:iCs/>
          <w:sz w:val="20"/>
        </w:rPr>
        <w:t>sudarytas iki pasiūlymų pateikimo termino pabaigos, įrodantis, kad specialisto ištekliai tiekėjui laimėjus konkursą ir pasirašius viešojo pirkimo sutartį bus prieinami.</w:t>
      </w:r>
    </w:p>
    <w:p w14:paraId="2DB9956F" w14:textId="77777777" w:rsidR="001A4192" w:rsidRDefault="001A4192" w:rsidP="009E0817">
      <w:pPr>
        <w:spacing w:line="276" w:lineRule="auto"/>
        <w:rPr>
          <w:b/>
          <w:sz w:val="22"/>
          <w:szCs w:val="22"/>
        </w:rPr>
      </w:pPr>
    </w:p>
    <w:p w14:paraId="251D7519" w14:textId="77777777" w:rsidR="00866612" w:rsidRDefault="00866612" w:rsidP="009E0817">
      <w:pPr>
        <w:spacing w:line="276" w:lineRule="auto"/>
        <w:rPr>
          <w:b/>
          <w:sz w:val="22"/>
          <w:szCs w:val="22"/>
        </w:rPr>
      </w:pPr>
    </w:p>
    <w:sectPr w:rsidR="00866612" w:rsidSect="00E127CF">
      <w:headerReference w:type="default" r:id="rId8"/>
      <w:pgSz w:w="15840" w:h="12240" w:orient="landscape"/>
      <w:pgMar w:top="851" w:right="28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164C8" w14:textId="77777777" w:rsidR="00D77D15" w:rsidRDefault="00D77D15" w:rsidP="000F04C2">
      <w:r>
        <w:separator/>
      </w:r>
    </w:p>
  </w:endnote>
  <w:endnote w:type="continuationSeparator" w:id="0">
    <w:p w14:paraId="30624569" w14:textId="77777777" w:rsidR="00D77D15" w:rsidRDefault="00D77D15" w:rsidP="000F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6D871" w14:textId="77777777" w:rsidR="00D77D15" w:rsidRDefault="00D77D15" w:rsidP="000F04C2">
      <w:r>
        <w:separator/>
      </w:r>
    </w:p>
  </w:footnote>
  <w:footnote w:type="continuationSeparator" w:id="0">
    <w:p w14:paraId="41C002A3" w14:textId="77777777" w:rsidR="00D77D15" w:rsidRDefault="00D77D15" w:rsidP="000F0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788A" w14:textId="4467FDB1" w:rsidR="007D748B" w:rsidRPr="007D748B" w:rsidRDefault="007D748B" w:rsidP="007D748B">
    <w:pPr>
      <w:pStyle w:val="Header"/>
      <w:jc w:val="right"/>
      <w:rPr>
        <w:color w:val="808080" w:themeColor="background1" w:themeShade="80"/>
        <w:sz w:val="20"/>
      </w:rPr>
    </w:pPr>
    <w:r w:rsidRPr="007D748B">
      <w:rPr>
        <w:color w:val="808080" w:themeColor="background1" w:themeShade="80"/>
        <w:sz w:val="20"/>
      </w:rPr>
      <w:t>Specialiųjų pirkimo sąlygų</w:t>
    </w:r>
    <w:r w:rsidR="00212D29">
      <w:rPr>
        <w:color w:val="808080" w:themeColor="background1" w:themeShade="80"/>
        <w:sz w:val="20"/>
      </w:rPr>
      <w:t xml:space="preserve"> 8</w:t>
    </w:r>
    <w:r w:rsidRPr="007D748B">
      <w:rPr>
        <w:color w:val="808080" w:themeColor="background1" w:themeShade="80"/>
        <w:sz w:val="20"/>
      </w:rPr>
      <w:t xml:space="preserve"> priedas „Tiekėjo siūlomų specialistų sąrašas“</w:t>
    </w:r>
  </w:p>
  <w:p w14:paraId="3A311BEF" w14:textId="77777777" w:rsidR="007D748B" w:rsidRDefault="007D7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816E8"/>
    <w:multiLevelType w:val="multilevel"/>
    <w:tmpl w:val="CCA0B19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 w16cid:durableId="11822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EA"/>
    <w:rsid w:val="00021488"/>
    <w:rsid w:val="00031BAA"/>
    <w:rsid w:val="000577C0"/>
    <w:rsid w:val="00064C27"/>
    <w:rsid w:val="00072EE8"/>
    <w:rsid w:val="000842FD"/>
    <w:rsid w:val="000B458F"/>
    <w:rsid w:val="000B6715"/>
    <w:rsid w:val="000C096C"/>
    <w:rsid w:val="000C1483"/>
    <w:rsid w:val="000C5D7A"/>
    <w:rsid w:val="000E0573"/>
    <w:rsid w:val="000E17A0"/>
    <w:rsid w:val="000E7F44"/>
    <w:rsid w:val="000F04C2"/>
    <w:rsid w:val="00104356"/>
    <w:rsid w:val="00116AAF"/>
    <w:rsid w:val="00134AA4"/>
    <w:rsid w:val="00135F14"/>
    <w:rsid w:val="00146628"/>
    <w:rsid w:val="00167D91"/>
    <w:rsid w:val="00183D7B"/>
    <w:rsid w:val="00192ACC"/>
    <w:rsid w:val="001A4192"/>
    <w:rsid w:val="001B149B"/>
    <w:rsid w:val="001B5CD8"/>
    <w:rsid w:val="001D4134"/>
    <w:rsid w:val="001E1D53"/>
    <w:rsid w:val="001E6F01"/>
    <w:rsid w:val="00201608"/>
    <w:rsid w:val="00212D29"/>
    <w:rsid w:val="002200D7"/>
    <w:rsid w:val="00233D00"/>
    <w:rsid w:val="002466A0"/>
    <w:rsid w:val="0024763F"/>
    <w:rsid w:val="00251926"/>
    <w:rsid w:val="002726BB"/>
    <w:rsid w:val="00293895"/>
    <w:rsid w:val="002A7FA8"/>
    <w:rsid w:val="002B3DD5"/>
    <w:rsid w:val="002E0A23"/>
    <w:rsid w:val="002E79B9"/>
    <w:rsid w:val="00325FD2"/>
    <w:rsid w:val="0035528C"/>
    <w:rsid w:val="003737B2"/>
    <w:rsid w:val="00383C96"/>
    <w:rsid w:val="003908ED"/>
    <w:rsid w:val="003976D3"/>
    <w:rsid w:val="003A187A"/>
    <w:rsid w:val="003A5A19"/>
    <w:rsid w:val="003C34B8"/>
    <w:rsid w:val="003D1458"/>
    <w:rsid w:val="003D2E6D"/>
    <w:rsid w:val="003D3487"/>
    <w:rsid w:val="003E3D96"/>
    <w:rsid w:val="00415244"/>
    <w:rsid w:val="0041699D"/>
    <w:rsid w:val="0042176C"/>
    <w:rsid w:val="00447891"/>
    <w:rsid w:val="00453C7F"/>
    <w:rsid w:val="0046377B"/>
    <w:rsid w:val="00475A15"/>
    <w:rsid w:val="00485542"/>
    <w:rsid w:val="0049627C"/>
    <w:rsid w:val="004C03BB"/>
    <w:rsid w:val="004C6B53"/>
    <w:rsid w:val="004F06AA"/>
    <w:rsid w:val="004F5CBC"/>
    <w:rsid w:val="00511EEA"/>
    <w:rsid w:val="0054592C"/>
    <w:rsid w:val="0055232E"/>
    <w:rsid w:val="005538EE"/>
    <w:rsid w:val="00566FF8"/>
    <w:rsid w:val="00570332"/>
    <w:rsid w:val="00571361"/>
    <w:rsid w:val="00591357"/>
    <w:rsid w:val="005A4A93"/>
    <w:rsid w:val="005B32E0"/>
    <w:rsid w:val="005C0FAF"/>
    <w:rsid w:val="005C76CA"/>
    <w:rsid w:val="005E0EDF"/>
    <w:rsid w:val="005E14B3"/>
    <w:rsid w:val="005F6991"/>
    <w:rsid w:val="005F7B1B"/>
    <w:rsid w:val="00605FA2"/>
    <w:rsid w:val="00610CB5"/>
    <w:rsid w:val="00612BE2"/>
    <w:rsid w:val="006207F5"/>
    <w:rsid w:val="006273FA"/>
    <w:rsid w:val="00630001"/>
    <w:rsid w:val="00642AED"/>
    <w:rsid w:val="00681758"/>
    <w:rsid w:val="00687853"/>
    <w:rsid w:val="006B3D8D"/>
    <w:rsid w:val="006C1219"/>
    <w:rsid w:val="006C5807"/>
    <w:rsid w:val="006E7909"/>
    <w:rsid w:val="00712821"/>
    <w:rsid w:val="00721AB3"/>
    <w:rsid w:val="0072466B"/>
    <w:rsid w:val="00744A03"/>
    <w:rsid w:val="00746365"/>
    <w:rsid w:val="007573D6"/>
    <w:rsid w:val="007635DB"/>
    <w:rsid w:val="0077033E"/>
    <w:rsid w:val="00771F09"/>
    <w:rsid w:val="00792192"/>
    <w:rsid w:val="007933C6"/>
    <w:rsid w:val="00793482"/>
    <w:rsid w:val="007A5431"/>
    <w:rsid w:val="007A5824"/>
    <w:rsid w:val="007A5F57"/>
    <w:rsid w:val="007B2584"/>
    <w:rsid w:val="007B6ED6"/>
    <w:rsid w:val="007B7FF8"/>
    <w:rsid w:val="007C5589"/>
    <w:rsid w:val="007D748B"/>
    <w:rsid w:val="007E0B3A"/>
    <w:rsid w:val="007E2CA6"/>
    <w:rsid w:val="0080117D"/>
    <w:rsid w:val="00803630"/>
    <w:rsid w:val="00806D24"/>
    <w:rsid w:val="00827822"/>
    <w:rsid w:val="00834BA6"/>
    <w:rsid w:val="008516DB"/>
    <w:rsid w:val="00855D5D"/>
    <w:rsid w:val="00866612"/>
    <w:rsid w:val="00866756"/>
    <w:rsid w:val="00880E11"/>
    <w:rsid w:val="008862E1"/>
    <w:rsid w:val="00897098"/>
    <w:rsid w:val="008B3ED9"/>
    <w:rsid w:val="008C570A"/>
    <w:rsid w:val="008E4A1E"/>
    <w:rsid w:val="008E7BDE"/>
    <w:rsid w:val="008F14FC"/>
    <w:rsid w:val="008F21A1"/>
    <w:rsid w:val="008F5232"/>
    <w:rsid w:val="008F6098"/>
    <w:rsid w:val="00901745"/>
    <w:rsid w:val="00933F31"/>
    <w:rsid w:val="00942DB7"/>
    <w:rsid w:val="0094313F"/>
    <w:rsid w:val="0094325D"/>
    <w:rsid w:val="0095328C"/>
    <w:rsid w:val="009658F9"/>
    <w:rsid w:val="009671E7"/>
    <w:rsid w:val="00980A59"/>
    <w:rsid w:val="00996085"/>
    <w:rsid w:val="009A248D"/>
    <w:rsid w:val="009B74B8"/>
    <w:rsid w:val="009D2AB4"/>
    <w:rsid w:val="009E0817"/>
    <w:rsid w:val="009E62D1"/>
    <w:rsid w:val="00A34B16"/>
    <w:rsid w:val="00A45E41"/>
    <w:rsid w:val="00A47A55"/>
    <w:rsid w:val="00A70016"/>
    <w:rsid w:val="00A71252"/>
    <w:rsid w:val="00A751F2"/>
    <w:rsid w:val="00A820D4"/>
    <w:rsid w:val="00A87866"/>
    <w:rsid w:val="00AB59A5"/>
    <w:rsid w:val="00AD55E1"/>
    <w:rsid w:val="00AE33E5"/>
    <w:rsid w:val="00AF3C34"/>
    <w:rsid w:val="00AF68CE"/>
    <w:rsid w:val="00B027E2"/>
    <w:rsid w:val="00B1636D"/>
    <w:rsid w:val="00B25743"/>
    <w:rsid w:val="00B25EA4"/>
    <w:rsid w:val="00B27A20"/>
    <w:rsid w:val="00B35801"/>
    <w:rsid w:val="00B443FB"/>
    <w:rsid w:val="00B53960"/>
    <w:rsid w:val="00B922BB"/>
    <w:rsid w:val="00BC2139"/>
    <w:rsid w:val="00BC3EC3"/>
    <w:rsid w:val="00BC42EA"/>
    <w:rsid w:val="00BC61AE"/>
    <w:rsid w:val="00BC747C"/>
    <w:rsid w:val="00BD5206"/>
    <w:rsid w:val="00BE2FE8"/>
    <w:rsid w:val="00BE39DA"/>
    <w:rsid w:val="00C12E51"/>
    <w:rsid w:val="00C403D4"/>
    <w:rsid w:val="00C44556"/>
    <w:rsid w:val="00C5148B"/>
    <w:rsid w:val="00C552BA"/>
    <w:rsid w:val="00C62E69"/>
    <w:rsid w:val="00C64C8E"/>
    <w:rsid w:val="00C7043C"/>
    <w:rsid w:val="00C70819"/>
    <w:rsid w:val="00C92A08"/>
    <w:rsid w:val="00CA724A"/>
    <w:rsid w:val="00CB710F"/>
    <w:rsid w:val="00CE6A0D"/>
    <w:rsid w:val="00CF5030"/>
    <w:rsid w:val="00D01A19"/>
    <w:rsid w:val="00D02046"/>
    <w:rsid w:val="00D071CE"/>
    <w:rsid w:val="00D1702B"/>
    <w:rsid w:val="00D24409"/>
    <w:rsid w:val="00D34D60"/>
    <w:rsid w:val="00D35B5D"/>
    <w:rsid w:val="00D55C6C"/>
    <w:rsid w:val="00D62E86"/>
    <w:rsid w:val="00D73B68"/>
    <w:rsid w:val="00D778A9"/>
    <w:rsid w:val="00D77D15"/>
    <w:rsid w:val="00D951E9"/>
    <w:rsid w:val="00DA03F2"/>
    <w:rsid w:val="00DA38A1"/>
    <w:rsid w:val="00DB189B"/>
    <w:rsid w:val="00DC4820"/>
    <w:rsid w:val="00DF7214"/>
    <w:rsid w:val="00E127CF"/>
    <w:rsid w:val="00E312BE"/>
    <w:rsid w:val="00E40F37"/>
    <w:rsid w:val="00E51987"/>
    <w:rsid w:val="00E60E9F"/>
    <w:rsid w:val="00E724EC"/>
    <w:rsid w:val="00E82431"/>
    <w:rsid w:val="00E90570"/>
    <w:rsid w:val="00E906B3"/>
    <w:rsid w:val="00E91F1F"/>
    <w:rsid w:val="00EA6591"/>
    <w:rsid w:val="00EB35BD"/>
    <w:rsid w:val="00EB3AFE"/>
    <w:rsid w:val="00EB41B4"/>
    <w:rsid w:val="00EB71B2"/>
    <w:rsid w:val="00ED1B44"/>
    <w:rsid w:val="00EF61DC"/>
    <w:rsid w:val="00F06E73"/>
    <w:rsid w:val="00F2236B"/>
    <w:rsid w:val="00F26CA8"/>
    <w:rsid w:val="00F30D0C"/>
    <w:rsid w:val="00F341E7"/>
    <w:rsid w:val="00F3655E"/>
    <w:rsid w:val="00F4049E"/>
    <w:rsid w:val="00F42E94"/>
    <w:rsid w:val="00F51DC9"/>
    <w:rsid w:val="00F57E5E"/>
    <w:rsid w:val="00F87ACA"/>
    <w:rsid w:val="00F9267C"/>
    <w:rsid w:val="00F977F7"/>
    <w:rsid w:val="00FA2EDE"/>
    <w:rsid w:val="00FA5F72"/>
    <w:rsid w:val="00FB085E"/>
    <w:rsid w:val="00FB302C"/>
    <w:rsid w:val="00FB46D5"/>
    <w:rsid w:val="00FC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E9A9F"/>
  <w15:chartTrackingRefBased/>
  <w15:docId w15:val="{0528216C-1625-4EB1-AA87-07C41C66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C42E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BC42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BC42EA"/>
    <w:rPr>
      <w:rFonts w:ascii="Times New Roman" w:hAnsi="Times New Roman"/>
      <w:kern w:val="0"/>
      <w:sz w:val="24"/>
      <w14:ligatures w14:val="none"/>
    </w:rPr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Normal"/>
    <w:link w:val="HeaderChar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"/>
    <w:basedOn w:val="DefaultParagraphFont"/>
    <w:link w:val="Header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B027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C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C7F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53C7F"/>
    <w:rPr>
      <w:sz w:val="16"/>
      <w:szCs w:val="16"/>
    </w:rPr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Normal"/>
    <w:link w:val="FootnoteTextChar"/>
    <w:uiPriority w:val="99"/>
    <w:unhideWhenUsed/>
    <w:rsid w:val="00EB71B2"/>
    <w:rPr>
      <w:sz w:val="20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"/>
    <w:basedOn w:val="DefaultParagraphFont"/>
    <w:link w:val="FootnoteText"/>
    <w:uiPriority w:val="99"/>
    <w:rsid w:val="00EB71B2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EB71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B71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B2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4F06AA"/>
  </w:style>
  <w:style w:type="paragraph" w:styleId="EndnoteText">
    <w:name w:val="endnote text"/>
    <w:basedOn w:val="Normal"/>
    <w:link w:val="EndnoteTextChar"/>
    <w:uiPriority w:val="99"/>
    <w:semiHidden/>
    <w:unhideWhenUsed/>
    <w:rsid w:val="00A7001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0016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A700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FF5C4-2947-497E-B25C-A900A6CB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Vitkauskienė</dc:creator>
  <cp:keywords/>
  <dc:description/>
  <cp:lastModifiedBy>Donata Stankūnienė</cp:lastModifiedBy>
  <cp:revision>21</cp:revision>
  <dcterms:created xsi:type="dcterms:W3CDTF">2024-12-09T10:54:00Z</dcterms:created>
  <dcterms:modified xsi:type="dcterms:W3CDTF">2025-01-27T11:11:00Z</dcterms:modified>
</cp:coreProperties>
</file>