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BAB9" w14:textId="1DB06878" w:rsidR="00F239F9" w:rsidRPr="004E428A" w:rsidRDefault="00F239F9" w:rsidP="00F239F9">
      <w:pPr>
        <w:pageBreakBefore/>
        <w:ind w:firstLine="1080"/>
        <w:jc w:val="center"/>
        <w:rPr>
          <w:b/>
          <w:lang w:val="en-BB"/>
        </w:rPr>
      </w:pPr>
      <w:r>
        <w:rPr>
          <w:b/>
        </w:rPr>
        <w:t>UŽDAROJI AKCINĖ BENDROVĖ  „AUKŠTAITIJOS VANDENYS</w:t>
      </w:r>
      <w:r w:rsidR="004E428A">
        <w:rPr>
          <w:b/>
          <w:lang w:val="en-BB"/>
        </w:rPr>
        <w:t>”</w:t>
      </w:r>
    </w:p>
    <w:p w14:paraId="6F162950" w14:textId="77777777" w:rsidR="00F239F9" w:rsidRDefault="00F239F9" w:rsidP="00F239F9">
      <w:pPr>
        <w:ind w:firstLine="1080"/>
        <w:jc w:val="center"/>
        <w:rPr>
          <w:b/>
        </w:rPr>
      </w:pPr>
      <w:r>
        <w:rPr>
          <w:b/>
        </w:rPr>
        <w:t>Įmonės kodas 147104754</w:t>
      </w:r>
    </w:p>
    <w:p w14:paraId="403BE7A9" w14:textId="77777777" w:rsidR="00F239F9" w:rsidRDefault="00F239F9" w:rsidP="00F239F9">
      <w:pPr>
        <w:rPr>
          <w:b/>
        </w:rPr>
      </w:pPr>
    </w:p>
    <w:p w14:paraId="544A46FC" w14:textId="0D9162AD" w:rsidR="00F239F9" w:rsidRDefault="00F239F9" w:rsidP="004B2A5C">
      <w:r>
        <w:t xml:space="preserve">                                  </w:t>
      </w:r>
      <w:r>
        <w:rPr>
          <w:b/>
          <w:sz w:val="32"/>
          <w:szCs w:val="32"/>
        </w:rPr>
        <w:t>TECHNINĖ SPECIFIKACIJA</w:t>
      </w:r>
    </w:p>
    <w:p w14:paraId="130FEB3F" w14:textId="77777777" w:rsidR="008529B5" w:rsidRDefault="008529B5" w:rsidP="00F239F9">
      <w:pPr>
        <w:jc w:val="both"/>
      </w:pPr>
    </w:p>
    <w:p w14:paraId="1EFCC732" w14:textId="77777777" w:rsidR="00F239F9" w:rsidRDefault="00F239F9" w:rsidP="00F239F9">
      <w:pPr>
        <w:jc w:val="both"/>
      </w:pPr>
    </w:p>
    <w:p w14:paraId="10039601" w14:textId="6A6B5668" w:rsidR="004E428A" w:rsidRPr="00796318" w:rsidRDefault="00CA3DB9" w:rsidP="00961781">
      <w:pPr>
        <w:jc w:val="both"/>
        <w:rPr>
          <w:rFonts w:eastAsia="TimesNewRomanPSMT"/>
        </w:rPr>
      </w:pPr>
      <w:r>
        <w:rPr>
          <w:rFonts w:eastAsia="TimesNewRomanPSMT"/>
          <w:lang w:val="en-US"/>
        </w:rPr>
        <w:t xml:space="preserve">                 </w:t>
      </w:r>
      <w:r w:rsidR="00796318" w:rsidRPr="00E816AE">
        <w:rPr>
          <w:rFonts w:eastAsia="TimesNewRomanPSMT"/>
        </w:rPr>
        <w:t>K</w:t>
      </w:r>
      <w:r w:rsidR="004E428A" w:rsidRPr="00E816AE">
        <w:rPr>
          <w:rFonts w:eastAsia="TimesNewRomanPSMT"/>
        </w:rPr>
        <w:t>elio</w:t>
      </w:r>
      <w:r w:rsidR="004E428A" w:rsidRPr="00796318">
        <w:rPr>
          <w:rFonts w:eastAsia="TimesNewRomanPSMT"/>
        </w:rPr>
        <w:t xml:space="preserve">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338"/>
        <w:gridCol w:w="2569"/>
        <w:gridCol w:w="2108"/>
      </w:tblGrid>
      <w:tr w:rsidR="004E428A" w14:paraId="74D2E286" w14:textId="77777777" w:rsidTr="00A42924">
        <w:tc>
          <w:tcPr>
            <w:tcW w:w="2619" w:type="dxa"/>
          </w:tcPr>
          <w:p w14:paraId="749E4F85" w14:textId="77777777" w:rsidR="004E428A" w:rsidRDefault="004E428A" w:rsidP="00A42924">
            <w:pPr>
              <w:jc w:val="both"/>
              <w:rPr>
                <w:rFonts w:eastAsia="Calibri"/>
                <w:sz w:val="22"/>
                <w:szCs w:val="22"/>
              </w:rPr>
            </w:pPr>
            <w:r>
              <w:rPr>
                <w:rFonts w:eastAsia="Calibri"/>
                <w:sz w:val="22"/>
                <w:szCs w:val="22"/>
              </w:rPr>
              <w:t>Kelio dangos konstrukcijos sluoksnis</w:t>
            </w:r>
          </w:p>
          <w:p w14:paraId="785D9321" w14:textId="77777777" w:rsidR="004E428A" w:rsidRDefault="004E428A" w:rsidP="00A42924">
            <w:pPr>
              <w:jc w:val="both"/>
              <w:rPr>
                <w:rFonts w:eastAsia="Calibri"/>
                <w:sz w:val="22"/>
                <w:szCs w:val="22"/>
              </w:rPr>
            </w:pPr>
          </w:p>
        </w:tc>
        <w:tc>
          <w:tcPr>
            <w:tcW w:w="2338" w:type="dxa"/>
          </w:tcPr>
          <w:p w14:paraId="38E255E5" w14:textId="77777777" w:rsidR="004E428A" w:rsidRDefault="004E428A" w:rsidP="00A42924">
            <w:pPr>
              <w:jc w:val="both"/>
              <w:rPr>
                <w:rFonts w:eastAsia="Calibri"/>
                <w:sz w:val="22"/>
                <w:szCs w:val="22"/>
              </w:rPr>
            </w:pPr>
            <w:r>
              <w:rPr>
                <w:rFonts w:eastAsia="Calibri"/>
                <w:sz w:val="22"/>
                <w:szCs w:val="22"/>
              </w:rPr>
              <w:t>Mažiausias užpildų ir priedų kiekis iš perdirbtų medžiagų, nepavojingų atliekų ir (ar) šalutinių gamybos produktų, proc.</w:t>
            </w:r>
          </w:p>
        </w:tc>
        <w:tc>
          <w:tcPr>
            <w:tcW w:w="2569" w:type="dxa"/>
          </w:tcPr>
          <w:p w14:paraId="5E06043D" w14:textId="77777777" w:rsidR="004E428A" w:rsidRDefault="004E428A" w:rsidP="00A42924">
            <w:pPr>
              <w:jc w:val="both"/>
              <w:rPr>
                <w:rFonts w:eastAsia="Calibri"/>
                <w:sz w:val="22"/>
                <w:szCs w:val="22"/>
              </w:rPr>
            </w:pPr>
            <w:r>
              <w:rPr>
                <w:rFonts w:eastAsia="Calibri"/>
                <w:sz w:val="22"/>
                <w:szCs w:val="22"/>
              </w:rPr>
              <w:t>Mažiausias antrinio panaudojimo užpildų ir kelių tiesimo medžiagų (kitam kelio konstrukcijos sluoksniui) kiekis, proc.</w:t>
            </w:r>
          </w:p>
        </w:tc>
        <w:tc>
          <w:tcPr>
            <w:tcW w:w="2108" w:type="dxa"/>
          </w:tcPr>
          <w:p w14:paraId="27DD6E08" w14:textId="77777777" w:rsidR="004E428A" w:rsidRDefault="004E428A" w:rsidP="00A42924">
            <w:pPr>
              <w:jc w:val="both"/>
              <w:rPr>
                <w:rFonts w:eastAsia="Calibri"/>
                <w:sz w:val="22"/>
                <w:szCs w:val="22"/>
              </w:rPr>
            </w:pPr>
            <w:r>
              <w:rPr>
                <w:rFonts w:eastAsia="Calibri"/>
                <w:sz w:val="22"/>
                <w:szCs w:val="22"/>
              </w:rPr>
              <w:t>Mažiausias pakartotinio panaudojimo užpildų ir kelių tiesimo medžiagų (tam pačiam kelio dangos konstrukcijos sluoksniui) kiekis, proc.</w:t>
            </w:r>
          </w:p>
        </w:tc>
      </w:tr>
      <w:tr w:rsidR="004E428A" w14:paraId="3BC7620F" w14:textId="77777777" w:rsidTr="00A42924">
        <w:tc>
          <w:tcPr>
            <w:tcW w:w="2619" w:type="dxa"/>
          </w:tcPr>
          <w:p w14:paraId="594922AB" w14:textId="77777777" w:rsidR="004E428A" w:rsidRDefault="004E428A" w:rsidP="00A42924">
            <w:pPr>
              <w:jc w:val="both"/>
              <w:rPr>
                <w:rFonts w:eastAsia="Calibri"/>
                <w:sz w:val="22"/>
                <w:szCs w:val="22"/>
              </w:rPr>
            </w:pPr>
            <w:r>
              <w:rPr>
                <w:rFonts w:eastAsia="Calibri"/>
                <w:sz w:val="22"/>
                <w:szCs w:val="22"/>
              </w:rPr>
              <w:t>Asfalto apatinis ir asfalto pagrindo dangos</w:t>
            </w:r>
          </w:p>
        </w:tc>
        <w:tc>
          <w:tcPr>
            <w:tcW w:w="2338" w:type="dxa"/>
            <w:vAlign w:val="center"/>
          </w:tcPr>
          <w:p w14:paraId="65C3DADA" w14:textId="77777777" w:rsidR="004E428A" w:rsidRDefault="004E428A" w:rsidP="00A42924">
            <w:pPr>
              <w:jc w:val="center"/>
              <w:rPr>
                <w:rFonts w:eastAsia="Calibri"/>
                <w:sz w:val="22"/>
                <w:szCs w:val="22"/>
              </w:rPr>
            </w:pPr>
            <w:r>
              <w:rPr>
                <w:rFonts w:eastAsia="Calibri"/>
                <w:sz w:val="22"/>
                <w:szCs w:val="22"/>
              </w:rPr>
              <w:t>0,3</w:t>
            </w:r>
          </w:p>
        </w:tc>
        <w:tc>
          <w:tcPr>
            <w:tcW w:w="2569" w:type="dxa"/>
            <w:vAlign w:val="center"/>
          </w:tcPr>
          <w:p w14:paraId="25AFCA25" w14:textId="77777777" w:rsidR="004E428A" w:rsidRDefault="004E428A" w:rsidP="00A42924">
            <w:pPr>
              <w:jc w:val="center"/>
              <w:rPr>
                <w:rFonts w:eastAsia="Calibri"/>
                <w:sz w:val="22"/>
                <w:szCs w:val="22"/>
              </w:rPr>
            </w:pPr>
            <w:r>
              <w:rPr>
                <w:rFonts w:eastAsia="Calibri"/>
                <w:sz w:val="22"/>
                <w:szCs w:val="22"/>
              </w:rPr>
              <w:t>15,0</w:t>
            </w:r>
          </w:p>
        </w:tc>
        <w:tc>
          <w:tcPr>
            <w:tcW w:w="2108" w:type="dxa"/>
            <w:vAlign w:val="center"/>
          </w:tcPr>
          <w:p w14:paraId="63EAA4F6" w14:textId="77777777" w:rsidR="004E428A" w:rsidRDefault="004E428A" w:rsidP="00A42924">
            <w:pPr>
              <w:jc w:val="center"/>
              <w:rPr>
                <w:rFonts w:eastAsia="Calibri"/>
                <w:sz w:val="22"/>
                <w:szCs w:val="22"/>
              </w:rPr>
            </w:pPr>
            <w:r>
              <w:rPr>
                <w:rFonts w:eastAsia="Calibri"/>
                <w:sz w:val="22"/>
                <w:szCs w:val="22"/>
              </w:rPr>
              <w:t>15,0</w:t>
            </w:r>
          </w:p>
        </w:tc>
      </w:tr>
      <w:tr w:rsidR="004E428A" w14:paraId="4182EB30" w14:textId="77777777" w:rsidTr="00A42924">
        <w:tc>
          <w:tcPr>
            <w:tcW w:w="2619" w:type="dxa"/>
          </w:tcPr>
          <w:p w14:paraId="6B09BA7B" w14:textId="77777777" w:rsidR="004E428A" w:rsidRDefault="004E428A" w:rsidP="00A42924">
            <w:pPr>
              <w:jc w:val="both"/>
              <w:rPr>
                <w:rFonts w:eastAsia="Calibri"/>
                <w:sz w:val="22"/>
                <w:szCs w:val="22"/>
              </w:rPr>
            </w:pPr>
            <w:r>
              <w:rPr>
                <w:rFonts w:eastAsia="Calibri"/>
                <w:sz w:val="22"/>
                <w:szCs w:val="22"/>
              </w:rPr>
              <w:t xml:space="preserve">Asfalto pagrindas  </w:t>
            </w:r>
          </w:p>
        </w:tc>
        <w:tc>
          <w:tcPr>
            <w:tcW w:w="2338" w:type="dxa"/>
            <w:vAlign w:val="center"/>
          </w:tcPr>
          <w:p w14:paraId="6F43E323" w14:textId="77777777" w:rsidR="004E428A" w:rsidRDefault="004E428A" w:rsidP="00A42924">
            <w:pPr>
              <w:jc w:val="center"/>
              <w:rPr>
                <w:rFonts w:eastAsia="Calibri"/>
                <w:sz w:val="22"/>
                <w:szCs w:val="22"/>
              </w:rPr>
            </w:pPr>
            <w:r>
              <w:rPr>
                <w:rFonts w:eastAsia="Calibri"/>
                <w:sz w:val="22"/>
                <w:szCs w:val="22"/>
              </w:rPr>
              <w:t>1,0</w:t>
            </w:r>
          </w:p>
        </w:tc>
        <w:tc>
          <w:tcPr>
            <w:tcW w:w="2569" w:type="dxa"/>
            <w:vAlign w:val="center"/>
          </w:tcPr>
          <w:p w14:paraId="1A6DA9A2" w14:textId="77777777" w:rsidR="004E428A" w:rsidRDefault="004E428A" w:rsidP="00A42924">
            <w:pPr>
              <w:jc w:val="center"/>
              <w:rPr>
                <w:rFonts w:eastAsia="Calibri"/>
                <w:sz w:val="22"/>
                <w:szCs w:val="22"/>
              </w:rPr>
            </w:pPr>
            <w:r>
              <w:rPr>
                <w:rFonts w:eastAsia="Calibri"/>
                <w:sz w:val="22"/>
                <w:szCs w:val="22"/>
              </w:rPr>
              <w:t>20,0</w:t>
            </w:r>
          </w:p>
        </w:tc>
        <w:tc>
          <w:tcPr>
            <w:tcW w:w="2108" w:type="dxa"/>
            <w:vAlign w:val="center"/>
          </w:tcPr>
          <w:p w14:paraId="7C115F53" w14:textId="77777777" w:rsidR="004E428A" w:rsidRDefault="004E428A" w:rsidP="00A42924">
            <w:pPr>
              <w:jc w:val="center"/>
              <w:rPr>
                <w:rFonts w:eastAsia="Calibri"/>
                <w:sz w:val="22"/>
                <w:szCs w:val="22"/>
              </w:rPr>
            </w:pPr>
            <w:r>
              <w:rPr>
                <w:rFonts w:eastAsia="Calibri"/>
                <w:sz w:val="22"/>
                <w:szCs w:val="22"/>
              </w:rPr>
              <w:t>20,0</w:t>
            </w:r>
          </w:p>
        </w:tc>
      </w:tr>
      <w:tr w:rsidR="004E428A" w14:paraId="6ADF462F" w14:textId="77777777" w:rsidTr="00A42924">
        <w:tc>
          <w:tcPr>
            <w:tcW w:w="2619" w:type="dxa"/>
          </w:tcPr>
          <w:p w14:paraId="568569FA" w14:textId="77777777" w:rsidR="004E428A" w:rsidRDefault="004E428A" w:rsidP="00A42924">
            <w:pPr>
              <w:jc w:val="both"/>
              <w:rPr>
                <w:rFonts w:eastAsia="Calibri"/>
                <w:sz w:val="22"/>
                <w:szCs w:val="22"/>
              </w:rPr>
            </w:pPr>
            <w:r>
              <w:rPr>
                <w:rFonts w:eastAsia="Calibri"/>
                <w:sz w:val="22"/>
                <w:szCs w:val="22"/>
              </w:rPr>
              <w:t>Pagrindas su rišikliais, šaltai regeneruotas pagrindas</w:t>
            </w:r>
          </w:p>
        </w:tc>
        <w:tc>
          <w:tcPr>
            <w:tcW w:w="2338" w:type="dxa"/>
            <w:vAlign w:val="center"/>
          </w:tcPr>
          <w:p w14:paraId="573F77FB" w14:textId="77777777" w:rsidR="004E428A" w:rsidRDefault="004E428A" w:rsidP="00A42924">
            <w:pPr>
              <w:jc w:val="center"/>
              <w:rPr>
                <w:rFonts w:eastAsia="Calibri"/>
                <w:sz w:val="22"/>
                <w:szCs w:val="22"/>
              </w:rPr>
            </w:pPr>
            <w:r>
              <w:rPr>
                <w:rFonts w:eastAsia="Calibri"/>
                <w:sz w:val="22"/>
                <w:szCs w:val="22"/>
              </w:rPr>
              <w:t>1,0</w:t>
            </w:r>
          </w:p>
        </w:tc>
        <w:tc>
          <w:tcPr>
            <w:tcW w:w="2569" w:type="dxa"/>
            <w:vAlign w:val="center"/>
          </w:tcPr>
          <w:p w14:paraId="38EAC20F" w14:textId="77777777" w:rsidR="004E428A" w:rsidRDefault="004E428A" w:rsidP="00A42924">
            <w:pPr>
              <w:jc w:val="center"/>
              <w:rPr>
                <w:rFonts w:eastAsia="Calibri"/>
                <w:sz w:val="22"/>
                <w:szCs w:val="22"/>
              </w:rPr>
            </w:pPr>
            <w:r>
              <w:rPr>
                <w:rFonts w:eastAsia="Calibri"/>
                <w:sz w:val="22"/>
                <w:szCs w:val="22"/>
              </w:rPr>
              <w:t>45,0</w:t>
            </w:r>
          </w:p>
        </w:tc>
        <w:tc>
          <w:tcPr>
            <w:tcW w:w="2108" w:type="dxa"/>
            <w:vAlign w:val="center"/>
          </w:tcPr>
          <w:p w14:paraId="2123862E" w14:textId="77777777" w:rsidR="004E428A" w:rsidRDefault="004E428A" w:rsidP="00A42924">
            <w:pPr>
              <w:jc w:val="center"/>
              <w:rPr>
                <w:rFonts w:eastAsia="Calibri"/>
                <w:sz w:val="22"/>
                <w:szCs w:val="22"/>
              </w:rPr>
            </w:pPr>
            <w:r>
              <w:rPr>
                <w:rFonts w:eastAsia="Calibri"/>
                <w:sz w:val="22"/>
                <w:szCs w:val="22"/>
              </w:rPr>
              <w:t>45,0</w:t>
            </w:r>
          </w:p>
        </w:tc>
      </w:tr>
      <w:tr w:rsidR="004E428A" w14:paraId="30D3CFED" w14:textId="77777777" w:rsidTr="00A42924">
        <w:tc>
          <w:tcPr>
            <w:tcW w:w="2619" w:type="dxa"/>
          </w:tcPr>
          <w:p w14:paraId="1294711D" w14:textId="77777777" w:rsidR="004E428A" w:rsidRDefault="004E428A" w:rsidP="00A42924">
            <w:pPr>
              <w:jc w:val="both"/>
              <w:rPr>
                <w:rFonts w:eastAsia="Calibri"/>
                <w:sz w:val="22"/>
                <w:szCs w:val="22"/>
              </w:rPr>
            </w:pPr>
            <w:r>
              <w:rPr>
                <w:rFonts w:eastAsia="Calibri"/>
                <w:sz w:val="22"/>
                <w:szCs w:val="22"/>
              </w:rPr>
              <w:t>Pagrindas be rišiklių</w:t>
            </w:r>
          </w:p>
        </w:tc>
        <w:tc>
          <w:tcPr>
            <w:tcW w:w="2338" w:type="dxa"/>
            <w:vAlign w:val="center"/>
          </w:tcPr>
          <w:p w14:paraId="63C418B6" w14:textId="77777777" w:rsidR="004E428A" w:rsidRDefault="004E428A" w:rsidP="00A42924">
            <w:pPr>
              <w:jc w:val="center"/>
              <w:rPr>
                <w:rFonts w:eastAsia="Calibri"/>
                <w:sz w:val="22"/>
                <w:szCs w:val="22"/>
              </w:rPr>
            </w:pPr>
            <w:r>
              <w:rPr>
                <w:rFonts w:eastAsia="Calibri"/>
                <w:sz w:val="22"/>
                <w:szCs w:val="22"/>
              </w:rPr>
              <w:t>20,0</w:t>
            </w:r>
          </w:p>
        </w:tc>
        <w:tc>
          <w:tcPr>
            <w:tcW w:w="2569" w:type="dxa"/>
            <w:vAlign w:val="center"/>
          </w:tcPr>
          <w:p w14:paraId="74F4DA47" w14:textId="77777777" w:rsidR="004E428A" w:rsidRDefault="004E428A" w:rsidP="00A42924">
            <w:pPr>
              <w:jc w:val="center"/>
              <w:rPr>
                <w:rFonts w:eastAsia="Calibri"/>
                <w:sz w:val="22"/>
                <w:szCs w:val="22"/>
              </w:rPr>
            </w:pPr>
            <w:r>
              <w:rPr>
                <w:rFonts w:eastAsia="Calibri"/>
                <w:sz w:val="22"/>
                <w:szCs w:val="22"/>
              </w:rPr>
              <w:t>50,0</w:t>
            </w:r>
          </w:p>
        </w:tc>
        <w:tc>
          <w:tcPr>
            <w:tcW w:w="2108" w:type="dxa"/>
            <w:vAlign w:val="center"/>
          </w:tcPr>
          <w:p w14:paraId="7066BFAA" w14:textId="77777777" w:rsidR="004E428A" w:rsidRDefault="004E428A" w:rsidP="00A42924">
            <w:pPr>
              <w:jc w:val="center"/>
              <w:rPr>
                <w:rFonts w:eastAsia="Calibri"/>
                <w:sz w:val="22"/>
                <w:szCs w:val="22"/>
              </w:rPr>
            </w:pPr>
            <w:r>
              <w:rPr>
                <w:rFonts w:eastAsia="Calibri"/>
                <w:sz w:val="22"/>
                <w:szCs w:val="22"/>
              </w:rPr>
              <w:t>50,0</w:t>
            </w:r>
          </w:p>
        </w:tc>
      </w:tr>
      <w:tr w:rsidR="004E428A" w14:paraId="1E178A66" w14:textId="77777777" w:rsidTr="00A42924">
        <w:trPr>
          <w:trHeight w:val="263"/>
        </w:trPr>
        <w:tc>
          <w:tcPr>
            <w:tcW w:w="2619" w:type="dxa"/>
          </w:tcPr>
          <w:p w14:paraId="48DC719E" w14:textId="77777777" w:rsidR="004E428A" w:rsidRDefault="004E428A" w:rsidP="00A42924">
            <w:pPr>
              <w:jc w:val="both"/>
              <w:rPr>
                <w:rFonts w:eastAsia="Calibri"/>
                <w:sz w:val="22"/>
                <w:szCs w:val="22"/>
              </w:rPr>
            </w:pPr>
            <w:r>
              <w:rPr>
                <w:rFonts w:eastAsia="Calibri"/>
                <w:sz w:val="22"/>
                <w:szCs w:val="22"/>
              </w:rPr>
              <w:t>Žemės sankasa ir pylimai</w:t>
            </w:r>
          </w:p>
        </w:tc>
        <w:tc>
          <w:tcPr>
            <w:tcW w:w="2338" w:type="dxa"/>
            <w:vAlign w:val="center"/>
          </w:tcPr>
          <w:p w14:paraId="4BFF8EEB" w14:textId="77777777" w:rsidR="004E428A" w:rsidRDefault="004E428A" w:rsidP="00A42924">
            <w:pPr>
              <w:jc w:val="center"/>
              <w:rPr>
                <w:rFonts w:eastAsia="Calibri"/>
                <w:sz w:val="22"/>
                <w:szCs w:val="22"/>
              </w:rPr>
            </w:pPr>
            <w:r>
              <w:rPr>
                <w:rFonts w:eastAsia="Calibri"/>
                <w:sz w:val="22"/>
                <w:szCs w:val="22"/>
              </w:rPr>
              <w:t>30,0</w:t>
            </w:r>
          </w:p>
        </w:tc>
        <w:tc>
          <w:tcPr>
            <w:tcW w:w="2569" w:type="dxa"/>
            <w:vAlign w:val="center"/>
          </w:tcPr>
          <w:p w14:paraId="261AA304" w14:textId="77777777" w:rsidR="004E428A" w:rsidRDefault="004E428A" w:rsidP="00A42924">
            <w:pPr>
              <w:jc w:val="center"/>
              <w:rPr>
                <w:rFonts w:eastAsia="Calibri"/>
                <w:sz w:val="22"/>
                <w:szCs w:val="22"/>
              </w:rPr>
            </w:pPr>
            <w:r>
              <w:rPr>
                <w:rFonts w:eastAsia="Calibri"/>
                <w:sz w:val="22"/>
                <w:szCs w:val="22"/>
              </w:rPr>
              <w:t>-</w:t>
            </w:r>
          </w:p>
        </w:tc>
        <w:tc>
          <w:tcPr>
            <w:tcW w:w="2108" w:type="dxa"/>
            <w:vAlign w:val="center"/>
          </w:tcPr>
          <w:p w14:paraId="66EC9B87" w14:textId="77777777" w:rsidR="004E428A" w:rsidRDefault="004E428A" w:rsidP="00A42924">
            <w:pPr>
              <w:jc w:val="center"/>
              <w:rPr>
                <w:rFonts w:eastAsia="Calibri"/>
                <w:sz w:val="22"/>
                <w:szCs w:val="22"/>
              </w:rPr>
            </w:pPr>
            <w:r>
              <w:rPr>
                <w:rFonts w:eastAsia="Calibri"/>
                <w:sz w:val="22"/>
                <w:szCs w:val="22"/>
              </w:rPr>
              <w:t>-</w:t>
            </w:r>
          </w:p>
        </w:tc>
      </w:tr>
      <w:tr w:rsidR="004E428A" w14:paraId="094BBB25" w14:textId="77777777" w:rsidTr="00A42924">
        <w:trPr>
          <w:trHeight w:val="282"/>
        </w:trPr>
        <w:tc>
          <w:tcPr>
            <w:tcW w:w="2619" w:type="dxa"/>
          </w:tcPr>
          <w:p w14:paraId="0825244E" w14:textId="77777777" w:rsidR="004E428A" w:rsidRDefault="004E428A" w:rsidP="00A42924">
            <w:pPr>
              <w:jc w:val="both"/>
              <w:rPr>
                <w:rFonts w:eastAsia="Calibri"/>
                <w:sz w:val="22"/>
                <w:szCs w:val="22"/>
              </w:rPr>
            </w:pPr>
            <w:r>
              <w:rPr>
                <w:rFonts w:eastAsia="Calibri"/>
                <w:sz w:val="22"/>
                <w:szCs w:val="22"/>
              </w:rPr>
              <w:t>Apdorota žemės sankasa</w:t>
            </w:r>
          </w:p>
        </w:tc>
        <w:tc>
          <w:tcPr>
            <w:tcW w:w="2338" w:type="dxa"/>
            <w:vAlign w:val="center"/>
          </w:tcPr>
          <w:p w14:paraId="13EE6F1F" w14:textId="77777777" w:rsidR="004E428A" w:rsidRDefault="004E428A" w:rsidP="00A42924">
            <w:pPr>
              <w:jc w:val="center"/>
              <w:rPr>
                <w:rFonts w:eastAsia="Calibri"/>
                <w:sz w:val="22"/>
                <w:szCs w:val="22"/>
              </w:rPr>
            </w:pPr>
            <w:r>
              <w:rPr>
                <w:rFonts w:eastAsia="Calibri"/>
                <w:sz w:val="22"/>
                <w:szCs w:val="22"/>
              </w:rPr>
              <w:t>3,0</w:t>
            </w:r>
          </w:p>
        </w:tc>
        <w:tc>
          <w:tcPr>
            <w:tcW w:w="2569" w:type="dxa"/>
            <w:vAlign w:val="center"/>
          </w:tcPr>
          <w:p w14:paraId="3D29C73D" w14:textId="77777777" w:rsidR="004E428A" w:rsidRDefault="004E428A" w:rsidP="00A42924">
            <w:pPr>
              <w:jc w:val="center"/>
              <w:rPr>
                <w:rFonts w:eastAsia="Calibri"/>
                <w:sz w:val="22"/>
                <w:szCs w:val="22"/>
              </w:rPr>
            </w:pPr>
            <w:r>
              <w:rPr>
                <w:rFonts w:eastAsia="Calibri"/>
                <w:sz w:val="22"/>
                <w:szCs w:val="22"/>
              </w:rPr>
              <w:t>-</w:t>
            </w:r>
          </w:p>
        </w:tc>
        <w:tc>
          <w:tcPr>
            <w:tcW w:w="2108" w:type="dxa"/>
            <w:vAlign w:val="center"/>
          </w:tcPr>
          <w:p w14:paraId="06CD33E0" w14:textId="77777777" w:rsidR="004E428A" w:rsidRDefault="004E428A" w:rsidP="00A42924">
            <w:pPr>
              <w:jc w:val="center"/>
              <w:rPr>
                <w:rFonts w:eastAsia="Calibri"/>
                <w:sz w:val="22"/>
                <w:szCs w:val="22"/>
              </w:rPr>
            </w:pPr>
            <w:r>
              <w:rPr>
                <w:rFonts w:eastAsia="Calibri"/>
                <w:sz w:val="22"/>
                <w:szCs w:val="22"/>
              </w:rPr>
              <w:t>-</w:t>
            </w:r>
          </w:p>
        </w:tc>
      </w:tr>
      <w:tr w:rsidR="004E428A" w14:paraId="5F8DAD07" w14:textId="77777777" w:rsidTr="00A42924">
        <w:tc>
          <w:tcPr>
            <w:tcW w:w="9634" w:type="dxa"/>
            <w:gridSpan w:val="4"/>
            <w:shd w:val="clear" w:color="auto" w:fill="auto"/>
          </w:tcPr>
          <w:p w14:paraId="395738B5" w14:textId="77777777" w:rsidR="004E428A" w:rsidRDefault="004E428A" w:rsidP="00A42924">
            <w:pPr>
              <w:jc w:val="both"/>
              <w:rPr>
                <w:rFonts w:eastAsia="Calibri"/>
                <w:sz w:val="22"/>
                <w:szCs w:val="22"/>
              </w:rPr>
            </w:pPr>
            <w:r>
              <w:rPr>
                <w:rFonts w:eastAsia="Calibri"/>
                <w:sz w:val="22"/>
                <w:szCs w:val="22"/>
              </w:rPr>
              <w:t>Pastabos:</w:t>
            </w:r>
          </w:p>
          <w:p w14:paraId="191EA9A5" w14:textId="155F5B14" w:rsidR="004E428A" w:rsidRDefault="00E9790B" w:rsidP="00A42924">
            <w:pPr>
              <w:ind w:left="27" w:firstLine="716"/>
              <w:jc w:val="both"/>
              <w:rPr>
                <w:rFonts w:eastAsia="Calibri"/>
                <w:sz w:val="22"/>
                <w:szCs w:val="22"/>
              </w:rPr>
            </w:pPr>
            <w:r>
              <w:rPr>
                <w:rFonts w:eastAsia="TimesNewRomanPSMT"/>
                <w:sz w:val="22"/>
                <w:szCs w:val="22"/>
                <w:lang w:val="en-BB"/>
              </w:rPr>
              <w:t>1</w:t>
            </w:r>
            <w:r w:rsidR="004E428A">
              <w:rPr>
                <w:rFonts w:eastAsia="TimesNewRomanPSMT"/>
                <w:sz w:val="22"/>
                <w:szCs w:val="22"/>
              </w:rPr>
              <w:t>.</w:t>
            </w:r>
            <w:r w:rsidR="004E428A">
              <w:rPr>
                <w:rFonts w:eastAsia="TimesNewRomanPSMT"/>
                <w:sz w:val="22"/>
                <w:szCs w:val="22"/>
              </w:rPr>
              <w:tab/>
            </w:r>
            <w:r w:rsidR="004E428A">
              <w:rPr>
                <w:rFonts w:eastAsia="Calibri"/>
                <w:sz w:val="22"/>
                <w:szCs w:val="22"/>
              </w:rPr>
              <w:t>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w:t>
            </w:r>
            <w:r>
              <w:rPr>
                <w:rFonts w:eastAsia="Calibri"/>
                <w:sz w:val="22"/>
                <w:szCs w:val="22"/>
                <w:lang w:val="en-BB"/>
              </w:rPr>
              <w:t>.</w:t>
            </w:r>
          </w:p>
          <w:p w14:paraId="485ED663" w14:textId="6DCF45D9" w:rsidR="004E428A" w:rsidRDefault="00E9790B" w:rsidP="00A42924">
            <w:pPr>
              <w:ind w:left="27" w:firstLine="716"/>
              <w:jc w:val="both"/>
              <w:rPr>
                <w:rFonts w:eastAsia="Calibri"/>
                <w:sz w:val="22"/>
                <w:szCs w:val="22"/>
              </w:rPr>
            </w:pPr>
            <w:r>
              <w:rPr>
                <w:rFonts w:eastAsia="TimesNewRomanPSMT"/>
                <w:sz w:val="22"/>
                <w:szCs w:val="22"/>
                <w:lang w:val="en-BB"/>
              </w:rPr>
              <w:t>2</w:t>
            </w:r>
            <w:r w:rsidR="004E428A">
              <w:rPr>
                <w:rFonts w:eastAsia="TimesNewRomanPSMT"/>
                <w:sz w:val="22"/>
                <w:szCs w:val="22"/>
              </w:rPr>
              <w:t>.</w:t>
            </w:r>
            <w:r w:rsidR="004E428A">
              <w:rPr>
                <w:rFonts w:eastAsia="TimesNewRomanPSMT"/>
                <w:sz w:val="22"/>
                <w:szCs w:val="22"/>
              </w:rPr>
              <w:tab/>
            </w:r>
            <w:r w:rsidR="004E428A">
              <w:rPr>
                <w:rFonts w:eastAsia="Calibri"/>
                <w:sz w:val="22"/>
                <w:szCs w:val="22"/>
              </w:rPr>
              <w:t xml:space="preserve">Dangos konstrukcijai įrengti naudotini medžiagų pavyzdžiai, pasirenkant: </w:t>
            </w:r>
          </w:p>
          <w:p w14:paraId="79537DAF" w14:textId="71F8ABFC"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.1.</w:t>
            </w:r>
            <w:r w:rsidR="004E428A">
              <w:rPr>
                <w:rFonts w:eastAsia="Calibri"/>
                <w:sz w:val="22"/>
                <w:szCs w:val="22"/>
              </w:rPr>
              <w:tab/>
              <w:t>medžiagos, gautos perdirbus ar kitaip panaudojus atliekas, ir kurios atitinka Atliekų tvarkymo įstatyme ir kituose teisės aktuose nustatytus kriterijus ir sąlygas dėl atliekų nebelaikymo atliekomis: padangų gumos granulės, stiklo granulės, plastikas;</w:t>
            </w:r>
          </w:p>
          <w:p w14:paraId="1309AE18" w14:textId="784ED20D"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.2.</w:t>
            </w:r>
            <w:r w:rsidR="004E428A">
              <w:rPr>
                <w:rFonts w:eastAsia="Calibri"/>
                <w:sz w:val="22"/>
                <w:szCs w:val="22"/>
              </w:rPr>
              <w:tab/>
              <w:t>statybinės atliekos, atliekų deginimo įrenginiuose susidarę nepavojingieji pelenai ir šlakas ir kt.</w:t>
            </w:r>
            <w:r>
              <w:rPr>
                <w:rFonts w:eastAsia="Calibri"/>
                <w:sz w:val="22"/>
                <w:szCs w:val="22"/>
                <w:lang w:val="en-BB"/>
              </w:rPr>
              <w:t>;</w:t>
            </w:r>
            <w:r w:rsidR="004E428A">
              <w:rPr>
                <w:rFonts w:eastAsia="Calibri"/>
                <w:sz w:val="22"/>
                <w:szCs w:val="22"/>
              </w:rPr>
              <w:t xml:space="preserve"> </w:t>
            </w:r>
          </w:p>
          <w:p w14:paraId="75688A95" w14:textId="0312B083"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.3.</w:t>
            </w:r>
            <w:r w:rsidR="004E428A">
              <w:rPr>
                <w:rFonts w:eastAsia="Calibri"/>
                <w:sz w:val="22"/>
                <w:szCs w:val="22"/>
              </w:rPr>
              <w:tab/>
              <w:t>šalutinius gamybos produktus, atitinkančius aplinkos ministro 2012 m. sausio 17 d. įsakymu Nr. D1-46/4-63 „Dėl Gamybos liekanų priskyrimo prie šalutinių produktų tvarkos aprašo patvirtinimo</w:t>
            </w:r>
            <w:r>
              <w:rPr>
                <w:rFonts w:eastAsia="Calibri"/>
                <w:sz w:val="22"/>
                <w:szCs w:val="22"/>
                <w:lang w:val="en-US"/>
              </w:rPr>
              <w:t>”</w:t>
            </w:r>
            <w:r w:rsidR="004E428A">
              <w:rPr>
                <w:rFonts w:eastAsia="Calibri"/>
                <w:sz w:val="22"/>
                <w:szCs w:val="22"/>
              </w:rPr>
              <w:t xml:space="preserve"> produktus: betonas, medienos plaušas ir kt.;</w:t>
            </w:r>
          </w:p>
          <w:p w14:paraId="46997B5A" w14:textId="47C651D3" w:rsidR="004E428A" w:rsidRDefault="00E9790B" w:rsidP="00A42924">
            <w:pPr>
              <w:ind w:left="27" w:firstLine="716"/>
              <w:jc w:val="both"/>
              <w:rPr>
                <w:rFonts w:eastAsia="Calibri"/>
                <w:sz w:val="22"/>
                <w:szCs w:val="22"/>
              </w:rPr>
            </w:pPr>
            <w:r>
              <w:rPr>
                <w:rFonts w:eastAsia="Calibri"/>
                <w:sz w:val="22"/>
                <w:szCs w:val="22"/>
              </w:rPr>
              <w:t>2</w:t>
            </w:r>
            <w:r w:rsidR="004E428A">
              <w:rPr>
                <w:rFonts w:eastAsia="Calibri"/>
                <w:sz w:val="22"/>
                <w:szCs w:val="22"/>
              </w:rPr>
              <w:t>.4.</w:t>
            </w:r>
            <w:r w:rsidR="004E428A">
              <w:rPr>
                <w:rFonts w:eastAsia="Calibri"/>
                <w:sz w:val="22"/>
                <w:szCs w:val="22"/>
              </w:rPr>
              <w:tab/>
              <w:t xml:space="preserve">antrinio panaudojimo užpildus ir kelių tiesimo medžiagas (angl. </w:t>
            </w:r>
            <w:proofErr w:type="spellStart"/>
            <w:r w:rsidR="004E428A">
              <w:rPr>
                <w:rFonts w:eastAsia="Calibri"/>
                <w:i/>
                <w:iCs/>
                <w:sz w:val="22"/>
                <w:szCs w:val="22"/>
              </w:rPr>
              <w:t>recycling</w:t>
            </w:r>
            <w:proofErr w:type="spellEnd"/>
            <w:r w:rsidR="004E428A">
              <w:rPr>
                <w:rFonts w:eastAsia="Calibri"/>
                <w:sz w:val="22"/>
                <w:szCs w:val="22"/>
              </w:rPr>
              <w:t>): naudoto asfalto granulės, naudoti nesurištieji mišiniai ir kt. taikant šaltojo regeneravimo, karštojo regeneravimo ir kitus technologinius būdus kitam kelio dangos konstrukcijos sluoksniui;</w:t>
            </w:r>
          </w:p>
          <w:p w14:paraId="091E040A" w14:textId="47F02091" w:rsidR="004E428A" w:rsidRDefault="00E9790B" w:rsidP="00A42924">
            <w:pPr>
              <w:ind w:left="27" w:firstLine="716"/>
              <w:jc w:val="both"/>
              <w:rPr>
                <w:rFonts w:eastAsia="Calibri"/>
                <w:sz w:val="22"/>
                <w:szCs w:val="22"/>
              </w:rPr>
            </w:pPr>
            <w:r>
              <w:rPr>
                <w:rFonts w:eastAsia="Calibri"/>
                <w:sz w:val="22"/>
                <w:szCs w:val="22"/>
              </w:rPr>
              <w:t>2</w:t>
            </w:r>
            <w:r w:rsidR="004E428A">
              <w:rPr>
                <w:rFonts w:eastAsia="Calibri"/>
                <w:sz w:val="22"/>
                <w:szCs w:val="22"/>
              </w:rPr>
              <w:t>.5.</w:t>
            </w:r>
            <w:r w:rsidR="004E428A">
              <w:rPr>
                <w:rFonts w:eastAsia="Calibri"/>
                <w:sz w:val="22"/>
                <w:szCs w:val="22"/>
              </w:rPr>
              <w:tab/>
              <w:t xml:space="preserve">pakartotinio panaudojimo užpildus ir kelių tiesimo medžiagas (angl. </w:t>
            </w:r>
            <w:proofErr w:type="spellStart"/>
            <w:r w:rsidR="004E428A">
              <w:rPr>
                <w:rFonts w:eastAsia="Calibri"/>
                <w:i/>
                <w:iCs/>
                <w:sz w:val="22"/>
                <w:szCs w:val="22"/>
              </w:rPr>
              <w:t>re-use</w:t>
            </w:r>
            <w:proofErr w:type="spellEnd"/>
            <w:r w:rsidR="004E428A">
              <w:rPr>
                <w:rFonts w:eastAsia="Calibri"/>
                <w:sz w:val="22"/>
                <w:szCs w:val="22"/>
              </w:rPr>
              <w:t>): naudoto asfalto granulės, naudoti nesurištieji mišiniai ir kt. taikant šaltojo regeneravimo, karštojo regeneravimo ir kitus technologinius būdus tam pačiam kelio konstrukcijos sluoksniui.</w:t>
            </w:r>
          </w:p>
        </w:tc>
      </w:tr>
    </w:tbl>
    <w:p w14:paraId="5933C4A0" w14:textId="77777777" w:rsidR="004E428A" w:rsidRDefault="004E428A" w:rsidP="004E428A">
      <w:pPr>
        <w:jc w:val="both"/>
        <w:rPr>
          <w:rFonts w:eastAsia="TimesNewRomanPSMT"/>
        </w:rPr>
      </w:pPr>
    </w:p>
    <w:p w14:paraId="2DE5A75A" w14:textId="77777777" w:rsidR="00F40D82" w:rsidRDefault="00F40D82" w:rsidP="00F40D82">
      <w:pPr>
        <w:jc w:val="both"/>
        <w:rPr>
          <w:rFonts w:eastAsia="TimesNewRomanPSMT"/>
        </w:rPr>
      </w:pPr>
      <w:r w:rsidRPr="000552B5">
        <w:rPr>
          <w:rFonts w:eastAsia="TimesNewRomanPSMT"/>
          <w:b/>
          <w:bCs/>
        </w:rPr>
        <w:lastRenderedPageBreak/>
        <w:t>Pastaba.</w:t>
      </w:r>
      <w:r>
        <w:rPr>
          <w:rFonts w:eastAsia="TimesNewRomanPSMT"/>
        </w:rPr>
        <w:t xml:space="preserve"> Prieš klojant asfalto dangą, patikrinti pagrindų sutankinimą (atlikti jų dinaminį bandymą ir pateikti bandymo rezultatus). Sutankinimo deformacijos modulis E</w:t>
      </w:r>
      <w:r>
        <w:rPr>
          <w:rFonts w:eastAsia="TimesNewRomanPSMT"/>
          <w:sz w:val="16"/>
          <w:szCs w:val="16"/>
        </w:rPr>
        <w:t xml:space="preserve">v2 </w:t>
      </w:r>
      <w:r>
        <w:rPr>
          <w:rFonts w:eastAsia="TimesNewRomanPSMT"/>
        </w:rPr>
        <w:t xml:space="preserve">ar </w:t>
      </w:r>
      <w:proofErr w:type="spellStart"/>
      <w:r>
        <w:rPr>
          <w:rFonts w:eastAsia="TimesNewRomanPSMT"/>
        </w:rPr>
        <w:t>E</w:t>
      </w:r>
      <w:r>
        <w:rPr>
          <w:rFonts w:eastAsia="TimesNewRomanPSMT"/>
          <w:sz w:val="16"/>
          <w:szCs w:val="16"/>
        </w:rPr>
        <w:t>vd</w:t>
      </w:r>
      <w:proofErr w:type="spellEnd"/>
      <w:r>
        <w:rPr>
          <w:rFonts w:eastAsia="TimesNewRomanPSMT"/>
        </w:rPr>
        <w:t xml:space="preserve"> turi atitikti kelio ar gatvės dangai keliamus reikalavimus.   </w:t>
      </w:r>
    </w:p>
    <w:p w14:paraId="399EDC27" w14:textId="77777777" w:rsidR="00F40D82" w:rsidRDefault="00F40D82" w:rsidP="004E428A">
      <w:pPr>
        <w:jc w:val="both"/>
        <w:rPr>
          <w:rFonts w:eastAsia="TimesNewRomanPSMT"/>
        </w:rPr>
      </w:pPr>
    </w:p>
    <w:p w14:paraId="06112351" w14:textId="128131A4" w:rsidR="00C76B91" w:rsidRDefault="008B19D5" w:rsidP="004B2A5C">
      <w:pPr>
        <w:suppressAutoHyphens w:val="0"/>
        <w:spacing w:before="100" w:beforeAutospacing="1" w:after="100" w:afterAutospacing="1" w:line="276" w:lineRule="auto"/>
        <w:jc w:val="both"/>
      </w:pPr>
      <w:r w:rsidRPr="008B19D5">
        <w:rPr>
          <w:b/>
          <w:bCs/>
          <w:lang w:eastAsia="lt-LT"/>
        </w:rPr>
        <w:t>Medžiagoms įvertinti pateikite įrodančius dokumentus (sertifikatai ir pan.)</w:t>
      </w:r>
    </w:p>
    <w:sectPr w:rsidR="00C76B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6F4B"/>
    <w:multiLevelType w:val="hybridMultilevel"/>
    <w:tmpl w:val="106A01AE"/>
    <w:lvl w:ilvl="0" w:tplc="D4545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0C1A89"/>
    <w:multiLevelType w:val="hybridMultilevel"/>
    <w:tmpl w:val="E13C4508"/>
    <w:lvl w:ilvl="0" w:tplc="3FAC0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F586D87"/>
    <w:multiLevelType w:val="hybridMultilevel"/>
    <w:tmpl w:val="3C3C59B6"/>
    <w:lvl w:ilvl="0" w:tplc="04270001">
      <w:start w:val="1"/>
      <w:numFmt w:val="bullet"/>
      <w:lvlText w:val=""/>
      <w:lvlJc w:val="left"/>
      <w:pPr>
        <w:ind w:left="6720" w:hanging="360"/>
      </w:pPr>
      <w:rPr>
        <w:rFonts w:ascii="Symbol" w:hAnsi="Symbol" w:hint="default"/>
      </w:rPr>
    </w:lvl>
    <w:lvl w:ilvl="1" w:tplc="04270003" w:tentative="1">
      <w:start w:val="1"/>
      <w:numFmt w:val="bullet"/>
      <w:lvlText w:val="o"/>
      <w:lvlJc w:val="left"/>
      <w:pPr>
        <w:ind w:left="7440" w:hanging="360"/>
      </w:pPr>
      <w:rPr>
        <w:rFonts w:ascii="Courier New" w:hAnsi="Courier New" w:cs="Courier New" w:hint="default"/>
      </w:rPr>
    </w:lvl>
    <w:lvl w:ilvl="2" w:tplc="04270005" w:tentative="1">
      <w:start w:val="1"/>
      <w:numFmt w:val="bullet"/>
      <w:lvlText w:val=""/>
      <w:lvlJc w:val="left"/>
      <w:pPr>
        <w:ind w:left="8160" w:hanging="360"/>
      </w:pPr>
      <w:rPr>
        <w:rFonts w:ascii="Wingdings" w:hAnsi="Wingdings" w:hint="default"/>
      </w:rPr>
    </w:lvl>
    <w:lvl w:ilvl="3" w:tplc="04270001" w:tentative="1">
      <w:start w:val="1"/>
      <w:numFmt w:val="bullet"/>
      <w:lvlText w:val=""/>
      <w:lvlJc w:val="left"/>
      <w:pPr>
        <w:ind w:left="8880" w:hanging="360"/>
      </w:pPr>
      <w:rPr>
        <w:rFonts w:ascii="Symbol" w:hAnsi="Symbol" w:hint="default"/>
      </w:rPr>
    </w:lvl>
    <w:lvl w:ilvl="4" w:tplc="04270003" w:tentative="1">
      <w:start w:val="1"/>
      <w:numFmt w:val="bullet"/>
      <w:lvlText w:val="o"/>
      <w:lvlJc w:val="left"/>
      <w:pPr>
        <w:ind w:left="9600" w:hanging="360"/>
      </w:pPr>
      <w:rPr>
        <w:rFonts w:ascii="Courier New" w:hAnsi="Courier New" w:cs="Courier New" w:hint="default"/>
      </w:rPr>
    </w:lvl>
    <w:lvl w:ilvl="5" w:tplc="04270005" w:tentative="1">
      <w:start w:val="1"/>
      <w:numFmt w:val="bullet"/>
      <w:lvlText w:val=""/>
      <w:lvlJc w:val="left"/>
      <w:pPr>
        <w:ind w:left="10320" w:hanging="360"/>
      </w:pPr>
      <w:rPr>
        <w:rFonts w:ascii="Wingdings" w:hAnsi="Wingdings" w:hint="default"/>
      </w:rPr>
    </w:lvl>
    <w:lvl w:ilvl="6" w:tplc="04270001" w:tentative="1">
      <w:start w:val="1"/>
      <w:numFmt w:val="bullet"/>
      <w:lvlText w:val=""/>
      <w:lvlJc w:val="left"/>
      <w:pPr>
        <w:ind w:left="11040" w:hanging="360"/>
      </w:pPr>
      <w:rPr>
        <w:rFonts w:ascii="Symbol" w:hAnsi="Symbol" w:hint="default"/>
      </w:rPr>
    </w:lvl>
    <w:lvl w:ilvl="7" w:tplc="04270003" w:tentative="1">
      <w:start w:val="1"/>
      <w:numFmt w:val="bullet"/>
      <w:lvlText w:val="o"/>
      <w:lvlJc w:val="left"/>
      <w:pPr>
        <w:ind w:left="11760" w:hanging="360"/>
      </w:pPr>
      <w:rPr>
        <w:rFonts w:ascii="Courier New" w:hAnsi="Courier New" w:cs="Courier New" w:hint="default"/>
      </w:rPr>
    </w:lvl>
    <w:lvl w:ilvl="8" w:tplc="04270005" w:tentative="1">
      <w:start w:val="1"/>
      <w:numFmt w:val="bullet"/>
      <w:lvlText w:val=""/>
      <w:lvlJc w:val="left"/>
      <w:pPr>
        <w:ind w:left="12480" w:hanging="360"/>
      </w:pPr>
      <w:rPr>
        <w:rFonts w:ascii="Wingdings" w:hAnsi="Wingdings" w:hint="default"/>
      </w:rPr>
    </w:lvl>
  </w:abstractNum>
  <w:abstractNum w:abstractNumId="3" w15:restartNumberingAfterBreak="0">
    <w:nsid w:val="30A27D9A"/>
    <w:multiLevelType w:val="hybridMultilevel"/>
    <w:tmpl w:val="134C8AC0"/>
    <w:lvl w:ilvl="0" w:tplc="11EAAC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6847399">
    <w:abstractNumId w:val="2"/>
  </w:num>
  <w:num w:numId="2" w16cid:durableId="2121341812">
    <w:abstractNumId w:val="0"/>
  </w:num>
  <w:num w:numId="3" w16cid:durableId="1142622028">
    <w:abstractNumId w:val="1"/>
  </w:num>
  <w:num w:numId="4" w16cid:durableId="187519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F9"/>
    <w:rsid w:val="00030689"/>
    <w:rsid w:val="00073E98"/>
    <w:rsid w:val="000C080C"/>
    <w:rsid w:val="000C0977"/>
    <w:rsid w:val="000D6139"/>
    <w:rsid w:val="0012490E"/>
    <w:rsid w:val="00140557"/>
    <w:rsid w:val="00187114"/>
    <w:rsid w:val="00201511"/>
    <w:rsid w:val="002120D9"/>
    <w:rsid w:val="002472EA"/>
    <w:rsid w:val="00322B8B"/>
    <w:rsid w:val="00356008"/>
    <w:rsid w:val="004448E2"/>
    <w:rsid w:val="00445A70"/>
    <w:rsid w:val="00447E85"/>
    <w:rsid w:val="004A011B"/>
    <w:rsid w:val="004A26DB"/>
    <w:rsid w:val="004B2A5C"/>
    <w:rsid w:val="004E428A"/>
    <w:rsid w:val="004F3B7A"/>
    <w:rsid w:val="004F5434"/>
    <w:rsid w:val="0053660A"/>
    <w:rsid w:val="00560C06"/>
    <w:rsid w:val="00641666"/>
    <w:rsid w:val="0065628A"/>
    <w:rsid w:val="006571AB"/>
    <w:rsid w:val="00667C75"/>
    <w:rsid w:val="00667F74"/>
    <w:rsid w:val="0075422D"/>
    <w:rsid w:val="00770305"/>
    <w:rsid w:val="00796318"/>
    <w:rsid w:val="007A6646"/>
    <w:rsid w:val="007D76D3"/>
    <w:rsid w:val="008529B5"/>
    <w:rsid w:val="00886823"/>
    <w:rsid w:val="008B19D5"/>
    <w:rsid w:val="008B5D8A"/>
    <w:rsid w:val="00907CD5"/>
    <w:rsid w:val="00935EFD"/>
    <w:rsid w:val="00950EE6"/>
    <w:rsid w:val="00961781"/>
    <w:rsid w:val="00963225"/>
    <w:rsid w:val="009848B9"/>
    <w:rsid w:val="0099682E"/>
    <w:rsid w:val="009C6162"/>
    <w:rsid w:val="00A56C0F"/>
    <w:rsid w:val="00A7604F"/>
    <w:rsid w:val="00AB62F5"/>
    <w:rsid w:val="00B14E35"/>
    <w:rsid w:val="00B45AE6"/>
    <w:rsid w:val="00B52ECE"/>
    <w:rsid w:val="00C219C2"/>
    <w:rsid w:val="00C241DA"/>
    <w:rsid w:val="00C5356F"/>
    <w:rsid w:val="00C76002"/>
    <w:rsid w:val="00C76B91"/>
    <w:rsid w:val="00CA3DB9"/>
    <w:rsid w:val="00CF1EC1"/>
    <w:rsid w:val="00CF350D"/>
    <w:rsid w:val="00CF45D1"/>
    <w:rsid w:val="00D64E37"/>
    <w:rsid w:val="00D84CCC"/>
    <w:rsid w:val="00DF0891"/>
    <w:rsid w:val="00E46E02"/>
    <w:rsid w:val="00E722E6"/>
    <w:rsid w:val="00E816AE"/>
    <w:rsid w:val="00E92A90"/>
    <w:rsid w:val="00E9790B"/>
    <w:rsid w:val="00EB45D7"/>
    <w:rsid w:val="00EF349F"/>
    <w:rsid w:val="00F239F9"/>
    <w:rsid w:val="00F40D82"/>
    <w:rsid w:val="00FB6F9F"/>
    <w:rsid w:val="00FD7A73"/>
    <w:rsid w:val="00FE6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B5E4"/>
  <w15:chartTrackingRefBased/>
  <w15:docId w15:val="{5B71654A-4309-495C-9B96-D13E1449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9F9"/>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15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1511"/>
    <w:rPr>
      <w:rFonts w:ascii="Segoe UI" w:eastAsia="Times New Roman" w:hAnsi="Segoe UI" w:cs="Segoe UI"/>
      <w:sz w:val="18"/>
      <w:szCs w:val="18"/>
      <w:lang w:eastAsia="zh-CN"/>
    </w:rPr>
  </w:style>
  <w:style w:type="paragraph" w:styleId="Sraopastraipa">
    <w:name w:val="List Paragraph"/>
    <w:basedOn w:val="prastasis"/>
    <w:uiPriority w:val="34"/>
    <w:qFormat/>
    <w:rsid w:val="00124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99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13">
          <w:marLeft w:val="0"/>
          <w:marRight w:val="0"/>
          <w:marTop w:val="0"/>
          <w:marBottom w:val="0"/>
          <w:divBdr>
            <w:top w:val="none" w:sz="0" w:space="0" w:color="auto"/>
            <w:left w:val="none" w:sz="0" w:space="0" w:color="auto"/>
            <w:bottom w:val="none" w:sz="0" w:space="0" w:color="auto"/>
            <w:right w:val="none" w:sz="0" w:space="0" w:color="auto"/>
          </w:divBdr>
        </w:div>
        <w:div w:id="795415634">
          <w:marLeft w:val="0"/>
          <w:marRight w:val="0"/>
          <w:marTop w:val="0"/>
          <w:marBottom w:val="0"/>
          <w:divBdr>
            <w:top w:val="none" w:sz="0" w:space="0" w:color="auto"/>
            <w:left w:val="none" w:sz="0" w:space="0" w:color="auto"/>
            <w:bottom w:val="none" w:sz="0" w:space="0" w:color="auto"/>
            <w:right w:val="none" w:sz="0" w:space="0" w:color="auto"/>
          </w:divBdr>
        </w:div>
      </w:divsChild>
    </w:div>
    <w:div w:id="1559364678">
      <w:bodyDiv w:val="1"/>
      <w:marLeft w:val="0"/>
      <w:marRight w:val="0"/>
      <w:marTop w:val="0"/>
      <w:marBottom w:val="0"/>
      <w:divBdr>
        <w:top w:val="none" w:sz="0" w:space="0" w:color="auto"/>
        <w:left w:val="none" w:sz="0" w:space="0" w:color="auto"/>
        <w:bottom w:val="none" w:sz="0" w:space="0" w:color="auto"/>
        <w:right w:val="none" w:sz="0" w:space="0" w:color="auto"/>
      </w:divBdr>
      <w:divsChild>
        <w:div w:id="487524058">
          <w:marLeft w:val="0"/>
          <w:marRight w:val="0"/>
          <w:marTop w:val="0"/>
          <w:marBottom w:val="0"/>
          <w:divBdr>
            <w:top w:val="none" w:sz="0" w:space="0" w:color="auto"/>
            <w:left w:val="none" w:sz="0" w:space="0" w:color="auto"/>
            <w:bottom w:val="none" w:sz="0" w:space="0" w:color="auto"/>
            <w:right w:val="none" w:sz="0" w:space="0" w:color="auto"/>
          </w:divBdr>
        </w:div>
        <w:div w:id="189191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DA56-6AE5-4DF6-8E90-F4348431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2049</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Benaitis</dc:creator>
  <cp:keywords/>
  <dc:description/>
  <cp:lastModifiedBy>Rimvydas Slapsys</cp:lastModifiedBy>
  <cp:revision>20</cp:revision>
  <cp:lastPrinted>2024-01-24T12:15:00Z</cp:lastPrinted>
  <dcterms:created xsi:type="dcterms:W3CDTF">2023-01-10T11:30:00Z</dcterms:created>
  <dcterms:modified xsi:type="dcterms:W3CDTF">2025-01-15T06:42:00Z</dcterms:modified>
</cp:coreProperties>
</file>