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C8A58" w14:textId="5906B7A7" w:rsidR="00561518" w:rsidRDefault="003D3461" w:rsidP="003D3461">
      <w:pPr>
        <w:jc w:val="center"/>
        <w:rPr>
          <w:rFonts w:ascii="Arial" w:hAnsi="Arial" w:cs="Arial"/>
          <w:b/>
          <w:bCs/>
        </w:rPr>
      </w:pPr>
      <w:r w:rsidRPr="003D3461">
        <w:rPr>
          <w:rFonts w:ascii="Arial" w:hAnsi="Arial" w:cs="Arial"/>
          <w:b/>
          <w:bCs/>
        </w:rPr>
        <w:t>NUMATOMI REIKALAVIMAI TIEKĖJO KVALIFIKACIJAI</w:t>
      </w:r>
    </w:p>
    <w:p w14:paraId="469DC0B6" w14:textId="77777777" w:rsidR="003D3461" w:rsidRDefault="003D3461" w:rsidP="003D3461">
      <w:pPr>
        <w:jc w:val="center"/>
        <w:rPr>
          <w:rFonts w:ascii="Arial" w:hAnsi="Arial" w:cs="Arial"/>
          <w:b/>
          <w:bCs/>
        </w:rPr>
      </w:pPr>
    </w:p>
    <w:tbl>
      <w:tblPr>
        <w:tblStyle w:val="TableGrid"/>
        <w:tblW w:w="9639" w:type="dxa"/>
        <w:tblInd w:w="-5" w:type="dxa"/>
        <w:tblLayout w:type="fixed"/>
        <w:tblLook w:val="04A0" w:firstRow="1" w:lastRow="0" w:firstColumn="1" w:lastColumn="0" w:noHBand="0" w:noVBand="1"/>
      </w:tblPr>
      <w:tblGrid>
        <w:gridCol w:w="567"/>
        <w:gridCol w:w="4536"/>
        <w:gridCol w:w="4536"/>
      </w:tblGrid>
      <w:tr w:rsidR="003D3461" w:rsidRPr="00203C60" w14:paraId="01C35688" w14:textId="77777777" w:rsidTr="2827D5AD">
        <w:trPr>
          <w:trHeight w:val="230"/>
        </w:trPr>
        <w:tc>
          <w:tcPr>
            <w:tcW w:w="567" w:type="dxa"/>
            <w:vMerge w:val="restart"/>
            <w:shd w:val="clear" w:color="auto" w:fill="F2F2F2" w:themeFill="background1" w:themeFillShade="F2"/>
            <w:vAlign w:val="center"/>
          </w:tcPr>
          <w:p w14:paraId="7C074E56" w14:textId="77777777" w:rsidR="003D3461" w:rsidRPr="00203C60" w:rsidRDefault="003D3461" w:rsidP="00CE52B3">
            <w:pPr>
              <w:jc w:val="center"/>
              <w:rPr>
                <w:rFonts w:cs="Arial"/>
                <w:b/>
                <w:bCs/>
              </w:rPr>
            </w:pPr>
            <w:r w:rsidRPr="00203C60">
              <w:rPr>
                <w:rFonts w:cs="Arial"/>
                <w:b/>
                <w:bCs/>
              </w:rPr>
              <w:t>Eil. Nr.</w:t>
            </w:r>
          </w:p>
        </w:tc>
        <w:tc>
          <w:tcPr>
            <w:tcW w:w="4536" w:type="dxa"/>
            <w:vMerge w:val="restart"/>
            <w:shd w:val="clear" w:color="auto" w:fill="F2F2F2" w:themeFill="background1" w:themeFillShade="F2"/>
            <w:vAlign w:val="center"/>
          </w:tcPr>
          <w:p w14:paraId="3F552D9B" w14:textId="77777777" w:rsidR="003D3461" w:rsidRPr="00203C60" w:rsidRDefault="003D3461" w:rsidP="00CE52B3">
            <w:pPr>
              <w:jc w:val="center"/>
              <w:rPr>
                <w:rFonts w:cs="Arial"/>
                <w:b/>
                <w:bCs/>
              </w:rPr>
            </w:pPr>
            <w:r w:rsidRPr="00203C60">
              <w:rPr>
                <w:rFonts w:cs="Arial"/>
                <w:b/>
                <w:bCs/>
              </w:rPr>
              <w:t>Reikalavimas</w:t>
            </w:r>
          </w:p>
        </w:tc>
        <w:tc>
          <w:tcPr>
            <w:tcW w:w="4536" w:type="dxa"/>
            <w:vMerge w:val="restart"/>
            <w:shd w:val="clear" w:color="auto" w:fill="F2F2F2" w:themeFill="background1" w:themeFillShade="F2"/>
            <w:vAlign w:val="center"/>
          </w:tcPr>
          <w:p w14:paraId="41C37098" w14:textId="77777777" w:rsidR="003D3461" w:rsidRPr="00203C60" w:rsidRDefault="003D3461" w:rsidP="00CE52B3">
            <w:pPr>
              <w:jc w:val="center"/>
              <w:rPr>
                <w:rFonts w:cs="Arial"/>
                <w:b/>
                <w:bCs/>
              </w:rPr>
            </w:pPr>
            <w:r w:rsidRPr="00203C60">
              <w:rPr>
                <w:rFonts w:cs="Arial"/>
                <w:b/>
                <w:bCs/>
              </w:rPr>
              <w:t>Pateikiami dokumentai</w:t>
            </w:r>
          </w:p>
        </w:tc>
      </w:tr>
      <w:tr w:rsidR="003D3461" w:rsidRPr="00203C60" w14:paraId="1F16672E" w14:textId="77777777" w:rsidTr="2827D5AD">
        <w:trPr>
          <w:trHeight w:val="230"/>
        </w:trPr>
        <w:tc>
          <w:tcPr>
            <w:tcW w:w="567" w:type="dxa"/>
            <w:vMerge/>
            <w:vAlign w:val="center"/>
          </w:tcPr>
          <w:p w14:paraId="3DDB54AE" w14:textId="77777777" w:rsidR="003D3461" w:rsidRPr="00203C60" w:rsidRDefault="003D3461" w:rsidP="00CE52B3">
            <w:pPr>
              <w:jc w:val="center"/>
              <w:rPr>
                <w:rFonts w:cs="Arial"/>
                <w:b/>
                <w:bCs/>
              </w:rPr>
            </w:pPr>
          </w:p>
        </w:tc>
        <w:tc>
          <w:tcPr>
            <w:tcW w:w="4536" w:type="dxa"/>
            <w:vMerge/>
            <w:vAlign w:val="center"/>
          </w:tcPr>
          <w:p w14:paraId="224C76AD" w14:textId="77777777" w:rsidR="003D3461" w:rsidRPr="00203C60" w:rsidRDefault="003D3461" w:rsidP="00CE52B3">
            <w:pPr>
              <w:jc w:val="center"/>
              <w:rPr>
                <w:rFonts w:cs="Arial"/>
                <w:b/>
                <w:bCs/>
              </w:rPr>
            </w:pPr>
          </w:p>
        </w:tc>
        <w:tc>
          <w:tcPr>
            <w:tcW w:w="4536" w:type="dxa"/>
            <w:vMerge/>
            <w:vAlign w:val="center"/>
          </w:tcPr>
          <w:p w14:paraId="6A717EB2" w14:textId="77777777" w:rsidR="003D3461" w:rsidRPr="00203C60" w:rsidRDefault="003D3461" w:rsidP="00CE52B3">
            <w:pPr>
              <w:jc w:val="center"/>
              <w:rPr>
                <w:rFonts w:cs="Arial"/>
                <w:b/>
                <w:bCs/>
              </w:rPr>
            </w:pPr>
          </w:p>
        </w:tc>
      </w:tr>
      <w:tr w:rsidR="003D3461" w:rsidRPr="00203C60" w14:paraId="1A9C2A61" w14:textId="77777777" w:rsidTr="2827D5AD">
        <w:trPr>
          <w:trHeight w:val="230"/>
        </w:trPr>
        <w:tc>
          <w:tcPr>
            <w:tcW w:w="567" w:type="dxa"/>
            <w:vMerge/>
            <w:vAlign w:val="center"/>
          </w:tcPr>
          <w:p w14:paraId="3981147F" w14:textId="77777777" w:rsidR="003D3461" w:rsidRPr="00203C60" w:rsidRDefault="003D3461" w:rsidP="00CE52B3">
            <w:pPr>
              <w:jc w:val="center"/>
              <w:rPr>
                <w:rFonts w:cs="Arial"/>
                <w:b/>
                <w:bCs/>
              </w:rPr>
            </w:pPr>
          </w:p>
        </w:tc>
        <w:tc>
          <w:tcPr>
            <w:tcW w:w="4536" w:type="dxa"/>
            <w:vMerge/>
            <w:vAlign w:val="center"/>
          </w:tcPr>
          <w:p w14:paraId="27FC1C3D" w14:textId="77777777" w:rsidR="003D3461" w:rsidRPr="00203C60" w:rsidRDefault="003D3461" w:rsidP="00CE52B3">
            <w:pPr>
              <w:jc w:val="center"/>
              <w:rPr>
                <w:rFonts w:cs="Arial"/>
                <w:b/>
                <w:bCs/>
              </w:rPr>
            </w:pPr>
          </w:p>
        </w:tc>
        <w:tc>
          <w:tcPr>
            <w:tcW w:w="4536" w:type="dxa"/>
            <w:vMerge/>
            <w:vAlign w:val="center"/>
          </w:tcPr>
          <w:p w14:paraId="0DD40A4F" w14:textId="77777777" w:rsidR="003D3461" w:rsidRPr="00203C60" w:rsidRDefault="003D3461" w:rsidP="00CE52B3">
            <w:pPr>
              <w:jc w:val="center"/>
              <w:rPr>
                <w:rFonts w:cs="Arial"/>
                <w:b/>
                <w:bCs/>
              </w:rPr>
            </w:pPr>
          </w:p>
        </w:tc>
      </w:tr>
      <w:tr w:rsidR="003D3461" w:rsidRPr="00203C60" w14:paraId="361A4AEB" w14:textId="77777777" w:rsidTr="2827D5AD">
        <w:trPr>
          <w:trHeight w:val="230"/>
        </w:trPr>
        <w:tc>
          <w:tcPr>
            <w:tcW w:w="567" w:type="dxa"/>
            <w:vMerge w:val="restart"/>
          </w:tcPr>
          <w:p w14:paraId="74128F1F" w14:textId="77777777" w:rsidR="003D3461" w:rsidRPr="00203C60" w:rsidRDefault="003D3461" w:rsidP="00CE52B3">
            <w:pPr>
              <w:jc w:val="center"/>
              <w:rPr>
                <w:rFonts w:cs="Arial"/>
                <w:b/>
                <w:bCs/>
              </w:rPr>
            </w:pPr>
          </w:p>
        </w:tc>
        <w:tc>
          <w:tcPr>
            <w:tcW w:w="4536" w:type="dxa"/>
            <w:vMerge w:val="restart"/>
          </w:tcPr>
          <w:p w14:paraId="070987D5" w14:textId="77777777" w:rsidR="003D3461" w:rsidRPr="003D3461" w:rsidRDefault="003D3461" w:rsidP="00CE52B3">
            <w:pPr>
              <w:jc w:val="both"/>
              <w:rPr>
                <w:rFonts w:ascii="Arial" w:hAnsi="Arial" w:cs="Arial"/>
                <w:bCs/>
                <w:i/>
                <w:sz w:val="18"/>
                <w:szCs w:val="18"/>
              </w:rPr>
            </w:pPr>
            <w:r w:rsidRPr="003D3461">
              <w:rPr>
                <w:rFonts w:ascii="Arial" w:hAnsi="Arial" w:cs="Arial"/>
                <w:b/>
                <w:spacing w:val="2"/>
                <w:sz w:val="18"/>
                <w:szCs w:val="18"/>
              </w:rPr>
              <w:t>Specialistų išsilavinimas ir profesinė kvalifikacija / patirtis</w:t>
            </w:r>
            <w:r w:rsidRPr="003D3461">
              <w:rPr>
                <w:rFonts w:ascii="Arial" w:hAnsi="Arial" w:cs="Arial"/>
                <w:bCs/>
                <w:i/>
                <w:sz w:val="18"/>
                <w:szCs w:val="18"/>
              </w:rPr>
              <w:t xml:space="preserve"> </w:t>
            </w:r>
          </w:p>
          <w:p w14:paraId="13ACBBB1" w14:textId="77777777" w:rsidR="003D3461" w:rsidRPr="003D3461" w:rsidRDefault="003D3461" w:rsidP="00CE52B3">
            <w:pPr>
              <w:rPr>
                <w:rFonts w:ascii="Arial" w:hAnsi="Arial" w:cs="Arial"/>
                <w:b/>
                <w:bCs/>
              </w:rPr>
            </w:pPr>
          </w:p>
          <w:p w14:paraId="64A92973" w14:textId="77777777" w:rsidR="003D3461" w:rsidRPr="003D3461" w:rsidRDefault="003D3461" w:rsidP="00CE52B3">
            <w:pPr>
              <w:jc w:val="both"/>
              <w:rPr>
                <w:rFonts w:ascii="Arial" w:hAnsi="Arial" w:cs="Arial"/>
                <w:sz w:val="18"/>
                <w:szCs w:val="18"/>
              </w:rPr>
            </w:pPr>
            <w:r w:rsidRPr="003D3461">
              <w:rPr>
                <w:rFonts w:ascii="Arial" w:hAnsi="Arial" w:cs="Arial"/>
                <w:sz w:val="18"/>
                <w:szCs w:val="18"/>
              </w:rPr>
              <w:t xml:space="preserve">Tiekėjas turi turėti žemiau išvardintus darbuotojus: </w:t>
            </w:r>
          </w:p>
          <w:p w14:paraId="48A80ACD" w14:textId="77777777" w:rsidR="003D3461" w:rsidRPr="003D3461" w:rsidRDefault="003D3461" w:rsidP="2827D5AD">
            <w:pPr>
              <w:pStyle w:val="ListParagraph"/>
              <w:numPr>
                <w:ilvl w:val="0"/>
                <w:numId w:val="1"/>
              </w:numPr>
              <w:tabs>
                <w:tab w:val="left" w:pos="604"/>
              </w:tabs>
              <w:ind w:left="-105" w:firstLine="426"/>
              <w:jc w:val="both"/>
              <w:rPr>
                <w:rFonts w:ascii="Arial" w:hAnsi="Arial" w:cs="Arial"/>
                <w:sz w:val="18"/>
                <w:szCs w:val="18"/>
              </w:rPr>
            </w:pPr>
            <w:r w:rsidRPr="2827D5AD">
              <w:rPr>
                <w:rFonts w:ascii="Arial" w:hAnsi="Arial" w:cs="Arial"/>
                <w:sz w:val="18"/>
                <w:szCs w:val="18"/>
              </w:rPr>
              <w:t>1 (vieną) specialistą, turintį siūlomos RRL įrangos gamintojo išduotą sertifikatą, patvirtinantį teisę įrengti ir konfigūruoti RRL įrangą.</w:t>
            </w:r>
          </w:p>
          <w:p w14:paraId="71B33522" w14:textId="77777777" w:rsidR="003D3461" w:rsidRPr="003D3461" w:rsidRDefault="003D3461" w:rsidP="003D3461">
            <w:pPr>
              <w:pStyle w:val="ListParagraph"/>
              <w:numPr>
                <w:ilvl w:val="0"/>
                <w:numId w:val="1"/>
              </w:numPr>
              <w:tabs>
                <w:tab w:val="left" w:pos="604"/>
              </w:tabs>
              <w:ind w:left="-105" w:firstLine="426"/>
              <w:jc w:val="both"/>
              <w:rPr>
                <w:rFonts w:ascii="Arial" w:hAnsi="Arial" w:cs="Arial"/>
                <w:sz w:val="18"/>
                <w:szCs w:val="18"/>
              </w:rPr>
            </w:pPr>
            <w:r w:rsidRPr="003D3461">
              <w:rPr>
                <w:rFonts w:ascii="Arial" w:hAnsi="Arial" w:cs="Arial"/>
                <w:sz w:val="18"/>
                <w:szCs w:val="18"/>
              </w:rPr>
              <w:t>1 (vieną) specialistą, turintį ypatingojo statinio projekto dalies vadovo atestatą. Statinių grupė: negyvenamieji pastatai. Inžineriniai tinklai: elektros tinklai. Projekto dalys: elektroninių ryšių (telekomunikacijų);</w:t>
            </w:r>
          </w:p>
          <w:p w14:paraId="030A5151" w14:textId="77777777" w:rsidR="003D3461" w:rsidRPr="003D3461" w:rsidRDefault="003D3461" w:rsidP="003D3461">
            <w:pPr>
              <w:pStyle w:val="ListParagraph"/>
              <w:numPr>
                <w:ilvl w:val="0"/>
                <w:numId w:val="1"/>
              </w:numPr>
              <w:tabs>
                <w:tab w:val="left" w:pos="604"/>
              </w:tabs>
              <w:ind w:left="-105" w:firstLine="426"/>
              <w:jc w:val="both"/>
              <w:rPr>
                <w:rFonts w:ascii="Arial" w:hAnsi="Arial" w:cs="Arial"/>
                <w:sz w:val="18"/>
                <w:szCs w:val="18"/>
              </w:rPr>
            </w:pPr>
            <w:r w:rsidRPr="003D3461">
              <w:rPr>
                <w:rFonts w:ascii="Arial" w:hAnsi="Arial" w:cs="Arial"/>
                <w:sz w:val="18"/>
                <w:szCs w:val="18"/>
              </w:rPr>
              <w:t xml:space="preserve"> 1 (vieną) specialistą, turintį ypatingojo statinio projekto dalies vykdymo priežiūros vadovo atestatą. Statinių grupė: negyvenamieji pastatai. Inžineriniai tinklai: elektros tinklai. Projekto dalys: elektroninių ryšių (telekomunikacijų);</w:t>
            </w:r>
          </w:p>
          <w:p w14:paraId="3DDE3C8F" w14:textId="77777777" w:rsidR="003D3461" w:rsidRPr="003D3461" w:rsidRDefault="003D3461" w:rsidP="003D3461">
            <w:pPr>
              <w:pStyle w:val="ListParagraph"/>
              <w:numPr>
                <w:ilvl w:val="0"/>
                <w:numId w:val="1"/>
              </w:numPr>
              <w:tabs>
                <w:tab w:val="left" w:pos="604"/>
              </w:tabs>
              <w:ind w:left="-105" w:firstLine="426"/>
              <w:jc w:val="both"/>
              <w:rPr>
                <w:rFonts w:ascii="Arial" w:hAnsi="Arial" w:cs="Arial"/>
                <w:sz w:val="18"/>
                <w:szCs w:val="18"/>
              </w:rPr>
            </w:pPr>
            <w:r w:rsidRPr="003D3461">
              <w:rPr>
                <w:rFonts w:ascii="Arial" w:hAnsi="Arial" w:cs="Arial"/>
                <w:sz w:val="18"/>
                <w:szCs w:val="18"/>
              </w:rPr>
              <w:t>1 (vieną) specialistą, turintį ypatingojo statinio projekto dalies vadovo atestatą. Statinių grupė: gyvenamieji ir negyvenamieji pastatai. Inžineriniai tinklai: kiti inžineriniai statiniai. Projekto dalys: konstrukcijų;</w:t>
            </w:r>
          </w:p>
          <w:p w14:paraId="11C61345" w14:textId="77777777" w:rsidR="003D3461" w:rsidRPr="003D3461" w:rsidRDefault="003D3461" w:rsidP="003D3461">
            <w:pPr>
              <w:pStyle w:val="ListParagraph"/>
              <w:numPr>
                <w:ilvl w:val="0"/>
                <w:numId w:val="1"/>
              </w:numPr>
              <w:tabs>
                <w:tab w:val="left" w:pos="604"/>
              </w:tabs>
              <w:ind w:left="-105" w:firstLine="426"/>
              <w:jc w:val="both"/>
              <w:rPr>
                <w:rFonts w:ascii="Arial" w:hAnsi="Arial" w:cs="Arial"/>
                <w:sz w:val="18"/>
                <w:szCs w:val="18"/>
              </w:rPr>
            </w:pPr>
            <w:r w:rsidRPr="003D3461">
              <w:rPr>
                <w:rFonts w:ascii="Arial" w:hAnsi="Arial" w:cs="Arial"/>
                <w:sz w:val="18"/>
                <w:szCs w:val="18"/>
              </w:rPr>
              <w:t>1 (vieną) specialistą, turintį ypatingojo statinio projekto dalies vykdymo priežiūros vadovo atestatą. Statinių grupė: gyvenamieji ir negyvenamieji pastatai. Inžineriniai tinklai: kiti inžineriniai statiniai. Projekto dalys: konstrukcijų;</w:t>
            </w:r>
          </w:p>
          <w:p w14:paraId="76DDF5F6" w14:textId="77777777" w:rsidR="003D3461" w:rsidRPr="003D3461" w:rsidRDefault="003D3461" w:rsidP="003D3461">
            <w:pPr>
              <w:pStyle w:val="ListParagraph"/>
              <w:numPr>
                <w:ilvl w:val="0"/>
                <w:numId w:val="1"/>
              </w:numPr>
              <w:tabs>
                <w:tab w:val="left" w:pos="604"/>
              </w:tabs>
              <w:ind w:left="-105" w:firstLine="426"/>
              <w:jc w:val="both"/>
              <w:rPr>
                <w:rFonts w:ascii="Arial" w:hAnsi="Arial" w:cs="Arial"/>
                <w:sz w:val="18"/>
                <w:szCs w:val="18"/>
              </w:rPr>
            </w:pPr>
            <w:r w:rsidRPr="003D3461">
              <w:rPr>
                <w:rFonts w:ascii="Arial" w:hAnsi="Arial" w:cs="Arial"/>
                <w:sz w:val="18"/>
                <w:szCs w:val="18"/>
              </w:rPr>
              <w:t xml:space="preserve">1 (vieną) specialistą, turintį ypatingojo statinio specialiųjų statybos darbų vadovo atestatą. Statinių grupė: negyvenamieji pastatai. Inžineriniai tinklai: elektroninių ryšių infrastruktūra. Darbų sritis: statinio elektroninių ryšių (nuotolinio ryšio (telekomunikacijų)) inžinerinių sistemų įrengimas. </w:t>
            </w:r>
          </w:p>
          <w:p w14:paraId="3C31CB8A" w14:textId="77777777" w:rsidR="003D3461" w:rsidRPr="003D3461" w:rsidRDefault="003D3461" w:rsidP="003D3461">
            <w:pPr>
              <w:pStyle w:val="ListParagraph"/>
              <w:numPr>
                <w:ilvl w:val="0"/>
                <w:numId w:val="1"/>
              </w:numPr>
              <w:tabs>
                <w:tab w:val="left" w:pos="604"/>
              </w:tabs>
              <w:ind w:left="-105" w:firstLine="426"/>
              <w:jc w:val="both"/>
              <w:rPr>
                <w:rFonts w:ascii="Arial" w:hAnsi="Arial" w:cs="Arial"/>
                <w:sz w:val="18"/>
                <w:szCs w:val="18"/>
              </w:rPr>
            </w:pPr>
            <w:r w:rsidRPr="003D3461">
              <w:rPr>
                <w:rFonts w:ascii="Arial" w:hAnsi="Arial" w:cs="Arial"/>
                <w:sz w:val="18"/>
                <w:szCs w:val="18"/>
              </w:rPr>
              <w:t xml:space="preserve">1 (vieną) specialistą, turintį aukštalipio – darbų vadovo pažymėjimą. </w:t>
            </w:r>
          </w:p>
          <w:p w14:paraId="5D5A39A2" w14:textId="7F6A88F9" w:rsidR="003D3461" w:rsidRPr="003D3461" w:rsidRDefault="003D3461" w:rsidP="003D3461">
            <w:pPr>
              <w:pStyle w:val="ListParagraph"/>
              <w:numPr>
                <w:ilvl w:val="0"/>
                <w:numId w:val="1"/>
              </w:numPr>
              <w:tabs>
                <w:tab w:val="left" w:pos="604"/>
              </w:tabs>
              <w:ind w:left="-105" w:firstLine="426"/>
              <w:jc w:val="both"/>
              <w:rPr>
                <w:rFonts w:ascii="Arial" w:hAnsi="Arial" w:cs="Arial"/>
                <w:sz w:val="18"/>
                <w:szCs w:val="18"/>
              </w:rPr>
            </w:pPr>
            <w:r w:rsidRPr="2827D5AD">
              <w:rPr>
                <w:rFonts w:ascii="Arial" w:hAnsi="Arial" w:cs="Arial"/>
                <w:sz w:val="18"/>
                <w:szCs w:val="18"/>
              </w:rPr>
              <w:t xml:space="preserve">1 (vieną) specialistą, turintį </w:t>
            </w:r>
            <w:r w:rsidR="34D754B3" w:rsidRPr="2827D5AD">
              <w:rPr>
                <w:rFonts w:ascii="Arial" w:hAnsi="Arial" w:cs="Arial"/>
                <w:sz w:val="18"/>
                <w:szCs w:val="18"/>
              </w:rPr>
              <w:t xml:space="preserve">(aukštalipio) </w:t>
            </w:r>
            <w:r w:rsidRPr="2827D5AD">
              <w:rPr>
                <w:rFonts w:ascii="Arial" w:hAnsi="Arial" w:cs="Arial"/>
                <w:sz w:val="18"/>
                <w:szCs w:val="18"/>
              </w:rPr>
              <w:t xml:space="preserve">darbininko pažymėjimą. </w:t>
            </w:r>
          </w:p>
          <w:p w14:paraId="6961E726" w14:textId="77777777" w:rsidR="003D3461" w:rsidRPr="003D3461" w:rsidRDefault="003D3461" w:rsidP="00CE52B3">
            <w:pPr>
              <w:tabs>
                <w:tab w:val="left" w:pos="604"/>
              </w:tabs>
              <w:jc w:val="both"/>
              <w:rPr>
                <w:rFonts w:ascii="Arial" w:hAnsi="Arial" w:cs="Arial"/>
                <w:sz w:val="18"/>
                <w:szCs w:val="18"/>
              </w:rPr>
            </w:pPr>
          </w:p>
          <w:p w14:paraId="6BED7AD6" w14:textId="77777777" w:rsidR="003D3461" w:rsidRPr="003D3461" w:rsidRDefault="003D3461" w:rsidP="00CE52B3">
            <w:pPr>
              <w:jc w:val="both"/>
              <w:rPr>
                <w:rFonts w:ascii="Arial" w:hAnsi="Arial" w:cs="Arial"/>
                <w:sz w:val="18"/>
                <w:szCs w:val="18"/>
              </w:rPr>
            </w:pPr>
            <w:r w:rsidRPr="003D3461">
              <w:rPr>
                <w:rFonts w:ascii="Arial" w:hAnsi="Arial" w:cs="Arial"/>
                <w:sz w:val="18"/>
                <w:szCs w:val="18"/>
              </w:rPr>
              <w:t>Jei pasiūlymą teikia Tiekėjų grupė – reikalavimą turi atitikti Tiekėjų grupės nario (-</w:t>
            </w:r>
            <w:proofErr w:type="spellStart"/>
            <w:r w:rsidRPr="003D3461">
              <w:rPr>
                <w:rFonts w:ascii="Arial" w:hAnsi="Arial" w:cs="Arial"/>
                <w:sz w:val="18"/>
                <w:szCs w:val="18"/>
              </w:rPr>
              <w:t>ių</w:t>
            </w:r>
            <w:proofErr w:type="spellEnd"/>
            <w:r w:rsidRPr="003D3461">
              <w:rPr>
                <w:rFonts w:ascii="Arial" w:hAnsi="Arial" w:cs="Arial"/>
                <w:sz w:val="18"/>
                <w:szCs w:val="18"/>
              </w:rPr>
              <w:t>) specialistai, atsižvelgiant į jų prisiimamus įsipareigojimus.</w:t>
            </w:r>
          </w:p>
          <w:p w14:paraId="108E6260" w14:textId="77777777" w:rsidR="003D3461" w:rsidRPr="003D3461" w:rsidRDefault="003D3461" w:rsidP="00CE52B3">
            <w:pPr>
              <w:jc w:val="both"/>
              <w:rPr>
                <w:rFonts w:ascii="Arial" w:hAnsi="Arial" w:cs="Arial"/>
                <w:sz w:val="18"/>
                <w:szCs w:val="18"/>
              </w:rPr>
            </w:pPr>
            <w:r w:rsidRPr="003D3461">
              <w:rPr>
                <w:rFonts w:ascii="Arial" w:hAnsi="Arial" w:cs="Arial"/>
                <w:sz w:val="18"/>
                <w:szCs w:val="18"/>
              </w:rPr>
              <w:t xml:space="preserve">Jei Tiekėjas (Tiekėjo specialistas) atitinka keliamą reikalavimą, tačiau  veiklai, kuriai reikalinga nustatyta kvalifikacija, Tiekėjas ketina pasitelkti </w:t>
            </w:r>
            <w:proofErr w:type="spellStart"/>
            <w:r w:rsidRPr="003D3461">
              <w:rPr>
                <w:rFonts w:ascii="Arial" w:hAnsi="Arial" w:cs="Arial"/>
                <w:sz w:val="18"/>
                <w:szCs w:val="18"/>
              </w:rPr>
              <w:t>sutiekėjus</w:t>
            </w:r>
            <w:proofErr w:type="spellEnd"/>
            <w:r w:rsidRPr="003D3461">
              <w:rPr>
                <w:rFonts w:ascii="Arial" w:hAnsi="Arial" w:cs="Arial"/>
                <w:sz w:val="18"/>
                <w:szCs w:val="18"/>
              </w:rPr>
              <w:t xml:space="preserve"> (specialistus), tokie specialistai taip pat turi atitikti keliamus reikalavimus. </w:t>
            </w:r>
          </w:p>
          <w:p w14:paraId="4160AF74" w14:textId="77777777" w:rsidR="003D3461" w:rsidRPr="003D3461" w:rsidRDefault="003D3461" w:rsidP="00CE52B3">
            <w:pPr>
              <w:pStyle w:val="NormalWeb"/>
              <w:jc w:val="both"/>
              <w:rPr>
                <w:rFonts w:ascii="Arial" w:hAnsi="Arial" w:cs="Arial"/>
                <w:sz w:val="18"/>
                <w:szCs w:val="18"/>
              </w:rPr>
            </w:pPr>
            <w:r w:rsidRPr="003D3461">
              <w:rPr>
                <w:rFonts w:ascii="Arial" w:hAnsi="Arial" w:cs="Arial"/>
                <w:sz w:val="18"/>
                <w:szCs w:val="18"/>
              </w:rPr>
              <w:t>Tiekėjo specialistas gali atitikti vieną ar kelis Kvalifikacijos reikalavimus, Tiekėjui pateikus atitinkamus dokumentus, įrodančius specialisto atitiktį nurodytiems Kvalifikacijos reikalavimams.</w:t>
            </w:r>
          </w:p>
          <w:p w14:paraId="3537BFEC" w14:textId="77777777" w:rsidR="003D3461" w:rsidRPr="003D3461" w:rsidRDefault="003D3461" w:rsidP="00CE52B3">
            <w:pPr>
              <w:pStyle w:val="NormalWeb"/>
              <w:jc w:val="both"/>
              <w:rPr>
                <w:rFonts w:ascii="Arial" w:hAnsi="Arial" w:cs="Arial"/>
                <w:sz w:val="18"/>
                <w:szCs w:val="18"/>
              </w:rPr>
            </w:pPr>
            <w:r w:rsidRPr="003D3461">
              <w:rPr>
                <w:rFonts w:ascii="Arial" w:hAnsi="Arial" w:cs="Arial"/>
                <w:sz w:val="18"/>
                <w:szCs w:val="18"/>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w:t>
            </w:r>
          </w:p>
          <w:p w14:paraId="36CA7EDA" w14:textId="77777777" w:rsidR="003D3461" w:rsidRPr="003D3461" w:rsidRDefault="003D3461" w:rsidP="00CE52B3">
            <w:pPr>
              <w:tabs>
                <w:tab w:val="left" w:pos="604"/>
              </w:tabs>
              <w:jc w:val="both"/>
              <w:rPr>
                <w:rFonts w:ascii="Arial" w:hAnsi="Arial" w:cs="Arial"/>
                <w:sz w:val="18"/>
                <w:szCs w:val="18"/>
              </w:rPr>
            </w:pPr>
          </w:p>
        </w:tc>
        <w:tc>
          <w:tcPr>
            <w:tcW w:w="4536" w:type="dxa"/>
            <w:vMerge w:val="restart"/>
          </w:tcPr>
          <w:p w14:paraId="11713AEE" w14:textId="77777777" w:rsidR="003D3461" w:rsidRPr="00CE52B3" w:rsidRDefault="003D3461" w:rsidP="00CE52B3">
            <w:pPr>
              <w:tabs>
                <w:tab w:val="left" w:pos="567"/>
              </w:tabs>
              <w:jc w:val="both"/>
              <w:rPr>
                <w:rFonts w:ascii="Arial" w:hAnsi="Arial" w:cs="Arial"/>
              </w:rPr>
            </w:pPr>
            <w:r w:rsidRPr="00CE52B3">
              <w:rPr>
                <w:rFonts w:ascii="Arial" w:hAnsi="Arial" w:cs="Arial"/>
              </w:rPr>
              <w:t>PATEIKIAMOS šių dokumentų kopijos arba nuorodos į nacionalines duomenų bazes bet kurioje valstybėje narėje, prie kurių pirkimo vykdytojas turės galimybę tiesiogiai ir neatlygintinai prisijungusi ir susipažinti su reikalaujamais dokumentais ir (ar) informacija:</w:t>
            </w:r>
          </w:p>
          <w:p w14:paraId="3FEE65BF" w14:textId="77777777" w:rsidR="003D3461" w:rsidRPr="00CE52B3" w:rsidRDefault="003D3461" w:rsidP="003D3461">
            <w:pPr>
              <w:pStyle w:val="ListParagraph"/>
              <w:numPr>
                <w:ilvl w:val="0"/>
                <w:numId w:val="2"/>
              </w:numPr>
              <w:tabs>
                <w:tab w:val="left" w:pos="567"/>
              </w:tabs>
              <w:jc w:val="both"/>
              <w:rPr>
                <w:rFonts w:ascii="Arial" w:hAnsi="Arial" w:cs="Arial"/>
              </w:rPr>
            </w:pPr>
            <w:r w:rsidRPr="00CE52B3">
              <w:rPr>
                <w:rFonts w:ascii="Arial" w:hAnsi="Arial" w:cs="Arial"/>
              </w:rPr>
              <w:t>Reikalaujamą kvalifikaciją liudijančių galiojančių sertifikatų ir/ar atestatų ir/ar  kitų dokumentų kopijos. Informacija pateikiama apie kiekvieną siūlomą Tiekėjo komandos specialistą, atitinkantį nustatytus kvalifikacijos reikalavimus.</w:t>
            </w:r>
          </w:p>
          <w:p w14:paraId="37C22D73" w14:textId="77777777" w:rsidR="003D3461" w:rsidRPr="00CE52B3" w:rsidRDefault="003D3461" w:rsidP="00CE52B3">
            <w:pPr>
              <w:tabs>
                <w:tab w:val="left" w:pos="567"/>
              </w:tabs>
              <w:jc w:val="both"/>
              <w:rPr>
                <w:rFonts w:ascii="Arial" w:hAnsi="Arial" w:cs="Arial"/>
                <w:bCs/>
              </w:rPr>
            </w:pPr>
            <w:r w:rsidRPr="00CE52B3">
              <w:rPr>
                <w:rFonts w:ascii="Arial" w:hAnsi="Arial" w:cs="Arial"/>
                <w:bCs/>
              </w:rPr>
              <w:t>Užpildoma Paraiškos formos Priede Nr. __ pateikta lentelė.</w:t>
            </w:r>
          </w:p>
          <w:p w14:paraId="2F565F2F" w14:textId="77777777" w:rsidR="003D3461" w:rsidRPr="00CE52B3" w:rsidRDefault="003D3461" w:rsidP="00CE52B3">
            <w:pPr>
              <w:rPr>
                <w:rFonts w:ascii="Arial" w:hAnsi="Arial" w:cs="Arial"/>
              </w:rPr>
            </w:pPr>
          </w:p>
          <w:p w14:paraId="1F8E4FB7" w14:textId="77777777" w:rsidR="003D3461" w:rsidRPr="00CE52B3" w:rsidRDefault="003D3461" w:rsidP="00CE52B3">
            <w:pPr>
              <w:jc w:val="both"/>
              <w:rPr>
                <w:rFonts w:ascii="Arial" w:hAnsi="Arial" w:cs="Arial"/>
              </w:rPr>
            </w:pPr>
            <w:r w:rsidRPr="00CE52B3">
              <w:rPr>
                <w:rFonts w:ascii="Arial" w:hAnsi="Arial" w:cs="Arial"/>
              </w:rPr>
              <w:t>Pastaba: jeigu šį kvalifikacinį reikalavimą tenkina užsienio šalyje registruotas Tiekėjas, prašome atkreipti dėmesį į BPS 5.10 punkto nuostatą.</w:t>
            </w:r>
          </w:p>
          <w:p w14:paraId="3194D774" w14:textId="77777777" w:rsidR="003D3461" w:rsidRPr="00CE52B3" w:rsidRDefault="003D3461" w:rsidP="00CE52B3">
            <w:pPr>
              <w:rPr>
                <w:rFonts w:ascii="Arial" w:hAnsi="Arial" w:cs="Arial"/>
                <w:b/>
                <w:bCs/>
              </w:rPr>
            </w:pPr>
          </w:p>
        </w:tc>
      </w:tr>
      <w:tr w:rsidR="003D3461" w:rsidRPr="00203C60" w14:paraId="1E8CDC36" w14:textId="77777777" w:rsidTr="2827D5AD">
        <w:trPr>
          <w:trHeight w:val="230"/>
        </w:trPr>
        <w:tc>
          <w:tcPr>
            <w:tcW w:w="567" w:type="dxa"/>
            <w:vMerge/>
          </w:tcPr>
          <w:p w14:paraId="29B8E1AE" w14:textId="77777777" w:rsidR="003D3461" w:rsidRPr="00203C60" w:rsidRDefault="003D3461" w:rsidP="00CE52B3">
            <w:pPr>
              <w:jc w:val="center"/>
              <w:rPr>
                <w:rFonts w:cs="Arial"/>
                <w:b/>
                <w:bCs/>
              </w:rPr>
            </w:pPr>
          </w:p>
        </w:tc>
        <w:tc>
          <w:tcPr>
            <w:tcW w:w="4536" w:type="dxa"/>
            <w:vMerge/>
          </w:tcPr>
          <w:p w14:paraId="34B68E8D" w14:textId="77777777" w:rsidR="003D3461" w:rsidRPr="00203C60" w:rsidRDefault="003D3461" w:rsidP="00CE52B3">
            <w:pPr>
              <w:jc w:val="center"/>
              <w:rPr>
                <w:rFonts w:cs="Arial"/>
                <w:b/>
                <w:bCs/>
              </w:rPr>
            </w:pPr>
          </w:p>
        </w:tc>
        <w:tc>
          <w:tcPr>
            <w:tcW w:w="4536" w:type="dxa"/>
            <w:vMerge/>
          </w:tcPr>
          <w:p w14:paraId="5A8795DB" w14:textId="77777777" w:rsidR="003D3461" w:rsidRPr="00203C60" w:rsidRDefault="003D3461" w:rsidP="00CE52B3">
            <w:pPr>
              <w:jc w:val="center"/>
              <w:rPr>
                <w:rFonts w:cs="Arial"/>
                <w:b/>
                <w:bCs/>
              </w:rPr>
            </w:pPr>
          </w:p>
        </w:tc>
      </w:tr>
      <w:tr w:rsidR="003D3461" w:rsidRPr="00203C60" w14:paraId="7DD5BAD3" w14:textId="77777777" w:rsidTr="2827D5AD">
        <w:trPr>
          <w:trHeight w:val="230"/>
        </w:trPr>
        <w:tc>
          <w:tcPr>
            <w:tcW w:w="567" w:type="dxa"/>
            <w:vMerge/>
          </w:tcPr>
          <w:p w14:paraId="1CE8BB71" w14:textId="77777777" w:rsidR="003D3461" w:rsidRPr="00203C60" w:rsidRDefault="003D3461" w:rsidP="00CE52B3">
            <w:pPr>
              <w:jc w:val="center"/>
              <w:rPr>
                <w:rFonts w:cs="Arial"/>
                <w:b/>
                <w:bCs/>
              </w:rPr>
            </w:pPr>
          </w:p>
        </w:tc>
        <w:tc>
          <w:tcPr>
            <w:tcW w:w="4536" w:type="dxa"/>
            <w:vMerge/>
          </w:tcPr>
          <w:p w14:paraId="276B9DE4" w14:textId="77777777" w:rsidR="003D3461" w:rsidRPr="00203C60" w:rsidRDefault="003D3461" w:rsidP="00CE52B3">
            <w:pPr>
              <w:jc w:val="center"/>
              <w:rPr>
                <w:rFonts w:cs="Arial"/>
                <w:b/>
                <w:bCs/>
              </w:rPr>
            </w:pPr>
          </w:p>
        </w:tc>
        <w:tc>
          <w:tcPr>
            <w:tcW w:w="4536" w:type="dxa"/>
            <w:vMerge/>
          </w:tcPr>
          <w:p w14:paraId="66950460" w14:textId="77777777" w:rsidR="003D3461" w:rsidRPr="00203C60" w:rsidRDefault="003D3461" w:rsidP="00CE52B3">
            <w:pPr>
              <w:jc w:val="center"/>
              <w:rPr>
                <w:rFonts w:cs="Arial"/>
                <w:b/>
                <w:bCs/>
              </w:rPr>
            </w:pPr>
          </w:p>
        </w:tc>
      </w:tr>
    </w:tbl>
    <w:p w14:paraId="2FBCE0C2" w14:textId="77777777" w:rsidR="003D3461" w:rsidRPr="003D3461" w:rsidRDefault="003D3461" w:rsidP="003D3461">
      <w:pPr>
        <w:jc w:val="center"/>
        <w:rPr>
          <w:rFonts w:ascii="Arial" w:hAnsi="Arial" w:cs="Arial"/>
          <w:b/>
          <w:bCs/>
        </w:rPr>
      </w:pPr>
    </w:p>
    <w:sectPr w:rsidR="003D3461" w:rsidRPr="003D34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23F57"/>
    <w:multiLevelType w:val="hybridMultilevel"/>
    <w:tmpl w:val="ECC61FB2"/>
    <w:lvl w:ilvl="0" w:tplc="78C0F5CA">
      <w:start w:val="1"/>
      <w:numFmt w:val="decimal"/>
      <w:lvlText w:val="%1)"/>
      <w:lvlJc w:val="left"/>
      <w:pPr>
        <w:ind w:left="717" w:hanging="360"/>
      </w:pPr>
      <w:rPr>
        <w:rFonts w:hint="default"/>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DA943FF"/>
    <w:multiLevelType w:val="hybridMultilevel"/>
    <w:tmpl w:val="80D26CA8"/>
    <w:lvl w:ilvl="0" w:tplc="FFFFFFFF">
      <w:start w:val="1"/>
      <w:numFmt w:val="decimal"/>
      <w:lvlText w:val="%1)"/>
      <w:lvlJc w:val="left"/>
      <w:pPr>
        <w:ind w:left="717" w:hanging="360"/>
      </w:pPr>
      <w:rPr>
        <w:rFonts w:hint="default"/>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37233924">
    <w:abstractNumId w:val="1"/>
  </w:num>
  <w:num w:numId="2" w16cid:durableId="90406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99"/>
    <w:rsid w:val="00157997"/>
    <w:rsid w:val="001C774E"/>
    <w:rsid w:val="00205617"/>
    <w:rsid w:val="00317F6A"/>
    <w:rsid w:val="003D3461"/>
    <w:rsid w:val="00561518"/>
    <w:rsid w:val="00842EBF"/>
    <w:rsid w:val="00C86198"/>
    <w:rsid w:val="00CE52B3"/>
    <w:rsid w:val="00D477DC"/>
    <w:rsid w:val="00DE5FAC"/>
    <w:rsid w:val="00F12894"/>
    <w:rsid w:val="00F37999"/>
    <w:rsid w:val="00F70756"/>
    <w:rsid w:val="13CFF653"/>
    <w:rsid w:val="2827D5AD"/>
    <w:rsid w:val="34D754B3"/>
    <w:rsid w:val="35594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46B5"/>
  <w15:chartTrackingRefBased/>
  <w15:docId w15:val="{55710D90-502E-49B1-AB47-018653E6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999"/>
    <w:rPr>
      <w:rFonts w:eastAsiaTheme="majorEastAsia" w:cstheme="majorBidi"/>
      <w:color w:val="272727" w:themeColor="text1" w:themeTint="D8"/>
    </w:rPr>
  </w:style>
  <w:style w:type="paragraph" w:styleId="Title">
    <w:name w:val="Title"/>
    <w:basedOn w:val="Normal"/>
    <w:next w:val="Normal"/>
    <w:link w:val="TitleChar"/>
    <w:uiPriority w:val="10"/>
    <w:qFormat/>
    <w:rsid w:val="00F3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999"/>
    <w:pPr>
      <w:spacing w:before="160"/>
      <w:jc w:val="center"/>
    </w:pPr>
    <w:rPr>
      <w:i/>
      <w:iCs/>
      <w:color w:val="404040" w:themeColor="text1" w:themeTint="BF"/>
    </w:rPr>
  </w:style>
  <w:style w:type="character" w:customStyle="1" w:styleId="QuoteChar">
    <w:name w:val="Quote Char"/>
    <w:basedOn w:val="DefaultParagraphFont"/>
    <w:link w:val="Quote"/>
    <w:uiPriority w:val="29"/>
    <w:rsid w:val="00F3799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F37999"/>
    <w:pPr>
      <w:ind w:left="720"/>
      <w:contextualSpacing/>
    </w:pPr>
  </w:style>
  <w:style w:type="character" w:styleId="IntenseEmphasis">
    <w:name w:val="Intense Emphasis"/>
    <w:basedOn w:val="DefaultParagraphFont"/>
    <w:uiPriority w:val="21"/>
    <w:qFormat/>
    <w:rsid w:val="00F37999"/>
    <w:rPr>
      <w:i/>
      <w:iCs/>
      <w:color w:val="0F4761" w:themeColor="accent1" w:themeShade="BF"/>
    </w:rPr>
  </w:style>
  <w:style w:type="paragraph" w:styleId="IntenseQuote">
    <w:name w:val="Intense Quote"/>
    <w:basedOn w:val="Normal"/>
    <w:next w:val="Normal"/>
    <w:link w:val="IntenseQuoteChar"/>
    <w:uiPriority w:val="30"/>
    <w:qFormat/>
    <w:rsid w:val="00F3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999"/>
    <w:rPr>
      <w:i/>
      <w:iCs/>
      <w:color w:val="0F4761" w:themeColor="accent1" w:themeShade="BF"/>
    </w:rPr>
  </w:style>
  <w:style w:type="character" w:styleId="IntenseReference">
    <w:name w:val="Intense Reference"/>
    <w:basedOn w:val="DefaultParagraphFont"/>
    <w:uiPriority w:val="32"/>
    <w:qFormat/>
    <w:rsid w:val="00F37999"/>
    <w:rPr>
      <w:b/>
      <w:bCs/>
      <w:smallCaps/>
      <w:color w:val="0F4761" w:themeColor="accent1" w:themeShade="BF"/>
      <w:spacing w:val="5"/>
    </w:rPr>
  </w:style>
  <w:style w:type="table" w:styleId="TableGrid">
    <w:name w:val="Table Grid"/>
    <w:basedOn w:val="TableNormal"/>
    <w:uiPriority w:val="39"/>
    <w:rsid w:val="003D346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D3461"/>
  </w:style>
  <w:style w:type="paragraph" w:styleId="NormalWeb">
    <w:name w:val="Normal (Web)"/>
    <w:basedOn w:val="Normal"/>
    <w:uiPriority w:val="99"/>
    <w:unhideWhenUsed/>
    <w:rsid w:val="003D346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0275DBC6ACB458DD1F1BBD9346098" ma:contentTypeVersion="13" ma:contentTypeDescription="Create a new document." ma:contentTypeScope="" ma:versionID="962bc1387467ca9d16369d8396e23ab1">
  <xsd:schema xmlns:xsd="http://www.w3.org/2001/XMLSchema" xmlns:xs="http://www.w3.org/2001/XMLSchema" xmlns:p="http://schemas.microsoft.com/office/2006/metadata/properties" xmlns:ns2="945a753d-427b-4467-a0cc-c17659566d1c" xmlns:ns3="457c5614-eaf5-4a9a-bcc1-64bddacf2024" targetNamespace="http://schemas.microsoft.com/office/2006/metadata/properties" ma:root="true" ma:fieldsID="5d45606d576bb8fd7f742956f6bf0a34" ns2:_="" ns3:_="">
    <xsd:import namespace="945a753d-427b-4467-a0cc-c17659566d1c"/>
    <xsd:import namespace="457c5614-eaf5-4a9a-bcc1-64bddacf2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753d-427b-4467-a0cc-c1765956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c5614-eaf5-4a9a-bcc1-64bddacf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8e6b9c-0dda-43aa-a3b8-62643d57b464}" ma:internalName="TaxCatchAll" ma:showField="CatchAllData" ma:web="457c5614-eaf5-4a9a-bcc1-64bddacf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7c5614-eaf5-4a9a-bcc1-64bddacf2024" xsi:nil="true"/>
    <lcf76f155ced4ddcb4097134ff3c332f xmlns="945a753d-427b-4467-a0cc-c17659566d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9A92F-A342-40FE-A512-AE8B9ACBC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753d-427b-4467-a0cc-c17659566d1c"/>
    <ds:schemaRef ds:uri="457c5614-eaf5-4a9a-bcc1-64bddacf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1F330-8A8C-4ABE-9641-43C1F786E1BA}">
  <ds:schemaRefs>
    <ds:schemaRef ds:uri="http://schemas.microsoft.com/sharepoint/v3/contenttype/forms"/>
  </ds:schemaRefs>
</ds:datastoreItem>
</file>

<file path=customXml/itemProps3.xml><?xml version="1.0" encoding="utf-8"?>
<ds:datastoreItem xmlns:ds="http://schemas.openxmlformats.org/officeDocument/2006/customXml" ds:itemID="{CDDA27D5-C1A4-4A0C-98E3-6F0088E8A5F0}">
  <ds:schemaRefs>
    <ds:schemaRef ds:uri="457c5614-eaf5-4a9a-bcc1-64bddacf2024"/>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945a753d-427b-4467-a0cc-c17659566d1c"/>
    <ds:schemaRef ds:uri="http://www.w3.org/XML/1998/namespace"/>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2885</Characters>
  <Application>Microsoft Office Word</Application>
  <DocSecurity>4</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Zaleckienė</dc:creator>
  <cp:keywords/>
  <dc:description/>
  <cp:lastModifiedBy>Indrė Zaleckienė</cp:lastModifiedBy>
  <cp:revision>7</cp:revision>
  <dcterms:created xsi:type="dcterms:W3CDTF">2025-01-22T21:21:00Z</dcterms:created>
  <dcterms:modified xsi:type="dcterms:W3CDTF">2025-01-27T11:43:00Z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0x0101003EC0275DBC6ACB458DD1F1BBD9346098</vt:lpwstr>
  </property>
  <property fmtid="{D5CDD505-2E9C-101B-9397-08002B2CF9AE}" pid="3" name="MediaServiceImageTags">
    <vt:lpwstr/>
  </property>
</Properties>
</file>