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2BF5B188" w:rsidR="005A5832" w:rsidRPr="00D25950" w:rsidRDefault="0064111F" w:rsidP="00D908B8">
            <w:pPr>
              <w:rPr>
                <w:rFonts w:ascii="Cambria" w:hAnsi="Cambria"/>
                <w:kern w:val="2"/>
                <w:sz w:val="22"/>
                <w:szCs w:val="22"/>
              </w:rPr>
            </w:pPr>
            <w:r>
              <w:rPr>
                <w:rFonts w:ascii="Cambria" w:hAnsi="Cambria"/>
                <w:kern w:val="2"/>
                <w:sz w:val="22"/>
                <w:szCs w:val="22"/>
              </w:rPr>
              <w:t xml:space="preserve">Vienkartinės </w:t>
            </w:r>
            <w:r w:rsidR="00D908B8">
              <w:rPr>
                <w:rFonts w:ascii="Cambria" w:hAnsi="Cambria"/>
                <w:kern w:val="2"/>
                <w:sz w:val="22"/>
                <w:szCs w:val="22"/>
              </w:rPr>
              <w:t>priemonės</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5EA5554E" w:rsidR="00010657" w:rsidRPr="00D25950" w:rsidRDefault="00D44718" w:rsidP="001D48E2">
            <w:pPr>
              <w:jc w:val="both"/>
              <w:rPr>
                <w:rFonts w:ascii="Cambria" w:hAnsi="Cambria" w:cs="Arial"/>
                <w:kern w:val="2"/>
                <w:sz w:val="22"/>
                <w:szCs w:val="22"/>
              </w:rPr>
            </w:pPr>
            <w:r>
              <w:rPr>
                <w:rFonts w:ascii="Cambria" w:hAnsi="Cambria"/>
                <w:kern w:val="2"/>
                <w:sz w:val="22"/>
                <w:szCs w:val="22"/>
              </w:rPr>
              <w:t>+370</w:t>
            </w:r>
            <w:r w:rsidR="00D37E58" w:rsidRPr="00D25950">
              <w:rPr>
                <w:rFonts w:ascii="Cambria" w:hAnsi="Cambria"/>
                <w:kern w:val="2"/>
                <w:sz w:val="22"/>
                <w:szCs w:val="22"/>
              </w:rPr>
              <w:t xml:space="preserve"> 37 326975</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D25950" w14:paraId="5D72CB5D" w14:textId="77777777">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CF223E">
        <w:trPr>
          <w:trHeight w:val="300"/>
        </w:trPr>
        <w:tc>
          <w:tcPr>
            <w:tcW w:w="2704" w:type="dxa"/>
          </w:tcPr>
          <w:p w14:paraId="5D72CB5E" w14:textId="5E3E8143" w:rsidR="005A5832" w:rsidRPr="00D25950" w:rsidRDefault="00D44718"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CF223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CF223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5C0104BD"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64111F">
              <w:rPr>
                <w:rFonts w:ascii="Cambria" w:hAnsi="Cambria"/>
                <w:kern w:val="2"/>
                <w:sz w:val="22"/>
                <w:szCs w:val="22"/>
              </w:rPr>
              <w:t xml:space="preserve">vienkartines </w:t>
            </w:r>
            <w:r w:rsidR="00D908B8" w:rsidRPr="00D908B8">
              <w:rPr>
                <w:rFonts w:ascii="Cambria" w:hAnsi="Cambria"/>
                <w:kern w:val="2"/>
                <w:sz w:val="22"/>
                <w:szCs w:val="22"/>
              </w:rPr>
              <w:t>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496DA282" w14:textId="77777777" w:rsidR="006B2FC8" w:rsidRDefault="006B2FC8" w:rsidP="00415F57">
            <w:pPr>
              <w:jc w:val="both"/>
              <w:rPr>
                <w:rFonts w:ascii="Cambria" w:hAnsi="Cambria"/>
                <w:kern w:val="2"/>
                <w:sz w:val="22"/>
                <w:szCs w:val="22"/>
              </w:rPr>
            </w:pPr>
          </w:p>
          <w:p w14:paraId="35B06CA7" w14:textId="77777777" w:rsidR="006B2FC8" w:rsidRDefault="006B2FC8" w:rsidP="006B2FC8">
            <w:pPr>
              <w:jc w:val="both"/>
              <w:rPr>
                <w:rFonts w:ascii="Cambria" w:hAnsi="Cambria"/>
                <w:kern w:val="2"/>
                <w:sz w:val="22"/>
                <w:szCs w:val="22"/>
              </w:rPr>
            </w:pPr>
            <w:r w:rsidRPr="007C3470">
              <w:rPr>
                <w:rFonts w:ascii="Cambria" w:hAnsi="Cambria"/>
                <w:kern w:val="2"/>
                <w:sz w:val="22"/>
                <w:szCs w:val="22"/>
              </w:rPr>
              <w:lastRenderedPageBreak/>
              <w:t>Tiekėjas įsipareigoja tiekti Prekes, kurių galiojimas būtų ne trumpesnis kaip 12 mėnesių, skaičiuojant nuo Prekių pristatymo Pirkėjui dienos.</w:t>
            </w:r>
          </w:p>
          <w:p w14:paraId="0E001EF6" w14:textId="77777777" w:rsidR="006B2FC8" w:rsidRDefault="006B2FC8" w:rsidP="00415F57">
            <w:pPr>
              <w:jc w:val="both"/>
              <w:rPr>
                <w:rFonts w:ascii="Cambria" w:hAnsi="Cambria"/>
                <w:kern w:val="2"/>
                <w:sz w:val="22"/>
                <w:szCs w:val="22"/>
              </w:rPr>
            </w:pPr>
          </w:p>
          <w:p w14:paraId="7B26AC95" w14:textId="77777777" w:rsidR="00415F57" w:rsidRPr="00415F57" w:rsidRDefault="00415F57" w:rsidP="00415F57">
            <w:pPr>
              <w:jc w:val="both"/>
              <w:rPr>
                <w:rFonts w:ascii="Cambria" w:hAnsi="Cambria"/>
                <w:kern w:val="2"/>
                <w:sz w:val="22"/>
                <w:szCs w:val="22"/>
              </w:rPr>
            </w:pPr>
            <w:r w:rsidRPr="00415F57">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5D72CB6A" w14:textId="2D62BEBD" w:rsidR="0021062C" w:rsidRPr="008E4197" w:rsidRDefault="0021062C" w:rsidP="008A197C">
            <w:pPr>
              <w:jc w:val="both"/>
              <w:rPr>
                <w:rFonts w:ascii="Cambria" w:hAnsi="Cambria"/>
                <w:kern w:val="2"/>
                <w:sz w:val="22"/>
                <w:szCs w:val="22"/>
                <w:highlight w:val="yellow"/>
              </w:rPr>
            </w:pPr>
          </w:p>
        </w:tc>
      </w:tr>
      <w:tr w:rsidR="00D25950" w:rsidRPr="00D25950" w14:paraId="5D72CB6E" w14:textId="77777777" w:rsidTr="00CF223E">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lastRenderedPageBreak/>
              <w:t>3.2. Pirkimo numeris</w:t>
            </w:r>
          </w:p>
        </w:tc>
        <w:tc>
          <w:tcPr>
            <w:tcW w:w="6831" w:type="dxa"/>
            <w:gridSpan w:val="2"/>
          </w:tcPr>
          <w:p w14:paraId="5D72CB6D" w14:textId="72F4E0D9" w:rsidR="005A5832" w:rsidRPr="00D25950" w:rsidRDefault="005912E9" w:rsidP="001D48E2">
            <w:pPr>
              <w:jc w:val="both"/>
              <w:rPr>
                <w:rFonts w:ascii="Cambria" w:hAnsi="Cambria"/>
                <w:kern w:val="2"/>
                <w:sz w:val="22"/>
                <w:szCs w:val="22"/>
              </w:rPr>
            </w:pPr>
            <w:r>
              <w:rPr>
                <w:rFonts w:ascii="Cambria" w:hAnsi="Cambria"/>
                <w:kern w:val="2"/>
                <w:sz w:val="22"/>
                <w:szCs w:val="22"/>
              </w:rPr>
              <w:t xml:space="preserve">Atviro konkurso Nr. </w:t>
            </w:r>
          </w:p>
        </w:tc>
      </w:tr>
      <w:tr w:rsidR="00D25950" w:rsidRPr="00D25950" w14:paraId="5D72CB73" w14:textId="77777777" w:rsidTr="00CF223E">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trPr>
          <w:trHeight w:val="300"/>
        </w:trPr>
        <w:tc>
          <w:tcPr>
            <w:tcW w:w="9535"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CF223E">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6831" w:type="dxa"/>
            <w:gridSpan w:val="2"/>
          </w:tcPr>
          <w:p w14:paraId="12DF1357" w14:textId="77777777" w:rsidR="005A5832"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užsakymo Tiekėjui pateikimo dienos</w:t>
            </w:r>
            <w:r w:rsidRPr="00D25950">
              <w:rPr>
                <w:rFonts w:ascii="Cambria" w:hAnsi="Cambria"/>
                <w:kern w:val="2"/>
                <w:sz w:val="22"/>
                <w:szCs w:val="22"/>
              </w:rPr>
              <w:t xml:space="preserve"> šiuo adresu: </w:t>
            </w:r>
            <w:proofErr w:type="spellStart"/>
            <w:r w:rsidR="00FE3819" w:rsidRPr="00FE3819">
              <w:rPr>
                <w:rFonts w:ascii="Cambria" w:hAnsi="Cambria"/>
                <w:sz w:val="22"/>
                <w:szCs w:val="22"/>
                <w:shd w:val="clear" w:color="auto" w:fill="FFFFFF"/>
              </w:rPr>
              <w:t>Eivenių</w:t>
            </w:r>
            <w:proofErr w:type="spellEnd"/>
            <w:r w:rsidR="00FE3819" w:rsidRPr="00FE3819">
              <w:rPr>
                <w:rFonts w:ascii="Cambria" w:hAnsi="Cambria"/>
                <w:sz w:val="22"/>
                <w:szCs w:val="22"/>
                <w:shd w:val="clear" w:color="auto" w:fill="FFFFFF"/>
              </w:rPr>
              <w:t xml:space="preserve"> g. 2</w:t>
            </w:r>
            <w:r w:rsidR="003458B1" w:rsidRPr="00FE3819">
              <w:rPr>
                <w:rFonts w:ascii="Cambria" w:hAnsi="Cambria"/>
                <w:sz w:val="22"/>
                <w:szCs w:val="22"/>
                <w:shd w:val="clear" w:color="auto" w:fill="FFFFFF"/>
              </w:rPr>
              <w:t>, LT-</w:t>
            </w:r>
            <w:r w:rsidR="00FE3819" w:rsidRPr="00FE3819">
              <w:rPr>
                <w:rFonts w:ascii="Cambria" w:hAnsi="Cambria"/>
                <w:sz w:val="22"/>
                <w:szCs w:val="22"/>
                <w:shd w:val="clear" w:color="auto" w:fill="FFFFFF"/>
              </w:rPr>
              <w:t>50161</w:t>
            </w:r>
            <w:r w:rsidR="003458B1" w:rsidRPr="00FE3819">
              <w:rPr>
                <w:rFonts w:ascii="Cambria" w:hAnsi="Cambria"/>
                <w:sz w:val="22"/>
                <w:szCs w:val="22"/>
                <w:shd w:val="clear" w:color="auto" w:fill="FFFFFF"/>
              </w:rPr>
              <w:t xml:space="preserve"> </w:t>
            </w:r>
            <w:r w:rsidR="00FE3819" w:rsidRPr="00FE3819">
              <w:rPr>
                <w:rFonts w:ascii="Cambria" w:hAnsi="Cambria"/>
                <w:sz w:val="22"/>
                <w:szCs w:val="22"/>
                <w:shd w:val="clear" w:color="auto" w:fill="FFFFFF"/>
              </w:rPr>
              <w:t>Kaunas</w:t>
            </w:r>
            <w:r w:rsidR="003458B1" w:rsidRPr="00FE3819">
              <w:rPr>
                <w:rFonts w:ascii="Cambria" w:hAnsi="Cambria"/>
                <w:sz w:val="22"/>
                <w:szCs w:val="22"/>
                <w:shd w:val="clear" w:color="auto" w:fill="FFFFFF"/>
              </w:rPr>
              <w:t>.</w:t>
            </w:r>
            <w:r w:rsidR="003458B1" w:rsidRPr="00D25950">
              <w:rPr>
                <w:rFonts w:ascii="Cambria" w:hAnsi="Cambria"/>
                <w:sz w:val="22"/>
                <w:szCs w:val="22"/>
                <w:shd w:val="clear" w:color="auto" w:fill="FFFFFF"/>
              </w:rPr>
              <w:t xml:space="preserve"> </w:t>
            </w:r>
          </w:p>
          <w:p w14:paraId="5D72CB77" w14:textId="7B2E2A0E" w:rsidR="006B2FC8" w:rsidRPr="00AE4EAC" w:rsidRDefault="006B2FC8" w:rsidP="001F0F40">
            <w:pPr>
              <w:jc w:val="both"/>
              <w:rPr>
                <w:rFonts w:ascii="Cambria" w:hAnsi="Cambria"/>
                <w:sz w:val="22"/>
                <w:szCs w:val="22"/>
                <w:shd w:val="clear" w:color="auto" w:fill="FFFFFF"/>
              </w:rPr>
            </w:pPr>
          </w:p>
        </w:tc>
      </w:tr>
      <w:tr w:rsidR="00D25950" w:rsidRPr="00D25950" w14:paraId="5D72CB7B" w14:textId="77777777" w:rsidTr="00CF223E">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CF223E">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6831"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CF223E">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CF223E">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6831"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CF223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21062C">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5D5C4D59"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001F0F40">
              <w:rPr>
                <w:rFonts w:ascii="Cambria" w:hAnsi="Cambria"/>
                <w:kern w:val="2"/>
                <w:sz w:val="22"/>
                <w:szCs w:val="22"/>
              </w:rPr>
              <w:t>)</w:t>
            </w:r>
            <w:r w:rsidRPr="00A64D8A">
              <w:rPr>
                <w:rFonts w:ascii="Cambria" w:hAnsi="Cambria"/>
                <w:kern w:val="2"/>
                <w:sz w:val="22"/>
                <w:szCs w:val="22"/>
              </w:rPr>
              <w:t xml:space="preserve"> su PVM.</w:t>
            </w:r>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CF223E">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CF223E">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CF223E">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CF223E">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64111F"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CF223E">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CF223E">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CF223E">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6831"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CF223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F1B3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B3029C">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32EA0059" w14:textId="77777777" w:rsidR="00AF49CA" w:rsidRPr="0073397D" w:rsidRDefault="00B3029C" w:rsidP="0073397D">
            <w:pPr>
              <w:pStyle w:val="ListParagraph"/>
              <w:tabs>
                <w:tab w:val="left" w:pos="426"/>
              </w:tabs>
              <w:spacing w:after="0" w:line="240" w:lineRule="auto"/>
              <w:ind w:left="0"/>
              <w:jc w:val="both"/>
              <w:rPr>
                <w:rFonts w:ascii="Cambria" w:eastAsia="Times New Roman" w:hAnsi="Cambria"/>
                <w:kern w:val="2"/>
              </w:rPr>
            </w:pPr>
            <w:r w:rsidRPr="0073397D">
              <w:rPr>
                <w:rFonts w:ascii="Cambria" w:eastAsia="Times New Roman" w:hAnsi="Cambria"/>
                <w:kern w:val="2"/>
              </w:rPr>
              <w:t>Prekių galiojimas turi būti ne trumpesnis kaip 12 mėnesių, skaičiuojant nuo Prekių pristatymo (jei Techninėje specifikacijoje nenurodyta kitaip).</w:t>
            </w:r>
          </w:p>
          <w:p w14:paraId="5D72CBE8" w14:textId="512FCCBC" w:rsidR="000D40A7" w:rsidRPr="0073397D" w:rsidRDefault="000D40A7" w:rsidP="00906CA1">
            <w:pPr>
              <w:pStyle w:val="ListParagraph"/>
              <w:tabs>
                <w:tab w:val="left" w:pos="426"/>
              </w:tabs>
              <w:spacing w:after="0" w:line="240" w:lineRule="auto"/>
              <w:ind w:left="0"/>
              <w:jc w:val="both"/>
              <w:rPr>
                <w:rFonts w:ascii="Cambria" w:eastAsia="Times New Roman" w:hAnsi="Cambria"/>
                <w:kern w:val="2"/>
              </w:rPr>
            </w:pPr>
          </w:p>
        </w:tc>
      </w:tr>
      <w:tr w:rsidR="00D25950" w:rsidRPr="00D25950" w14:paraId="5D72CBEC" w14:textId="77777777" w:rsidTr="0073397D">
        <w:trPr>
          <w:trHeight w:val="194"/>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Pr>
          <w:p w14:paraId="506FD32D" w14:textId="6D054E2C" w:rsidR="00AF49CA" w:rsidRDefault="00E57084" w:rsidP="009F15D6">
            <w:pPr>
              <w:jc w:val="both"/>
              <w:rPr>
                <w:rFonts w:ascii="Cambria" w:hAnsi="Cambria"/>
                <w:kern w:val="2"/>
                <w:sz w:val="22"/>
                <w:szCs w:val="22"/>
              </w:rPr>
            </w:pPr>
            <w:r w:rsidRPr="00E57084">
              <w:rPr>
                <w:rFonts w:ascii="Cambria" w:hAnsi="Cambria"/>
                <w:kern w:val="2"/>
                <w:sz w:val="22"/>
                <w:szCs w:val="22"/>
              </w:rPr>
              <w:t>Netaikoma</w:t>
            </w:r>
            <w:r>
              <w:rPr>
                <w:rFonts w:ascii="Cambria" w:hAnsi="Cambria"/>
                <w:kern w:val="2"/>
                <w:sz w:val="22"/>
                <w:szCs w:val="22"/>
              </w:rPr>
              <w:t>.</w:t>
            </w:r>
          </w:p>
          <w:p w14:paraId="5D72CBEB" w14:textId="067C6672" w:rsidR="00E57084" w:rsidRPr="00D25950" w:rsidRDefault="00E57084" w:rsidP="009F15D6">
            <w:pPr>
              <w:jc w:val="both"/>
              <w:rPr>
                <w:rFonts w:ascii="Cambria" w:hAnsi="Cambria"/>
                <w:kern w:val="2"/>
                <w:sz w:val="22"/>
                <w:szCs w:val="22"/>
              </w:rPr>
            </w:pPr>
          </w:p>
        </w:tc>
      </w:tr>
      <w:tr w:rsidR="00D25950" w:rsidRPr="00D25950" w14:paraId="5D72CBEE" w14:textId="77777777">
        <w:trPr>
          <w:trHeight w:val="300"/>
        </w:trPr>
        <w:tc>
          <w:tcPr>
            <w:tcW w:w="9535"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D25950" w:rsidRPr="00D25950" w14:paraId="5D72CBF2" w14:textId="77777777" w:rsidTr="00CF223E">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687865" w:rsidRDefault="00687865" w:rsidP="00687865">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trPr>
          <w:trHeight w:val="300"/>
        </w:trPr>
        <w:tc>
          <w:tcPr>
            <w:tcW w:w="9535"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CF223E">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6831"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CF223E">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trPr>
          <w:trHeight w:val="300"/>
        </w:trPr>
        <w:tc>
          <w:tcPr>
            <w:tcW w:w="9535"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CF223E">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CF223E">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77777777"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CF223E">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CF223E">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CF223E">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CF223E">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CF223E">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6831"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CF223E">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CF223E">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6831"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trPr>
          <w:trHeight w:val="300"/>
        </w:trPr>
        <w:tc>
          <w:tcPr>
            <w:tcW w:w="9535"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CF223E">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6831" w:type="dxa"/>
            <w:gridSpan w:val="2"/>
          </w:tcPr>
          <w:p w14:paraId="5D72CC26" w14:textId="26095855" w:rsidR="00AF49CA" w:rsidRDefault="00AF49CA" w:rsidP="00943080">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w:t>
            </w:r>
            <w:r w:rsidR="00FD7BA7" w:rsidRPr="00D25950">
              <w:rPr>
                <w:rFonts w:ascii="Cambria" w:hAnsi="Cambria"/>
                <w:kern w:val="2"/>
                <w:sz w:val="22"/>
                <w:szCs w:val="22"/>
              </w:rPr>
              <w:t>osios Šalies pasirašymo dieną).</w:t>
            </w:r>
          </w:p>
          <w:p w14:paraId="5D72CC27" w14:textId="0073EF99" w:rsidR="00FD7BA7" w:rsidRPr="00D25950" w:rsidRDefault="009512E8" w:rsidP="00F93E72">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D25950" w:rsidRPr="00D25950" w14:paraId="5D72CC2B" w14:textId="77777777" w:rsidTr="00CF223E">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6831" w:type="dxa"/>
            <w:gridSpan w:val="2"/>
          </w:tcPr>
          <w:p w14:paraId="5D72CC2A" w14:textId="699884DD" w:rsidR="00AF49CA" w:rsidRPr="00D25950" w:rsidRDefault="00943080" w:rsidP="00943080">
            <w:pPr>
              <w:jc w:val="both"/>
              <w:rPr>
                <w:rFonts w:ascii="Cambria" w:hAnsi="Cambria"/>
                <w:kern w:val="2"/>
                <w:sz w:val="22"/>
                <w:szCs w:val="22"/>
              </w:rPr>
            </w:pPr>
            <w:r>
              <w:rPr>
                <w:rFonts w:ascii="Cambria" w:hAnsi="Cambria"/>
                <w:kern w:val="2"/>
                <w:sz w:val="22"/>
                <w:szCs w:val="22"/>
              </w:rPr>
              <w:t>Šalių abipusiu rašytiniu Susitarimu Sutarti</w:t>
            </w:r>
            <w:r w:rsidR="00FD7BA7" w:rsidRPr="00D25950">
              <w:rPr>
                <w:rFonts w:ascii="Cambria" w:hAnsi="Cambria"/>
                <w:kern w:val="2"/>
                <w:sz w:val="22"/>
                <w:szCs w:val="22"/>
              </w:rPr>
              <w:t xml:space="preserve">s </w:t>
            </w:r>
            <w:r>
              <w:rPr>
                <w:rFonts w:ascii="Cambria" w:hAnsi="Cambria"/>
                <w:kern w:val="2"/>
                <w:sz w:val="22"/>
                <w:szCs w:val="22"/>
              </w:rPr>
              <w:t>tomis pačiomis sąlygomis gali būti pratęsta</w:t>
            </w:r>
            <w:r w:rsidR="00FD7BA7" w:rsidRPr="00D25950">
              <w:rPr>
                <w:rFonts w:ascii="Cambria" w:hAnsi="Cambria"/>
                <w:kern w:val="2"/>
                <w:sz w:val="22"/>
                <w:szCs w:val="22"/>
              </w:rPr>
              <w:t xml:space="preserve"> 1 (vieną) kartą ne ilgesniam kaip 12 (dvylikos) mėnesių laikotarpiui.</w:t>
            </w:r>
          </w:p>
        </w:tc>
      </w:tr>
      <w:tr w:rsidR="00D25950" w:rsidRPr="00D25950" w14:paraId="5D72CC2D" w14:textId="77777777">
        <w:trPr>
          <w:trHeight w:val="300"/>
        </w:trPr>
        <w:tc>
          <w:tcPr>
            <w:tcW w:w="9535"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1D122D">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6831"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1D122D">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6831"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t>11.2.7. Tiekėjas pažeidžia Bendrųjų sąlygų nuostatas dėl Sutarties vykdymui pasitelkiamų naujų subtiekėjų / esamų subtiekėjų keitimo.</w:t>
            </w:r>
          </w:p>
        </w:tc>
      </w:tr>
      <w:tr w:rsidR="00D25950" w:rsidRPr="00D25950" w14:paraId="5D72CC3E" w14:textId="77777777">
        <w:trPr>
          <w:trHeight w:val="300"/>
        </w:trPr>
        <w:tc>
          <w:tcPr>
            <w:tcW w:w="9535"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t xml:space="preserve">12. APLINKOSAUGINIAI IR SOCIALINIAI KRITERIJAI </w:t>
            </w:r>
          </w:p>
        </w:tc>
      </w:tr>
      <w:tr w:rsidR="00D25950" w:rsidRPr="00D25950" w14:paraId="5D72CC41" w14:textId="77777777" w:rsidTr="001D122D">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1D122D">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6831"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1D122D">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6831"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D122D">
        <w:trPr>
          <w:trHeight w:val="300"/>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6831"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D122D">
        <w:trPr>
          <w:trHeight w:val="300"/>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trPr>
          <w:trHeight w:val="300"/>
        </w:trPr>
        <w:tc>
          <w:tcPr>
            <w:tcW w:w="9535"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1D122D">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6831" w:type="dxa"/>
            <w:gridSpan w:val="2"/>
          </w:tcPr>
          <w:p w14:paraId="0F3DC660"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4FF013C9"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33E7BA"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0A4D9F05" w:rsidR="00196C1A" w:rsidRPr="00D25950" w:rsidRDefault="00D44718" w:rsidP="00D44718">
            <w:pPr>
              <w:jc w:val="both"/>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D25950" w14:paraId="5D72CC58" w14:textId="77777777" w:rsidTr="001D122D">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13.2.</w:t>
            </w:r>
          </w:p>
        </w:tc>
        <w:tc>
          <w:tcPr>
            <w:tcW w:w="6831"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1D122D">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6831"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1D122D">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6831"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1D122D">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6831"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trPr>
          <w:trHeight w:val="300"/>
        </w:trPr>
        <w:tc>
          <w:tcPr>
            <w:tcW w:w="9535"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8B793A" w:rsidRPr="00D25950" w14:paraId="5D72CC66" w14:textId="77777777" w:rsidTr="001D122D">
        <w:trPr>
          <w:trHeight w:val="300"/>
        </w:trPr>
        <w:tc>
          <w:tcPr>
            <w:tcW w:w="2704" w:type="dxa"/>
          </w:tcPr>
          <w:p w14:paraId="5D72CC64" w14:textId="439AD125"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14.1. Priedas Nr. 1</w:t>
            </w:r>
          </w:p>
        </w:tc>
        <w:tc>
          <w:tcPr>
            <w:tcW w:w="6831" w:type="dxa"/>
            <w:gridSpan w:val="2"/>
          </w:tcPr>
          <w:p w14:paraId="5D72CC65" w14:textId="7A7D12E3" w:rsidR="008B793A" w:rsidRPr="00943080" w:rsidRDefault="008B793A" w:rsidP="008B793A">
            <w:pPr>
              <w:jc w:val="both"/>
              <w:rPr>
                <w:rFonts w:ascii="Cambria" w:hAnsi="Cambria"/>
                <w:bCs/>
                <w:kern w:val="2"/>
                <w:sz w:val="22"/>
                <w:szCs w:val="22"/>
              </w:rPr>
            </w:pPr>
            <w:r w:rsidRPr="00943080">
              <w:rPr>
                <w:rFonts w:ascii="Cambria" w:hAnsi="Cambria"/>
                <w:bCs/>
                <w:kern w:val="2"/>
                <w:sz w:val="22"/>
                <w:szCs w:val="22"/>
              </w:rPr>
              <w:t>Techninė specifikacija</w:t>
            </w:r>
            <w:r>
              <w:rPr>
                <w:rFonts w:ascii="Cambria" w:hAnsi="Cambria"/>
                <w:bCs/>
                <w:kern w:val="2"/>
                <w:sz w:val="22"/>
                <w:szCs w:val="22"/>
              </w:rPr>
              <w:t>;</w:t>
            </w:r>
          </w:p>
        </w:tc>
      </w:tr>
      <w:tr w:rsidR="008B793A" w:rsidRPr="00D25950" w14:paraId="5D72CC69" w14:textId="77777777" w:rsidTr="001D122D">
        <w:trPr>
          <w:trHeight w:val="300"/>
        </w:trPr>
        <w:tc>
          <w:tcPr>
            <w:tcW w:w="2704" w:type="dxa"/>
          </w:tcPr>
          <w:p w14:paraId="5D72CC67" w14:textId="65617286"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14.2. Priedas Nr. 2</w:t>
            </w:r>
          </w:p>
        </w:tc>
        <w:tc>
          <w:tcPr>
            <w:tcW w:w="6831" w:type="dxa"/>
            <w:gridSpan w:val="2"/>
          </w:tcPr>
          <w:p w14:paraId="5D72CC68" w14:textId="774A9C1B" w:rsidR="008B793A" w:rsidRPr="00943080" w:rsidRDefault="008B793A" w:rsidP="008B793A">
            <w:pPr>
              <w:jc w:val="both"/>
              <w:rPr>
                <w:rFonts w:ascii="Cambria" w:hAnsi="Cambria"/>
                <w:bCs/>
                <w:kern w:val="2"/>
                <w:sz w:val="22"/>
                <w:szCs w:val="22"/>
              </w:rPr>
            </w:pPr>
            <w:r w:rsidRPr="00943080">
              <w:rPr>
                <w:rFonts w:ascii="Cambria" w:hAnsi="Cambria"/>
                <w:bCs/>
                <w:kern w:val="2"/>
                <w:sz w:val="22"/>
                <w:szCs w:val="22"/>
              </w:rPr>
              <w:t>Prekių žiniaraštis</w:t>
            </w:r>
            <w:r>
              <w:rPr>
                <w:rFonts w:ascii="Cambria" w:hAnsi="Cambria"/>
                <w:bCs/>
                <w:kern w:val="2"/>
                <w:sz w:val="22"/>
                <w:szCs w:val="22"/>
              </w:rPr>
              <w:t>;</w:t>
            </w:r>
          </w:p>
        </w:tc>
      </w:tr>
      <w:tr w:rsidR="008B793A" w:rsidRPr="00D25950" w14:paraId="5D72CC6C" w14:textId="77777777" w:rsidTr="001D122D">
        <w:trPr>
          <w:trHeight w:val="300"/>
        </w:trPr>
        <w:tc>
          <w:tcPr>
            <w:tcW w:w="2704" w:type="dxa"/>
          </w:tcPr>
          <w:p w14:paraId="5D72CC6A" w14:textId="1C39EC15"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14.3. Priedas Nr. 3</w:t>
            </w:r>
          </w:p>
        </w:tc>
        <w:tc>
          <w:tcPr>
            <w:tcW w:w="6831" w:type="dxa"/>
            <w:gridSpan w:val="2"/>
          </w:tcPr>
          <w:p w14:paraId="5D72CC6B" w14:textId="4B7F95D1" w:rsidR="008B793A" w:rsidRPr="00943080" w:rsidRDefault="008B793A" w:rsidP="008B793A">
            <w:pPr>
              <w:jc w:val="both"/>
              <w:rPr>
                <w:rFonts w:ascii="Cambria" w:hAnsi="Cambria"/>
                <w:bCs/>
                <w:kern w:val="2"/>
                <w:sz w:val="22"/>
                <w:szCs w:val="22"/>
              </w:rPr>
            </w:pPr>
            <w:r w:rsidRPr="00943080">
              <w:rPr>
                <w:rFonts w:ascii="Cambria" w:hAnsi="Cambria"/>
                <w:bCs/>
                <w:kern w:val="2"/>
                <w:sz w:val="22"/>
                <w:szCs w:val="22"/>
              </w:rPr>
              <w:t xml:space="preserve">Pirkimo sąlygos </w:t>
            </w:r>
            <w:r w:rsidRPr="00943080">
              <w:rPr>
                <w:rFonts w:ascii="Cambria" w:hAnsi="Cambria"/>
                <w:sz w:val="22"/>
                <w:szCs w:val="22"/>
              </w:rPr>
              <w:t>(</w:t>
            </w:r>
            <w:r w:rsidRPr="00943080">
              <w:rPr>
                <w:rFonts w:ascii="Cambria" w:hAnsi="Cambria"/>
                <w:sz w:val="22"/>
                <w:szCs w:val="22"/>
                <w:lang w:eastAsia="lt-LT"/>
              </w:rPr>
              <w:t>išskyrus dokumentus, kurie pridedami kaip atskiri priedai, nurodyti aukščiau</w:t>
            </w:r>
            <w:r w:rsidRPr="00943080">
              <w:rPr>
                <w:rFonts w:ascii="Cambria" w:hAnsi="Cambria"/>
                <w:sz w:val="22"/>
                <w:szCs w:val="22"/>
              </w:rPr>
              <w:t>) (atskirai nepridedamos);</w:t>
            </w:r>
          </w:p>
        </w:tc>
      </w:tr>
      <w:tr w:rsidR="008B793A" w:rsidRPr="00D25950" w14:paraId="5D72CC6F" w14:textId="77777777" w:rsidTr="001D122D">
        <w:trPr>
          <w:trHeight w:val="300"/>
        </w:trPr>
        <w:tc>
          <w:tcPr>
            <w:tcW w:w="2704" w:type="dxa"/>
          </w:tcPr>
          <w:p w14:paraId="5D72CC6D" w14:textId="2A941A96"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14.4. Priedas Nr. 4</w:t>
            </w:r>
          </w:p>
        </w:tc>
        <w:tc>
          <w:tcPr>
            <w:tcW w:w="6831" w:type="dxa"/>
            <w:gridSpan w:val="2"/>
          </w:tcPr>
          <w:p w14:paraId="5D72CC6E" w14:textId="5D49A5EF" w:rsidR="008B793A" w:rsidRPr="00943080" w:rsidRDefault="008B793A" w:rsidP="008B793A">
            <w:pPr>
              <w:jc w:val="both"/>
              <w:rPr>
                <w:rFonts w:ascii="Cambria" w:hAnsi="Cambria"/>
                <w:bCs/>
                <w:kern w:val="2"/>
                <w:sz w:val="22"/>
                <w:szCs w:val="22"/>
              </w:rPr>
            </w:pPr>
            <w:r>
              <w:rPr>
                <w:rFonts w:ascii="Cambria" w:hAnsi="Cambria"/>
                <w:bCs/>
                <w:kern w:val="2"/>
                <w:sz w:val="22"/>
                <w:szCs w:val="22"/>
              </w:rPr>
              <w:t>Tiekėjo pasiūlymas (atskirai nepridedama</w:t>
            </w:r>
            <w:r w:rsidRPr="006F3699">
              <w:rPr>
                <w:rFonts w:ascii="Cambria" w:hAnsi="Cambria"/>
                <w:bCs/>
                <w:kern w:val="2"/>
                <w:sz w:val="22"/>
                <w:szCs w:val="22"/>
              </w:rPr>
              <w:t>s)</w:t>
            </w:r>
            <w:r>
              <w:rPr>
                <w:rFonts w:ascii="Cambria" w:hAnsi="Cambria"/>
                <w:bCs/>
                <w:kern w:val="2"/>
                <w:sz w:val="22"/>
                <w:szCs w:val="22"/>
              </w:rPr>
              <w:t>;</w:t>
            </w:r>
          </w:p>
        </w:tc>
      </w:tr>
      <w:tr w:rsidR="008B793A" w:rsidRPr="00D25950" w14:paraId="5D72CC72" w14:textId="77777777" w:rsidTr="001D122D">
        <w:trPr>
          <w:trHeight w:val="300"/>
        </w:trPr>
        <w:tc>
          <w:tcPr>
            <w:tcW w:w="2704" w:type="dxa"/>
          </w:tcPr>
          <w:p w14:paraId="5D72CC70" w14:textId="6FCA425F" w:rsidR="008B793A" w:rsidRPr="00D25950" w:rsidRDefault="008B793A" w:rsidP="008B793A">
            <w:pPr>
              <w:jc w:val="both"/>
              <w:rPr>
                <w:rFonts w:ascii="Cambria" w:hAnsi="Cambria"/>
                <w:b/>
                <w:bCs/>
                <w:kern w:val="2"/>
                <w:sz w:val="22"/>
                <w:szCs w:val="22"/>
              </w:rPr>
            </w:pPr>
            <w:r w:rsidRPr="00D25950">
              <w:rPr>
                <w:rFonts w:ascii="Cambria" w:hAnsi="Cambria"/>
                <w:b/>
                <w:bCs/>
                <w:kern w:val="2"/>
                <w:sz w:val="22"/>
                <w:szCs w:val="22"/>
              </w:rPr>
              <w:t>14.5. Priedas Nr. 5</w:t>
            </w:r>
          </w:p>
        </w:tc>
        <w:tc>
          <w:tcPr>
            <w:tcW w:w="6831" w:type="dxa"/>
            <w:gridSpan w:val="2"/>
          </w:tcPr>
          <w:p w14:paraId="5D72CC71" w14:textId="55885BB5" w:rsidR="008B793A" w:rsidRPr="00943080" w:rsidRDefault="008B793A" w:rsidP="008B793A">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E7731E" w:rsidRPr="00D25950" w14:paraId="5D72CC74" w14:textId="77777777">
        <w:tc>
          <w:tcPr>
            <w:tcW w:w="9535" w:type="dxa"/>
            <w:gridSpan w:val="3"/>
          </w:tcPr>
          <w:p w14:paraId="5D72CC73" w14:textId="77777777" w:rsidR="00E7731E" w:rsidRPr="00D25950" w:rsidRDefault="00E7731E" w:rsidP="00E7731E">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E7731E" w:rsidRPr="00D25950" w14:paraId="5D72CC77" w14:textId="77777777">
        <w:tc>
          <w:tcPr>
            <w:tcW w:w="4788" w:type="dxa"/>
            <w:gridSpan w:val="2"/>
          </w:tcPr>
          <w:p w14:paraId="5D72CC75"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PIRKĖJAS</w:t>
            </w:r>
          </w:p>
        </w:tc>
        <w:tc>
          <w:tcPr>
            <w:tcW w:w="4747" w:type="dxa"/>
          </w:tcPr>
          <w:p w14:paraId="5D72CC76"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TIEKĖJAS</w:t>
            </w:r>
          </w:p>
        </w:tc>
      </w:tr>
      <w:tr w:rsidR="00E7731E" w:rsidRPr="00943080" w14:paraId="5D72CC7B" w14:textId="77777777">
        <w:tc>
          <w:tcPr>
            <w:tcW w:w="4788" w:type="dxa"/>
            <w:gridSpan w:val="2"/>
          </w:tcPr>
          <w:p w14:paraId="5D72CC78" w14:textId="77777777" w:rsidR="00E7731E" w:rsidRPr="00D25950" w:rsidRDefault="00E7731E" w:rsidP="00E7731E">
            <w:pPr>
              <w:rPr>
                <w:rFonts w:ascii="Cambria" w:hAnsi="Cambria"/>
                <w:kern w:val="2"/>
                <w:sz w:val="22"/>
                <w:szCs w:val="22"/>
              </w:rPr>
            </w:pPr>
            <w:r w:rsidRPr="00D25950">
              <w:rPr>
                <w:rFonts w:ascii="Cambria" w:hAnsi="Cambria"/>
                <w:kern w:val="2"/>
                <w:sz w:val="22"/>
                <w:szCs w:val="22"/>
              </w:rPr>
              <w:t>Generalinis direktorius</w:t>
            </w:r>
          </w:p>
          <w:p w14:paraId="5D72CC79" w14:textId="77777777" w:rsidR="00E7731E" w:rsidRPr="00D25950" w:rsidRDefault="00E7731E" w:rsidP="00E7731E">
            <w:pPr>
              <w:jc w:val="both"/>
              <w:rPr>
                <w:rFonts w:ascii="Cambria" w:hAnsi="Cambria"/>
                <w:kern w:val="2"/>
                <w:sz w:val="22"/>
                <w:szCs w:val="22"/>
              </w:rPr>
            </w:pPr>
            <w:r w:rsidRPr="00D25950">
              <w:rPr>
                <w:rFonts w:ascii="Cambria" w:hAnsi="Cambria"/>
                <w:kern w:val="2"/>
                <w:sz w:val="22"/>
                <w:szCs w:val="22"/>
              </w:rPr>
              <w:t>prof. habil. dr. Renaldas Jurkevičius</w:t>
            </w:r>
          </w:p>
        </w:tc>
        <w:tc>
          <w:tcPr>
            <w:tcW w:w="4747" w:type="dxa"/>
          </w:tcPr>
          <w:p w14:paraId="5D72CC7A" w14:textId="3D020E18" w:rsidR="00E7731E" w:rsidRPr="00943080" w:rsidRDefault="00E7731E" w:rsidP="00E7731E">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E7731E" w:rsidRPr="00D25950" w14:paraId="5D72CC82" w14:textId="77777777">
        <w:tc>
          <w:tcPr>
            <w:tcW w:w="4788" w:type="dxa"/>
            <w:gridSpan w:val="2"/>
          </w:tcPr>
          <w:p w14:paraId="5D72CC7C" w14:textId="77777777" w:rsidR="00E7731E" w:rsidRPr="00D25950" w:rsidRDefault="00E7731E" w:rsidP="00E7731E">
            <w:pPr>
              <w:jc w:val="both"/>
              <w:rPr>
                <w:rFonts w:ascii="Cambria" w:hAnsi="Cambria"/>
                <w:b/>
                <w:bCs/>
                <w:kern w:val="2"/>
                <w:sz w:val="22"/>
                <w:szCs w:val="22"/>
              </w:rPr>
            </w:pPr>
          </w:p>
          <w:p w14:paraId="5D72CC7D"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E7731E" w:rsidRPr="00D25950" w:rsidRDefault="00E7731E" w:rsidP="00E7731E">
            <w:pPr>
              <w:jc w:val="both"/>
              <w:rPr>
                <w:rFonts w:ascii="Cambria" w:hAnsi="Cambria"/>
                <w:b/>
                <w:bCs/>
                <w:kern w:val="2"/>
                <w:sz w:val="22"/>
                <w:szCs w:val="22"/>
              </w:rPr>
            </w:pPr>
          </w:p>
          <w:p w14:paraId="5D72CC7F" w14:textId="77777777" w:rsidR="00E7731E" w:rsidRPr="00D25950" w:rsidRDefault="00E7731E" w:rsidP="00E7731E">
            <w:pPr>
              <w:jc w:val="both"/>
              <w:rPr>
                <w:rFonts w:ascii="Cambria" w:hAnsi="Cambria"/>
                <w:b/>
                <w:bCs/>
                <w:kern w:val="2"/>
                <w:sz w:val="22"/>
                <w:szCs w:val="22"/>
              </w:rPr>
            </w:pPr>
          </w:p>
        </w:tc>
        <w:tc>
          <w:tcPr>
            <w:tcW w:w="4747" w:type="dxa"/>
          </w:tcPr>
          <w:p w14:paraId="5D72CC80" w14:textId="77777777" w:rsidR="00E7731E" w:rsidRPr="00D25950" w:rsidRDefault="00E7731E" w:rsidP="00E7731E">
            <w:pPr>
              <w:jc w:val="both"/>
              <w:rPr>
                <w:rFonts w:ascii="Cambria" w:hAnsi="Cambria"/>
                <w:b/>
                <w:bCs/>
                <w:kern w:val="2"/>
                <w:sz w:val="22"/>
                <w:szCs w:val="22"/>
              </w:rPr>
            </w:pPr>
          </w:p>
          <w:p w14:paraId="5D72CC81"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tc>
      </w:tr>
    </w:tbl>
    <w:p w14:paraId="6B3324FD" w14:textId="77777777" w:rsidR="008B793A" w:rsidRDefault="008B793A"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317FCF2F" w14:textId="563BACD3"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77777777" w:rsidR="00F82859" w:rsidRPr="00D25950" w:rsidRDefault="00F82859" w:rsidP="00F82859">
      <w:pPr>
        <w:jc w:val="right"/>
        <w:rPr>
          <w:rFonts w:ascii="Cambria" w:hAnsi="Cambria"/>
          <w:sz w:val="22"/>
          <w:szCs w:val="22"/>
        </w:rPr>
      </w:pPr>
    </w:p>
    <w:p w14:paraId="5D72CC99" w14:textId="77777777" w:rsidR="00F82859" w:rsidRPr="00D25950" w:rsidRDefault="00F82859" w:rsidP="00F82859">
      <w:pPr>
        <w:jc w:val="right"/>
        <w:rPr>
          <w:rFonts w:ascii="Cambria" w:hAnsi="Cambria"/>
          <w:sz w:val="22"/>
          <w:szCs w:val="22"/>
        </w:rPr>
      </w:pPr>
    </w:p>
    <w:p w14:paraId="5D72CC9A" w14:textId="2E39EFAC" w:rsidR="00F82859" w:rsidRPr="00D25950" w:rsidRDefault="005912E9" w:rsidP="005912E9">
      <w:pPr>
        <w:jc w:val="center"/>
        <w:rPr>
          <w:rFonts w:ascii="Cambria" w:hAnsi="Cambria"/>
          <w:sz w:val="22"/>
          <w:szCs w:val="22"/>
        </w:rPr>
      </w:pPr>
      <w:r>
        <w:rPr>
          <w:rFonts w:ascii="Cambria" w:hAnsi="Cambria"/>
          <w:sz w:val="22"/>
          <w:szCs w:val="22"/>
        </w:rPr>
        <w:t>____________________________________</w:t>
      </w: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Pr="00D25950" w:rsidRDefault="00F82859" w:rsidP="00F82859">
      <w:pPr>
        <w:jc w:val="right"/>
        <w:rPr>
          <w:rFonts w:ascii="Cambria" w:hAnsi="Cambria"/>
          <w:sz w:val="22"/>
          <w:szCs w:val="22"/>
        </w:rPr>
      </w:pPr>
    </w:p>
    <w:p w14:paraId="5D72CCC5" w14:textId="77777777" w:rsidR="00F82859" w:rsidRDefault="00F82859" w:rsidP="001D48E2">
      <w:pPr>
        <w:jc w:val="both"/>
        <w:rPr>
          <w:rFonts w:ascii="Cambria" w:hAnsi="Cambria"/>
          <w:sz w:val="22"/>
          <w:szCs w:val="22"/>
        </w:rPr>
      </w:pPr>
    </w:p>
    <w:p w14:paraId="7FAC660F" w14:textId="77777777" w:rsidR="005912E9" w:rsidRDefault="005912E9" w:rsidP="001D48E2">
      <w:pPr>
        <w:jc w:val="both"/>
        <w:rPr>
          <w:rFonts w:ascii="Cambria" w:hAnsi="Cambria"/>
          <w:sz w:val="22"/>
          <w:szCs w:val="22"/>
        </w:rPr>
      </w:pPr>
    </w:p>
    <w:p w14:paraId="13D43FB8" w14:textId="509D2978" w:rsidR="005912E9" w:rsidRDefault="005912E9" w:rsidP="005912E9">
      <w:pPr>
        <w:jc w:val="center"/>
        <w:rPr>
          <w:rFonts w:ascii="Cambria" w:hAnsi="Cambria"/>
          <w:sz w:val="22"/>
          <w:szCs w:val="22"/>
        </w:rPr>
      </w:pPr>
      <w:r>
        <w:rPr>
          <w:rFonts w:ascii="Cambria" w:hAnsi="Cambria"/>
          <w:sz w:val="22"/>
          <w:szCs w:val="22"/>
        </w:rPr>
        <w:t>__________________________________</w:t>
      </w:r>
    </w:p>
    <w:p w14:paraId="318ED652" w14:textId="77777777" w:rsidR="00952587" w:rsidRDefault="00952587" w:rsidP="005912E9">
      <w:pPr>
        <w:jc w:val="center"/>
        <w:rPr>
          <w:rFonts w:ascii="Cambria" w:hAnsi="Cambria"/>
          <w:sz w:val="22"/>
          <w:szCs w:val="22"/>
        </w:rPr>
      </w:pPr>
    </w:p>
    <w:p w14:paraId="31410CFB" w14:textId="77777777" w:rsidR="00952587" w:rsidRDefault="00952587" w:rsidP="005912E9">
      <w:pPr>
        <w:jc w:val="center"/>
        <w:rPr>
          <w:rFonts w:ascii="Cambria" w:hAnsi="Cambria"/>
          <w:sz w:val="22"/>
          <w:szCs w:val="22"/>
        </w:rPr>
      </w:pPr>
    </w:p>
    <w:p w14:paraId="279BCC95" w14:textId="77777777" w:rsidR="00952587" w:rsidRDefault="00952587" w:rsidP="005912E9">
      <w:pPr>
        <w:jc w:val="center"/>
        <w:rPr>
          <w:rFonts w:ascii="Cambria" w:hAnsi="Cambria"/>
          <w:sz w:val="22"/>
          <w:szCs w:val="22"/>
        </w:rPr>
      </w:pPr>
    </w:p>
    <w:p w14:paraId="1F0429FA" w14:textId="77777777" w:rsidR="00952587" w:rsidRDefault="00952587" w:rsidP="005912E9">
      <w:pPr>
        <w:jc w:val="center"/>
        <w:rPr>
          <w:rFonts w:ascii="Cambria" w:hAnsi="Cambria"/>
          <w:sz w:val="22"/>
          <w:szCs w:val="22"/>
        </w:rPr>
      </w:pPr>
    </w:p>
    <w:p w14:paraId="7DCB17FC" w14:textId="77777777" w:rsidR="00952587" w:rsidRDefault="00952587" w:rsidP="005912E9">
      <w:pPr>
        <w:jc w:val="center"/>
        <w:rPr>
          <w:rFonts w:ascii="Cambria" w:hAnsi="Cambria"/>
          <w:sz w:val="22"/>
          <w:szCs w:val="22"/>
        </w:rPr>
      </w:pPr>
    </w:p>
    <w:p w14:paraId="73641947" w14:textId="77777777" w:rsidR="00952587" w:rsidRDefault="00952587" w:rsidP="005912E9">
      <w:pPr>
        <w:jc w:val="center"/>
        <w:rPr>
          <w:rFonts w:ascii="Cambria" w:hAnsi="Cambria"/>
          <w:sz w:val="22"/>
          <w:szCs w:val="22"/>
        </w:rPr>
      </w:pPr>
    </w:p>
    <w:p w14:paraId="622AA703" w14:textId="77777777" w:rsidR="00952587" w:rsidRDefault="00952587" w:rsidP="005912E9">
      <w:pPr>
        <w:jc w:val="center"/>
        <w:rPr>
          <w:rFonts w:ascii="Cambria" w:hAnsi="Cambria"/>
          <w:sz w:val="22"/>
          <w:szCs w:val="22"/>
        </w:rPr>
      </w:pPr>
    </w:p>
    <w:p w14:paraId="1955FF6D" w14:textId="77777777" w:rsidR="00952587" w:rsidRDefault="00952587" w:rsidP="005912E9">
      <w:pPr>
        <w:jc w:val="center"/>
        <w:rPr>
          <w:rFonts w:ascii="Cambria" w:hAnsi="Cambria"/>
          <w:sz w:val="22"/>
          <w:szCs w:val="22"/>
        </w:rPr>
      </w:pPr>
      <w:bookmarkStart w:id="0" w:name="_GoBack"/>
      <w:bookmarkEnd w:id="0"/>
    </w:p>
    <w:p w14:paraId="1334AA34" w14:textId="77777777" w:rsidR="00952587" w:rsidRDefault="00952587" w:rsidP="005912E9">
      <w:pPr>
        <w:jc w:val="center"/>
        <w:rPr>
          <w:rFonts w:ascii="Cambria" w:hAnsi="Cambria"/>
          <w:sz w:val="22"/>
          <w:szCs w:val="22"/>
        </w:rPr>
      </w:pPr>
    </w:p>
    <w:p w14:paraId="667249CE" w14:textId="77777777" w:rsidR="00952587" w:rsidRDefault="00952587" w:rsidP="005912E9">
      <w:pPr>
        <w:jc w:val="center"/>
        <w:rPr>
          <w:rFonts w:ascii="Cambria" w:hAnsi="Cambria"/>
          <w:sz w:val="22"/>
          <w:szCs w:val="22"/>
        </w:rPr>
      </w:pPr>
    </w:p>
    <w:p w14:paraId="49865786" w14:textId="77777777" w:rsidR="00952587" w:rsidRDefault="00952587" w:rsidP="005912E9">
      <w:pPr>
        <w:jc w:val="center"/>
        <w:rPr>
          <w:rFonts w:ascii="Cambria" w:hAnsi="Cambria"/>
          <w:sz w:val="22"/>
          <w:szCs w:val="22"/>
        </w:rPr>
      </w:pPr>
    </w:p>
    <w:p w14:paraId="41D89AE7" w14:textId="77777777" w:rsidR="00952587" w:rsidRDefault="00952587" w:rsidP="005912E9">
      <w:pPr>
        <w:jc w:val="center"/>
        <w:rPr>
          <w:rFonts w:ascii="Cambria" w:hAnsi="Cambria"/>
          <w:sz w:val="22"/>
          <w:szCs w:val="22"/>
        </w:rPr>
      </w:pPr>
    </w:p>
    <w:p w14:paraId="2DBB66FC" w14:textId="77777777" w:rsidR="00952587" w:rsidRDefault="00952587" w:rsidP="005912E9">
      <w:pPr>
        <w:jc w:val="center"/>
        <w:rPr>
          <w:rFonts w:ascii="Cambria" w:hAnsi="Cambria"/>
          <w:sz w:val="22"/>
          <w:szCs w:val="22"/>
        </w:rPr>
      </w:pPr>
    </w:p>
    <w:p w14:paraId="096AADF0" w14:textId="77777777" w:rsidR="00952587" w:rsidRDefault="00952587" w:rsidP="005912E9">
      <w:pPr>
        <w:jc w:val="center"/>
        <w:rPr>
          <w:rFonts w:ascii="Cambria" w:hAnsi="Cambria"/>
          <w:sz w:val="22"/>
          <w:szCs w:val="22"/>
        </w:rPr>
      </w:pPr>
    </w:p>
    <w:p w14:paraId="5C9F823D" w14:textId="77777777" w:rsidR="00952587" w:rsidRDefault="00952587" w:rsidP="005912E9">
      <w:pPr>
        <w:jc w:val="center"/>
        <w:rPr>
          <w:rFonts w:ascii="Cambria" w:hAnsi="Cambria"/>
          <w:sz w:val="22"/>
          <w:szCs w:val="22"/>
        </w:rPr>
      </w:pPr>
    </w:p>
    <w:p w14:paraId="6E5444E2" w14:textId="77777777" w:rsidR="00952587" w:rsidRDefault="00952587" w:rsidP="005912E9">
      <w:pPr>
        <w:jc w:val="center"/>
        <w:rPr>
          <w:rFonts w:ascii="Cambria" w:hAnsi="Cambria"/>
          <w:sz w:val="22"/>
          <w:szCs w:val="22"/>
        </w:rPr>
      </w:pPr>
    </w:p>
    <w:p w14:paraId="31E3936E" w14:textId="77777777" w:rsidR="00952587" w:rsidRDefault="00952587" w:rsidP="005912E9">
      <w:pPr>
        <w:jc w:val="center"/>
        <w:rPr>
          <w:rFonts w:ascii="Cambria" w:hAnsi="Cambria"/>
          <w:sz w:val="22"/>
          <w:szCs w:val="22"/>
        </w:rPr>
      </w:pPr>
    </w:p>
    <w:p w14:paraId="029BAA39" w14:textId="77777777" w:rsidR="00952587" w:rsidRDefault="00952587" w:rsidP="005912E9">
      <w:pPr>
        <w:jc w:val="center"/>
        <w:rPr>
          <w:rFonts w:ascii="Cambria" w:hAnsi="Cambria"/>
          <w:sz w:val="22"/>
          <w:szCs w:val="22"/>
        </w:rPr>
      </w:pPr>
    </w:p>
    <w:p w14:paraId="28DDF638" w14:textId="77777777" w:rsidR="00952587" w:rsidRDefault="00952587" w:rsidP="005912E9">
      <w:pPr>
        <w:jc w:val="center"/>
        <w:rPr>
          <w:rFonts w:ascii="Cambria" w:hAnsi="Cambria"/>
          <w:sz w:val="22"/>
          <w:szCs w:val="22"/>
        </w:rPr>
      </w:pPr>
    </w:p>
    <w:p w14:paraId="663B8DF2" w14:textId="77777777" w:rsidR="00952587" w:rsidRDefault="00952587" w:rsidP="005912E9">
      <w:pPr>
        <w:jc w:val="center"/>
        <w:rPr>
          <w:rFonts w:ascii="Cambria" w:hAnsi="Cambria"/>
          <w:sz w:val="22"/>
          <w:szCs w:val="22"/>
        </w:rPr>
      </w:pPr>
    </w:p>
    <w:p w14:paraId="15C17853" w14:textId="77777777" w:rsidR="00952587" w:rsidRDefault="00952587" w:rsidP="005912E9">
      <w:pPr>
        <w:jc w:val="center"/>
        <w:rPr>
          <w:rFonts w:ascii="Cambria" w:hAnsi="Cambria"/>
          <w:sz w:val="22"/>
          <w:szCs w:val="22"/>
        </w:rPr>
      </w:pPr>
    </w:p>
    <w:p w14:paraId="3A31C1D9" w14:textId="77777777" w:rsidR="00952587" w:rsidRDefault="00952587" w:rsidP="005912E9">
      <w:pPr>
        <w:jc w:val="center"/>
        <w:rPr>
          <w:rFonts w:ascii="Cambria" w:hAnsi="Cambria"/>
          <w:sz w:val="22"/>
          <w:szCs w:val="22"/>
        </w:rPr>
      </w:pPr>
    </w:p>
    <w:p w14:paraId="21E6766E" w14:textId="77777777" w:rsidR="00952587" w:rsidRDefault="00952587" w:rsidP="005912E9">
      <w:pPr>
        <w:jc w:val="center"/>
        <w:rPr>
          <w:rFonts w:ascii="Cambria" w:hAnsi="Cambria"/>
          <w:sz w:val="22"/>
          <w:szCs w:val="22"/>
        </w:rPr>
      </w:pPr>
    </w:p>
    <w:p w14:paraId="215A1036" w14:textId="77777777" w:rsidR="00952587" w:rsidRDefault="00952587" w:rsidP="005912E9">
      <w:pPr>
        <w:jc w:val="center"/>
        <w:rPr>
          <w:rFonts w:ascii="Cambria" w:hAnsi="Cambria"/>
          <w:sz w:val="22"/>
          <w:szCs w:val="22"/>
        </w:rPr>
      </w:pPr>
    </w:p>
    <w:p w14:paraId="172CAE94" w14:textId="77777777" w:rsidR="00952587" w:rsidRDefault="00952587" w:rsidP="005912E9">
      <w:pPr>
        <w:jc w:val="center"/>
        <w:rPr>
          <w:rFonts w:ascii="Cambria" w:hAnsi="Cambria"/>
          <w:sz w:val="22"/>
          <w:szCs w:val="22"/>
        </w:rPr>
      </w:pPr>
    </w:p>
    <w:p w14:paraId="283217C5" w14:textId="77777777" w:rsidR="00952587" w:rsidRDefault="00952587" w:rsidP="005912E9">
      <w:pPr>
        <w:jc w:val="center"/>
        <w:rPr>
          <w:rFonts w:ascii="Cambria" w:hAnsi="Cambria"/>
          <w:sz w:val="22"/>
          <w:szCs w:val="22"/>
        </w:rPr>
      </w:pPr>
    </w:p>
    <w:p w14:paraId="24C6964B" w14:textId="77777777" w:rsidR="00952587" w:rsidRDefault="00952587" w:rsidP="005912E9">
      <w:pPr>
        <w:jc w:val="center"/>
        <w:rPr>
          <w:rFonts w:ascii="Cambria" w:hAnsi="Cambria"/>
          <w:sz w:val="22"/>
          <w:szCs w:val="22"/>
        </w:rPr>
      </w:pPr>
    </w:p>
    <w:p w14:paraId="718077C9" w14:textId="77777777" w:rsidR="00952587" w:rsidRDefault="00952587" w:rsidP="005912E9">
      <w:pPr>
        <w:jc w:val="center"/>
        <w:rPr>
          <w:rFonts w:ascii="Cambria" w:hAnsi="Cambria"/>
          <w:sz w:val="22"/>
          <w:szCs w:val="22"/>
        </w:rPr>
      </w:pPr>
    </w:p>
    <w:p w14:paraId="6880513A" w14:textId="77777777" w:rsidR="00952587" w:rsidRDefault="00952587" w:rsidP="005912E9">
      <w:pPr>
        <w:jc w:val="center"/>
        <w:rPr>
          <w:rFonts w:ascii="Cambria" w:hAnsi="Cambria"/>
          <w:sz w:val="22"/>
          <w:szCs w:val="22"/>
        </w:rPr>
      </w:pPr>
    </w:p>
    <w:p w14:paraId="1DB91DFA" w14:textId="77777777" w:rsidR="00952587" w:rsidRDefault="00952587" w:rsidP="005912E9">
      <w:pPr>
        <w:jc w:val="center"/>
        <w:rPr>
          <w:rFonts w:ascii="Cambria" w:hAnsi="Cambria"/>
          <w:sz w:val="22"/>
          <w:szCs w:val="22"/>
        </w:rPr>
      </w:pPr>
    </w:p>
    <w:p w14:paraId="61BFB59E" w14:textId="77777777" w:rsidR="00952587" w:rsidRDefault="00952587" w:rsidP="005912E9">
      <w:pPr>
        <w:jc w:val="center"/>
        <w:rPr>
          <w:rFonts w:ascii="Cambria" w:hAnsi="Cambria"/>
          <w:sz w:val="22"/>
          <w:szCs w:val="22"/>
        </w:rPr>
      </w:pPr>
    </w:p>
    <w:p w14:paraId="12A75846" w14:textId="77777777" w:rsidR="00952587" w:rsidRDefault="00952587" w:rsidP="005912E9">
      <w:pPr>
        <w:jc w:val="center"/>
        <w:rPr>
          <w:rFonts w:ascii="Cambria" w:hAnsi="Cambria"/>
          <w:sz w:val="22"/>
          <w:szCs w:val="22"/>
        </w:rPr>
      </w:pPr>
    </w:p>
    <w:p w14:paraId="38F24228" w14:textId="77777777" w:rsidR="00952587" w:rsidRDefault="00952587" w:rsidP="005912E9">
      <w:pPr>
        <w:jc w:val="center"/>
        <w:rPr>
          <w:rFonts w:ascii="Cambria" w:hAnsi="Cambria"/>
          <w:sz w:val="22"/>
          <w:szCs w:val="22"/>
        </w:rPr>
      </w:pPr>
    </w:p>
    <w:p w14:paraId="40E0D25F" w14:textId="77777777" w:rsidR="00952587" w:rsidRDefault="00952587" w:rsidP="005912E9">
      <w:pPr>
        <w:jc w:val="center"/>
        <w:rPr>
          <w:rFonts w:ascii="Cambria" w:hAnsi="Cambria"/>
          <w:sz w:val="22"/>
          <w:szCs w:val="22"/>
        </w:rPr>
      </w:pPr>
    </w:p>
    <w:p w14:paraId="0BF35830" w14:textId="77777777" w:rsidR="00952587" w:rsidRDefault="00952587" w:rsidP="005912E9">
      <w:pPr>
        <w:jc w:val="center"/>
        <w:rPr>
          <w:rFonts w:ascii="Cambria" w:hAnsi="Cambria"/>
          <w:sz w:val="22"/>
          <w:szCs w:val="22"/>
        </w:rPr>
      </w:pPr>
    </w:p>
    <w:p w14:paraId="118ADC78" w14:textId="77777777" w:rsidR="00952587" w:rsidRDefault="00952587" w:rsidP="005912E9">
      <w:pPr>
        <w:jc w:val="center"/>
        <w:rPr>
          <w:rFonts w:ascii="Cambria" w:hAnsi="Cambria"/>
          <w:sz w:val="22"/>
          <w:szCs w:val="22"/>
        </w:rPr>
      </w:pPr>
    </w:p>
    <w:p w14:paraId="17388F75" w14:textId="77777777" w:rsidR="00952587" w:rsidRDefault="00952587" w:rsidP="005912E9">
      <w:pPr>
        <w:jc w:val="center"/>
        <w:rPr>
          <w:rFonts w:ascii="Cambria" w:hAnsi="Cambria"/>
          <w:sz w:val="22"/>
          <w:szCs w:val="22"/>
        </w:rPr>
      </w:pPr>
    </w:p>
    <w:p w14:paraId="6FE44741" w14:textId="77777777" w:rsidR="00952587" w:rsidRDefault="00952587" w:rsidP="005912E9">
      <w:pPr>
        <w:jc w:val="center"/>
        <w:rPr>
          <w:rFonts w:ascii="Cambria" w:hAnsi="Cambria"/>
          <w:sz w:val="22"/>
          <w:szCs w:val="22"/>
        </w:rPr>
      </w:pPr>
    </w:p>
    <w:p w14:paraId="238E7AF5" w14:textId="77777777" w:rsidR="00952587" w:rsidRDefault="00952587" w:rsidP="005912E9">
      <w:pPr>
        <w:jc w:val="center"/>
        <w:rPr>
          <w:rFonts w:ascii="Cambria" w:hAnsi="Cambria"/>
          <w:sz w:val="22"/>
          <w:szCs w:val="22"/>
        </w:rPr>
      </w:pPr>
    </w:p>
    <w:p w14:paraId="2C0FC3AD" w14:textId="77777777" w:rsidR="00952587" w:rsidRDefault="00952587" w:rsidP="005912E9">
      <w:pPr>
        <w:jc w:val="center"/>
        <w:rPr>
          <w:rFonts w:ascii="Cambria" w:hAnsi="Cambria"/>
          <w:sz w:val="22"/>
          <w:szCs w:val="22"/>
        </w:rPr>
      </w:pPr>
    </w:p>
    <w:p w14:paraId="73D27FF0" w14:textId="77777777" w:rsidR="00952587" w:rsidRDefault="00952587" w:rsidP="005912E9">
      <w:pPr>
        <w:jc w:val="center"/>
        <w:rPr>
          <w:rFonts w:ascii="Cambria" w:hAnsi="Cambria"/>
          <w:sz w:val="22"/>
          <w:szCs w:val="22"/>
        </w:rPr>
      </w:pPr>
    </w:p>
    <w:p w14:paraId="6D830DF3" w14:textId="77777777" w:rsidR="00952587" w:rsidRDefault="00952587" w:rsidP="005912E9">
      <w:pPr>
        <w:jc w:val="center"/>
        <w:rPr>
          <w:rFonts w:ascii="Cambria" w:hAnsi="Cambria"/>
          <w:sz w:val="22"/>
          <w:szCs w:val="22"/>
        </w:rPr>
      </w:pPr>
    </w:p>
    <w:p w14:paraId="57BB158B" w14:textId="77777777" w:rsidR="00952587" w:rsidRDefault="00952587" w:rsidP="005912E9">
      <w:pPr>
        <w:jc w:val="center"/>
        <w:rPr>
          <w:rFonts w:ascii="Cambria" w:hAnsi="Cambria"/>
          <w:sz w:val="22"/>
          <w:szCs w:val="22"/>
        </w:rPr>
      </w:pPr>
    </w:p>
    <w:sectPr w:rsidR="00952587"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64111F" w:rsidRDefault="0064111F">
      <w:pPr>
        <w:rPr>
          <w:kern w:val="2"/>
          <w:sz w:val="22"/>
          <w:szCs w:val="22"/>
          <w:lang w:val="en-US"/>
        </w:rPr>
      </w:pPr>
      <w:r>
        <w:rPr>
          <w:kern w:val="2"/>
          <w:sz w:val="22"/>
          <w:szCs w:val="22"/>
          <w:lang w:val="en-US"/>
        </w:rPr>
        <w:separator/>
      </w:r>
    </w:p>
  </w:endnote>
  <w:endnote w:type="continuationSeparator" w:id="0">
    <w:p w14:paraId="2EA8CF7B" w14:textId="77777777" w:rsidR="0064111F" w:rsidRDefault="0064111F">
      <w:pPr>
        <w:rPr>
          <w:kern w:val="2"/>
          <w:sz w:val="22"/>
          <w:szCs w:val="22"/>
          <w:lang w:val="en-US"/>
        </w:rPr>
      </w:pPr>
      <w:r>
        <w:rPr>
          <w:kern w:val="2"/>
          <w:sz w:val="22"/>
          <w:szCs w:val="22"/>
          <w:lang w:val="en-US"/>
        </w:rPr>
        <w:continuationSeparator/>
      </w:r>
    </w:p>
  </w:endnote>
  <w:endnote w:type="continuationNotice" w:id="1">
    <w:p w14:paraId="4F2C8E1C" w14:textId="77777777" w:rsidR="0064111F" w:rsidRDefault="0064111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64111F" w:rsidRDefault="0064111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64111F" w:rsidRDefault="0064111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64111F" w:rsidRDefault="0064111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64111F" w:rsidRDefault="0064111F">
      <w:pPr>
        <w:rPr>
          <w:kern w:val="2"/>
          <w:sz w:val="22"/>
          <w:szCs w:val="22"/>
          <w:lang w:val="en-US"/>
        </w:rPr>
      </w:pPr>
      <w:r>
        <w:rPr>
          <w:kern w:val="2"/>
          <w:sz w:val="22"/>
          <w:szCs w:val="22"/>
          <w:lang w:val="en-US"/>
        </w:rPr>
        <w:separator/>
      </w:r>
    </w:p>
  </w:footnote>
  <w:footnote w:type="continuationSeparator" w:id="0">
    <w:p w14:paraId="567A2A8C" w14:textId="77777777" w:rsidR="0064111F" w:rsidRDefault="0064111F">
      <w:pPr>
        <w:rPr>
          <w:kern w:val="2"/>
          <w:sz w:val="22"/>
          <w:szCs w:val="22"/>
          <w:lang w:val="en-US"/>
        </w:rPr>
      </w:pPr>
      <w:r>
        <w:rPr>
          <w:kern w:val="2"/>
          <w:sz w:val="22"/>
          <w:szCs w:val="22"/>
          <w:lang w:val="en-US"/>
        </w:rPr>
        <w:continuationSeparator/>
      </w:r>
    </w:p>
  </w:footnote>
  <w:footnote w:type="continuationNotice" w:id="1">
    <w:p w14:paraId="6A3DFDFF" w14:textId="77777777" w:rsidR="0064111F" w:rsidRDefault="0064111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64111F" w:rsidRDefault="0064111F">
    <w:pPr>
      <w:tabs>
        <w:tab w:val="center" w:pos="4680"/>
        <w:tab w:val="right" w:pos="9360"/>
      </w:tabs>
      <w:spacing w:after="160" w:line="259" w:lineRule="auto"/>
      <w:rPr>
        <w:kern w:val="2"/>
        <w:sz w:val="22"/>
        <w:szCs w:val="22"/>
        <w:lang w:val="en-US"/>
      </w:rPr>
    </w:pPr>
  </w:p>
  <w:p w14:paraId="5D72CCCD" w14:textId="77777777" w:rsidR="0064111F" w:rsidRDefault="006411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64111F" w:rsidRPr="00A10867" w:rsidRDefault="0064111F" w:rsidP="00A10867">
    <w:pPr>
      <w:tabs>
        <w:tab w:val="center" w:pos="4819"/>
        <w:tab w:val="right" w:pos="9638"/>
      </w:tabs>
      <w:jc w:val="center"/>
    </w:pPr>
    <w:r>
      <w:fldChar w:fldCharType="begin"/>
    </w:r>
    <w:r>
      <w:instrText>PAGE   \* MERGEFORMAT</w:instrText>
    </w:r>
    <w:r>
      <w:fldChar w:fldCharType="separate"/>
    </w:r>
    <w:r w:rsidR="008B793A">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64111F" w:rsidRDefault="0064111F">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num>
  <w:num w:numId="4">
    <w:abstractNumId w:val="3"/>
  </w:num>
  <w:num w:numId="5">
    <w:abstractNumId w:val="0"/>
  </w:num>
  <w:num w:numId="6">
    <w:abstractNumId w:val="4"/>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D40A7"/>
    <w:rsid w:val="000E69D5"/>
    <w:rsid w:val="000F5A29"/>
    <w:rsid w:val="00162D83"/>
    <w:rsid w:val="00191B30"/>
    <w:rsid w:val="00196C1A"/>
    <w:rsid w:val="001A27D1"/>
    <w:rsid w:val="001D122D"/>
    <w:rsid w:val="001D48E2"/>
    <w:rsid w:val="001D7D9E"/>
    <w:rsid w:val="001F0F40"/>
    <w:rsid w:val="0021062C"/>
    <w:rsid w:val="00213D34"/>
    <w:rsid w:val="00223366"/>
    <w:rsid w:val="00246F75"/>
    <w:rsid w:val="00254BB9"/>
    <w:rsid w:val="00293FB5"/>
    <w:rsid w:val="002A6408"/>
    <w:rsid w:val="002A6757"/>
    <w:rsid w:val="002D6CD9"/>
    <w:rsid w:val="00304A16"/>
    <w:rsid w:val="00310ECD"/>
    <w:rsid w:val="00336F4B"/>
    <w:rsid w:val="003458B1"/>
    <w:rsid w:val="00346FD0"/>
    <w:rsid w:val="00364BA6"/>
    <w:rsid w:val="00387859"/>
    <w:rsid w:val="003B7A86"/>
    <w:rsid w:val="003D68D8"/>
    <w:rsid w:val="00415F57"/>
    <w:rsid w:val="004D2664"/>
    <w:rsid w:val="005211D6"/>
    <w:rsid w:val="00523819"/>
    <w:rsid w:val="0055778D"/>
    <w:rsid w:val="005665DF"/>
    <w:rsid w:val="005912E9"/>
    <w:rsid w:val="005A367C"/>
    <w:rsid w:val="005A5832"/>
    <w:rsid w:val="005F5B23"/>
    <w:rsid w:val="0064111F"/>
    <w:rsid w:val="00680A0D"/>
    <w:rsid w:val="00687865"/>
    <w:rsid w:val="006B2FC8"/>
    <w:rsid w:val="006D153F"/>
    <w:rsid w:val="006F3699"/>
    <w:rsid w:val="0072071D"/>
    <w:rsid w:val="00721BFC"/>
    <w:rsid w:val="0073397D"/>
    <w:rsid w:val="00756EAF"/>
    <w:rsid w:val="007D4F09"/>
    <w:rsid w:val="007E253A"/>
    <w:rsid w:val="007E319F"/>
    <w:rsid w:val="00835A30"/>
    <w:rsid w:val="008A197C"/>
    <w:rsid w:val="008A4E90"/>
    <w:rsid w:val="008B0E96"/>
    <w:rsid w:val="008B793A"/>
    <w:rsid w:val="008D6A46"/>
    <w:rsid w:val="008E4197"/>
    <w:rsid w:val="00906CA1"/>
    <w:rsid w:val="00921C11"/>
    <w:rsid w:val="00935C73"/>
    <w:rsid w:val="00941784"/>
    <w:rsid w:val="00943080"/>
    <w:rsid w:val="0094633A"/>
    <w:rsid w:val="00950C78"/>
    <w:rsid w:val="009512E8"/>
    <w:rsid w:val="00952587"/>
    <w:rsid w:val="00957F62"/>
    <w:rsid w:val="00987953"/>
    <w:rsid w:val="009A79CF"/>
    <w:rsid w:val="009B3AF5"/>
    <w:rsid w:val="009C58D2"/>
    <w:rsid w:val="009F15D6"/>
    <w:rsid w:val="00A04FEF"/>
    <w:rsid w:val="00A10867"/>
    <w:rsid w:val="00A53732"/>
    <w:rsid w:val="00A64D8A"/>
    <w:rsid w:val="00A70EA6"/>
    <w:rsid w:val="00A856B3"/>
    <w:rsid w:val="00AB2ADD"/>
    <w:rsid w:val="00AE0D9B"/>
    <w:rsid w:val="00AE4EAC"/>
    <w:rsid w:val="00AE638C"/>
    <w:rsid w:val="00AF1B3B"/>
    <w:rsid w:val="00AF49CA"/>
    <w:rsid w:val="00AF5509"/>
    <w:rsid w:val="00B02ED2"/>
    <w:rsid w:val="00B116D8"/>
    <w:rsid w:val="00B3029C"/>
    <w:rsid w:val="00C01E5E"/>
    <w:rsid w:val="00C0498A"/>
    <w:rsid w:val="00C35660"/>
    <w:rsid w:val="00C53493"/>
    <w:rsid w:val="00C55F92"/>
    <w:rsid w:val="00C67299"/>
    <w:rsid w:val="00C735D5"/>
    <w:rsid w:val="00CC2420"/>
    <w:rsid w:val="00CF223E"/>
    <w:rsid w:val="00D25950"/>
    <w:rsid w:val="00D37E58"/>
    <w:rsid w:val="00D44718"/>
    <w:rsid w:val="00D51B57"/>
    <w:rsid w:val="00D908B8"/>
    <w:rsid w:val="00DA43D9"/>
    <w:rsid w:val="00DD6E47"/>
    <w:rsid w:val="00DE375D"/>
    <w:rsid w:val="00E368B5"/>
    <w:rsid w:val="00E57084"/>
    <w:rsid w:val="00E7731E"/>
    <w:rsid w:val="00EC2E7B"/>
    <w:rsid w:val="00ED57F7"/>
    <w:rsid w:val="00EF1CAF"/>
    <w:rsid w:val="00F35846"/>
    <w:rsid w:val="00F64024"/>
    <w:rsid w:val="00F82859"/>
    <w:rsid w:val="00F829A8"/>
    <w:rsid w:val="00F93E72"/>
    <w:rsid w:val="00FC7583"/>
    <w:rsid w:val="00FD78F5"/>
    <w:rsid w:val="00FD7BA7"/>
    <w:rsid w:val="00FE3819"/>
    <w:rsid w:val="00FE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02C1ADD-A334-4411-A7A5-292C8D85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11496</Words>
  <Characters>6553</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18013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21</cp:revision>
  <cp:lastPrinted>2024-05-29T05:51:00Z</cp:lastPrinted>
  <dcterms:created xsi:type="dcterms:W3CDTF">2024-03-28T08:38:00Z</dcterms:created>
  <dcterms:modified xsi:type="dcterms:W3CDTF">2025-01-21T10:40:00Z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