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4069"/>
        <w:gridCol w:w="2979"/>
        <w:gridCol w:w="5014"/>
      </w:tblGrid>
      <w:tr w:rsidR="00AE540D" w:rsidRPr="00B07875" w14:paraId="35266CB8" w14:textId="77777777" w:rsidTr="2B908401">
        <w:trPr>
          <w:trHeight w:val="618"/>
        </w:trPr>
        <w:tc>
          <w:tcPr>
            <w:tcW w:w="343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D9F" w14:textId="77777777" w:rsidR="00AE540D" w:rsidRPr="00B07875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7875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71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914" w14:textId="77777777" w:rsidR="00AE540D" w:rsidRPr="00B07875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7875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150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3693" w14:textId="77777777" w:rsidR="00AE540D" w:rsidRPr="00B07875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7875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  <w:tc>
          <w:tcPr>
            <w:tcW w:w="1936" w:type="pct"/>
            <w:shd w:val="clear" w:color="auto" w:fill="BFBFBF" w:themeFill="background1" w:themeFillShade="BF"/>
          </w:tcPr>
          <w:p w14:paraId="0F2C64DF" w14:textId="2AE6DA79" w:rsidR="00AE540D" w:rsidRPr="00B07875" w:rsidRDefault="00AE540D" w:rsidP="006823FC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7875">
              <w:rPr>
                <w:b/>
                <w:bCs/>
                <w:sz w:val="24"/>
                <w:szCs w:val="24"/>
                <w:lang w:val="lt-LT"/>
              </w:rPr>
              <w:t>P</w:t>
            </w:r>
            <w:r w:rsidR="00B07875">
              <w:rPr>
                <w:b/>
                <w:bCs/>
                <w:sz w:val="24"/>
                <w:szCs w:val="24"/>
                <w:lang w:val="lt-LT"/>
              </w:rPr>
              <w:t xml:space="preserve">erkančiosios organizacijos </w:t>
            </w:r>
            <w:r w:rsidRPr="00B07875">
              <w:rPr>
                <w:b/>
                <w:bCs/>
                <w:sz w:val="24"/>
                <w:szCs w:val="24"/>
                <w:lang w:val="lt-LT"/>
              </w:rPr>
              <w:t>atsakymai</w:t>
            </w:r>
          </w:p>
        </w:tc>
      </w:tr>
      <w:tr w:rsidR="00AE540D" w:rsidRPr="00B07875" w14:paraId="43352195" w14:textId="77777777" w:rsidTr="2B908401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A10B" w14:textId="77777777" w:rsidR="00AE540D" w:rsidRPr="00B07875" w:rsidRDefault="00AE540D" w:rsidP="006823FC">
            <w:pPr>
              <w:jc w:val="center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006E" w14:textId="352727C5" w:rsidR="00AE540D" w:rsidRPr="00B07875" w:rsidRDefault="00732954" w:rsidP="006823F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>Ar</w:t>
            </w:r>
            <w:r w:rsidR="009145E3" w:rsidRPr="00B07875">
              <w:rPr>
                <w:sz w:val="24"/>
                <w:szCs w:val="24"/>
                <w:lang w:val="lt-LT"/>
              </w:rPr>
              <w:t xml:space="preserve"> turite pastabų, klausimų techninei specifikacijai? Kokias konkrečias sąlygas papildomai siūlytumėte įtraukti į techninę specifikaciją arba kurių sąlygų reikėtų atsisakyti? Kartu pateikite pagrindimą.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9EEF" w14:textId="2B3C5A27" w:rsidR="00AE540D" w:rsidRPr="00B07875" w:rsidRDefault="009145E3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1. TS 2.7 punkte nurodyta, kad „Jei siūlomi diskai 10 TB ar didesni, duomenys turi būti apsaugoti nuo 3 diskų gedimo vienu metu“. Atsižvelgiant į tai, kad pagal 2.14 punktą telkiniai dar būtų sinchronizuojami tarpusavyje, reikalaujama apsaugoti duomenis nuo 6 diskų gedimo vienu metu, o tai gerokai viršija įprastus reikalavimus tokio dydžio atsarginių kopijų duomenims. Siūlytume nediferencijuoti reikalavimų skirtingos talpos diskams (mažesniems nei 10TB) ir nurodyti apsaugos lygį, atsižvelgiant į kopijų sinchronizavimą tarp dviejų telkinių. 2 2. TS 2.9.5 punkte nurodyta, kad „telkiniai ... neturi būti priklausomi nuo NTP serverio laiko (ar lygiaverčio)“. Visi telkiniai vienaip ir kitaip sinchronizuoja laiką, naudodami NTP. Siūlytume pakeisti formuluotę į „telkiniai turi neleisti </w:t>
            </w:r>
            <w:r w:rsidRPr="00B07875">
              <w:rPr>
                <w:sz w:val="24"/>
                <w:szCs w:val="24"/>
                <w:lang w:val="lt-LT"/>
              </w:rPr>
              <w:lastRenderedPageBreak/>
              <w:t>manipuliuoti NTP duomenimis, garantuoti, kad laiko korekcijos neviršytų leistinų ribų“. 3. 2.14 punkte nurodyta, kad „telkiniai turi gebėti sinchronizuoti duomenis vienas į kitą“. Patikslinkite, ar visi saugomi duomenys būtų sinchronizuojami į kitą telkinį</w:t>
            </w:r>
          </w:p>
        </w:tc>
        <w:tc>
          <w:tcPr>
            <w:tcW w:w="1936" w:type="pct"/>
            <w:shd w:val="clear" w:color="auto" w:fill="auto"/>
          </w:tcPr>
          <w:p w14:paraId="2FE3CEC0" w14:textId="626C8414" w:rsidR="00E17C23" w:rsidRPr="00B07875" w:rsidRDefault="4BE2760C" w:rsidP="00B07875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ind w:left="146" w:hanging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T</w:t>
            </w:r>
            <w:r w:rsidR="1F8959D9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elkiniai turi gebėt apsaugoti </w:t>
            </w:r>
            <w:r w:rsidR="2CCB312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duomenis </w:t>
            </w:r>
            <w:r w:rsidR="1D1ACA2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nuo įvairių komponentų gedimų </w:t>
            </w:r>
            <w:r w:rsidR="1F8959D9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nepriklausomai </w:t>
            </w:r>
            <w:r w:rsidR="756D67C6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telkiniai </w:t>
            </w:r>
            <w:r w:rsidR="1F8959D9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sinchronizuojami</w:t>
            </w:r>
            <w:r w:rsidR="2706CA2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5B57870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tarpusavyje </w:t>
            </w:r>
            <w:r w:rsidR="1F8959D9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ar ne.</w:t>
            </w:r>
            <w:r w:rsidR="469AEFE4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64E416D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Didelės talpos</w:t>
            </w:r>
            <w:r w:rsidR="67DB64B3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64E416D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diskų</w:t>
            </w:r>
            <w:r w:rsidR="2B9F6BD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3D10FB3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(10 TB ir daugiau) </w:t>
            </w:r>
            <w:r w:rsidR="64E416D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gedimai </w:t>
            </w:r>
            <w:r w:rsidR="5258F76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ilgina informacijos atkūrimo laiką</w:t>
            </w:r>
            <w:r w:rsidR="64E416D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60B46D7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Ilgėjantis informacijos atkūrimo laikas didina duomenų praradim</w:t>
            </w:r>
            <w:r w:rsidR="6D5671B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 riziką</w:t>
            </w:r>
            <w:r w:rsidR="2CE6D68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tuo pat metu </w:t>
            </w:r>
            <w:r w:rsidR="4529C1A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papildomai </w:t>
            </w:r>
            <w:r w:rsidR="2CE6D68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sugedus vienam </w:t>
            </w:r>
            <w:r w:rsidR="04BF843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ar </w:t>
            </w:r>
            <w:r w:rsidR="17EF669E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</w:t>
            </w:r>
            <w:r w:rsidR="69CEB43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augiau</w:t>
            </w:r>
            <w:r w:rsidR="04BF843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1FE525A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diskų</w:t>
            </w:r>
            <w:r w:rsidR="3442E6E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EF3802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Perkančioji organizacija siekia sumažinti šias rizikas</w:t>
            </w:r>
            <w:r w:rsidR="6AD6EF18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7DEAB58E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iki minimumo bei siekia išsaugoti savo atsarginių kopijų duomenis</w:t>
            </w:r>
            <w:r w:rsidR="28E37793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bet kokio komponento (ir ne vieno) gedimo atveju. Savo ruožtu p</w:t>
            </w:r>
            <w:r w:rsidR="23B9743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erkančioji organizacija sinchronizacij</w:t>
            </w:r>
            <w:r w:rsidR="4363FA0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ą</w:t>
            </w:r>
            <w:r w:rsidR="23B9743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537B941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traktuoja kaip</w:t>
            </w:r>
            <w:r w:rsidR="23B9743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priemon</w:t>
            </w:r>
            <w:r w:rsidR="6BC9624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ę</w:t>
            </w:r>
            <w:r w:rsidR="23B9743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aps</w:t>
            </w:r>
            <w:r w:rsidR="05F3758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augoti duomenis </w:t>
            </w:r>
            <w:r w:rsidR="23B9743F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nuo viso duomenų centro praradimo.</w:t>
            </w:r>
            <w:r w:rsidR="0FD1E133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26AC95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Remiantis išdėstytu aukščiau, perkančioji organizacija mano, kad Tiekėjo pateiktas duomenų sinchroniz</w:t>
            </w:r>
            <w:r w:rsidR="71C21BD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acijos</w:t>
            </w:r>
            <w:r w:rsidR="026AC95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ir diskų kiekių </w:t>
            </w:r>
            <w:r w:rsidR="3FD88E0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traktavimas</w:t>
            </w:r>
            <w:r w:rsidR="026AC952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yra </w:t>
            </w:r>
            <w:r w:rsidR="4EF7D9E3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ydingos duomenų apsaugos praktika, kuri neturi būti taikoma produktyvioje aplinkoje.</w:t>
            </w:r>
            <w:r w:rsidR="1BBAE55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3442E6E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Norime atkreipti dėmesį, kad perkančioji organizacija nekelia reikalavim</w:t>
            </w:r>
            <w:r w:rsidR="3D33F216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o diskų kiekiui</w:t>
            </w:r>
            <w:r w:rsidR="3AA3D87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ir šiuo aspektu</w:t>
            </w:r>
            <w:r w:rsidR="3182903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tiekėjų</w:t>
            </w:r>
            <w:r w:rsidR="3AA3D87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neapriboja</w:t>
            </w:r>
            <w:r w:rsidR="06ECB619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4CCD368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2075ECD0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Į siūlymą neatsižvelgta.</w:t>
            </w:r>
          </w:p>
          <w:p w14:paraId="7D8B001D" w14:textId="03001224" w:rsidR="00E17C23" w:rsidRPr="00B07875" w:rsidRDefault="4E02F42B" w:rsidP="00B07875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ind w:left="146" w:hanging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Perkančioji organizacija siekia užrakinti atsargines kopijas </w:t>
            </w:r>
            <w:r w:rsidR="6B2CAEA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tam tikram laikui</w:t>
            </w:r>
            <w:r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, t.y. neleisti jų ištrinti </w:t>
            </w:r>
            <w:r w:rsidR="6A730F9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nustatytam </w:t>
            </w:r>
            <w:r w:rsidR="0041394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laikotarpiui</w:t>
            </w:r>
            <w:r w:rsidR="6AC2CB9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(</w:t>
            </w:r>
            <w:r w:rsidR="592B78EA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angl. </w:t>
            </w:r>
            <w:proofErr w:type="spellStart"/>
            <w:r w:rsidR="6AC2CB9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retention</w:t>
            </w:r>
            <w:proofErr w:type="spellEnd"/>
            <w:r w:rsidR="6AC2CB9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proofErr w:type="spellStart"/>
            <w:r w:rsidR="6AC2CB9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lock</w:t>
            </w:r>
            <w:proofErr w:type="spellEnd"/>
            <w:r w:rsidR="6AC2CB91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)</w:t>
            </w:r>
            <w:r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. </w:t>
            </w:r>
            <w:r w:rsidR="2D12BD8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Išpirkos reikalaujančių piktavalių dažna</w:t>
            </w:r>
            <w:r w:rsidR="6898C92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 naudojama</w:t>
            </w:r>
            <w:r w:rsidR="2D12BD87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5DFA40BE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taktika yra </w:t>
            </w:r>
            <w:r w:rsidR="114F3DA8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sunaikinti visus organizacijos turimus duomenis, įskaitant duomenis, esančius atsarginių kopijų sistemose</w:t>
            </w:r>
            <w:r w:rsidR="0795402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ir</w:t>
            </w:r>
            <w:r w:rsidR="736276CB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795402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tuomet reikalauti išpirkų.</w:t>
            </w:r>
            <w:r w:rsidR="76441196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Perkančioji organizacija pageidauja tokių sistemų, kuriose negalima manipuliuoti laiku idant paveikti užrakintas atsargines kopijas (pvz. jas ištrinti).</w:t>
            </w:r>
            <w:r w:rsidR="59154CDA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146005D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Siūlomas Tiekėjo pakeitimas yra tiesiog neleisti keisti NTP nustatymų arba leisti keisti tam tikrose ribose. </w:t>
            </w:r>
            <w:r w:rsidR="174A1A3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Perkančioji organizacija pageidauja, kad kopijų užrakinimui būtų naudojama nuolatinio laiko tėkmė,</w:t>
            </w:r>
            <w:r w:rsidR="6C3A2253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visiškai</w:t>
            </w:r>
            <w:r w:rsidR="174A1A35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nepriklausanti nuo NTP nustatymų.</w:t>
            </w:r>
            <w:r w:rsidR="459A19CC"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Į siūlymą neatsižvelgta.</w:t>
            </w:r>
          </w:p>
          <w:p w14:paraId="2B4CFA90" w14:textId="025EE5B8" w:rsidR="00E17C23" w:rsidRPr="00B07875" w:rsidRDefault="0C59C880" w:rsidP="00B07875">
            <w:pPr>
              <w:pStyle w:val="ListParagraph"/>
              <w:numPr>
                <w:ilvl w:val="0"/>
                <w:numId w:val="1"/>
              </w:numPr>
              <w:tabs>
                <w:tab w:val="left" w:pos="430"/>
              </w:tabs>
              <w:ind w:left="146" w:hanging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078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Patiksliname – taip, visi.</w:t>
            </w:r>
          </w:p>
        </w:tc>
      </w:tr>
      <w:tr w:rsidR="001B54EA" w:rsidRPr="00B07875" w14:paraId="7D8C7480" w14:textId="77777777" w:rsidTr="2B908401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BD09" w14:textId="1B62754D" w:rsidR="001B54EA" w:rsidRPr="00B07875" w:rsidRDefault="001B54EA" w:rsidP="006823FC">
            <w:pPr>
              <w:jc w:val="center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lastRenderedPageBreak/>
              <w:t xml:space="preserve">2. </w:t>
            </w:r>
          </w:p>
        </w:tc>
        <w:tc>
          <w:tcPr>
            <w:tcW w:w="15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E0FA" w14:textId="37E5B576" w:rsidR="001B54EA" w:rsidRPr="00B07875" w:rsidRDefault="001B54EA" w:rsidP="006823FC">
            <w:pPr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07875">
              <w:rPr>
                <w:color w:val="000000"/>
                <w:sz w:val="24"/>
                <w:szCs w:val="24"/>
                <w:lang w:val="lt-LT"/>
              </w:rPr>
              <w:t>Ar turite pastabų sutarties projektui? (jei teikiamas) Prašome pateikti argumentuotas pastabas ir klausimus nurodant konkrečius punktus ir/ar teksto vietas.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C770" w14:textId="10A3603A" w:rsidR="001B54EA" w:rsidRPr="00B07875" w:rsidRDefault="001B54EA" w:rsidP="006823FC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>Taip. Punktas Nr. 8.1 Prievolių pagal Sutartį įvykdymas užtikrinamas: Netesybomis (delspinigiais, bauda) Reikalavimas dėl Sutarties įvykdymo užtikrinimo dokumento yra perteklinis.</w:t>
            </w:r>
          </w:p>
        </w:tc>
        <w:tc>
          <w:tcPr>
            <w:tcW w:w="1936" w:type="pct"/>
            <w:shd w:val="clear" w:color="auto" w:fill="auto"/>
          </w:tcPr>
          <w:p w14:paraId="73CF8A50" w14:textId="2E82A1A2" w:rsidR="00D87BE8" w:rsidRPr="00644144" w:rsidRDefault="00D87BE8" w:rsidP="00D87BE8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Informuojame, kad Viešųjų pirkimo įstatymo 87 str. 2 d. 6 p. nustato, kad Pirkimo sutartyje, kai ji sudaroma raštu, turi būti </w:t>
            </w:r>
            <w:r w:rsidRPr="00644144">
              <w:rPr>
                <w:sz w:val="24"/>
                <w:szCs w:val="24"/>
                <w:lang w:val="lt-LT"/>
              </w:rPr>
              <w:t xml:space="preserve">nustatyta </w:t>
            </w:r>
            <w:r w:rsidRPr="00644144">
              <w:rPr>
                <w:i/>
                <w:iCs/>
                <w:sz w:val="24"/>
                <w:szCs w:val="24"/>
                <w:lang w:val="lt-LT"/>
              </w:rPr>
              <w:t>sutarties įvykdymo užtikrinimas</w:t>
            </w:r>
            <w:r w:rsidRPr="00644144">
              <w:rPr>
                <w:sz w:val="24"/>
                <w:szCs w:val="24"/>
                <w:lang w:val="lt-LT"/>
              </w:rPr>
              <w:t xml:space="preserve">. </w:t>
            </w:r>
          </w:p>
          <w:p w14:paraId="7BFA0E24" w14:textId="15CD9C98" w:rsidR="00D87BE8" w:rsidRPr="00B07875" w:rsidRDefault="00D87BE8" w:rsidP="00D87BE8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Perkančioji organizacija </w:t>
            </w:r>
            <w:r w:rsidR="002004A4">
              <w:rPr>
                <w:sz w:val="24"/>
                <w:szCs w:val="24"/>
                <w:lang w:val="lt-LT"/>
              </w:rPr>
              <w:t xml:space="preserve">yra </w:t>
            </w:r>
            <w:r w:rsidRPr="00B07875">
              <w:rPr>
                <w:sz w:val="24"/>
                <w:szCs w:val="24"/>
                <w:lang w:val="lt-LT"/>
              </w:rPr>
              <w:t xml:space="preserve">priėmusi sprendimą reikalauti  banko garantijos arba draudimo bendrovės laidavimo rašto. </w:t>
            </w:r>
          </w:p>
          <w:p w14:paraId="74A1C842" w14:textId="179A83D9" w:rsidR="00D87BE8" w:rsidRPr="00B07875" w:rsidRDefault="00D87BE8" w:rsidP="006823F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1B54EA" w:rsidRPr="00B07875" w14:paraId="56D08F0E" w14:textId="77777777" w:rsidTr="2B908401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56E9" w14:textId="2F47E2CA" w:rsidR="001B54EA" w:rsidRPr="00B07875" w:rsidRDefault="001B54EA" w:rsidP="006823FC">
            <w:pPr>
              <w:jc w:val="center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15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24F2" w14:textId="7FDFC663" w:rsidR="001B54EA" w:rsidRPr="00B07875" w:rsidRDefault="001B54EA" w:rsidP="006823FC">
            <w:pPr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654F" w14:textId="3AD0A356" w:rsidR="001B54EA" w:rsidRPr="00B07875" w:rsidRDefault="001B54EA" w:rsidP="009145E3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Siūlome keisti 5.5. punktą, kad atsiskaitymas būtų atliekamas etapais: 1. Už prekes - per 30 dienų po prekių pristatymo. 2. Už paslaugas - per 30 dienų nuo paslaugų (diegimas, mokymai) atlikimo dienos. Toks pakeitimas reikalingas, kad būtų užtikrintas 6.1. punkto reikalavimas dėl 60 mėnesių garantinio termino, kadangi gamintojo prekių </w:t>
            </w:r>
            <w:r w:rsidRPr="00B07875">
              <w:rPr>
                <w:sz w:val="24"/>
                <w:szCs w:val="24"/>
                <w:lang w:val="lt-LT"/>
              </w:rPr>
              <w:lastRenderedPageBreak/>
              <w:t>garantija pradedama skaičiuoti nuo prekių pristatymo dienos. Perkančiajai organizacijai sutikus pakoreguoti 5.5. punktą, atitinkamai reikėtų koreguoti ir pasiūlymo formos 1 lentelę “Kainos pasiūlymas”.</w:t>
            </w:r>
          </w:p>
        </w:tc>
        <w:tc>
          <w:tcPr>
            <w:tcW w:w="1936" w:type="pct"/>
            <w:shd w:val="clear" w:color="auto" w:fill="auto"/>
          </w:tcPr>
          <w:p w14:paraId="6CD231E2" w14:textId="46D97C4F" w:rsidR="00C2316A" w:rsidRPr="00B07875" w:rsidRDefault="00C2316A" w:rsidP="2B908401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lastRenderedPageBreak/>
              <w:t xml:space="preserve">Ačiū už pasiūlymą, </w:t>
            </w:r>
            <w:r w:rsidR="00975F45" w:rsidRPr="00B07875">
              <w:rPr>
                <w:sz w:val="24"/>
                <w:szCs w:val="24"/>
                <w:lang w:val="lt-LT"/>
              </w:rPr>
              <w:t xml:space="preserve">skelbiant pirkimą </w:t>
            </w:r>
            <w:r w:rsidR="002004A4">
              <w:rPr>
                <w:sz w:val="24"/>
                <w:szCs w:val="24"/>
                <w:lang w:val="lt-LT"/>
              </w:rPr>
              <w:t>perkančioji organizacija</w:t>
            </w:r>
            <w:r w:rsidR="00975F45" w:rsidRPr="00B07875">
              <w:rPr>
                <w:sz w:val="24"/>
                <w:szCs w:val="24"/>
                <w:lang w:val="lt-LT"/>
              </w:rPr>
              <w:t xml:space="preserve"> įvertins pasiūlymą.</w:t>
            </w:r>
          </w:p>
        </w:tc>
      </w:tr>
      <w:tr w:rsidR="001B54EA" w:rsidRPr="00B07875" w14:paraId="69C376F7" w14:textId="77777777" w:rsidTr="2B908401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456F" w14:textId="2CB8EB86" w:rsidR="001B54EA" w:rsidRPr="00B07875" w:rsidRDefault="001B54EA" w:rsidP="001B54EA">
            <w:pPr>
              <w:jc w:val="center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7F00" w14:textId="2F839CBD" w:rsidR="001B54EA" w:rsidRPr="00B07875" w:rsidRDefault="001B54EA" w:rsidP="001B54EA">
            <w:pPr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07875">
              <w:rPr>
                <w:color w:val="000000"/>
                <w:sz w:val="24"/>
                <w:szCs w:val="24"/>
                <w:lang w:val="lt-LT"/>
              </w:rPr>
              <w:t>Ar tinkamos sutarties įvykdymo užtikrinimo sąlygos (Sutarties projekto 8.2 p.)?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0E5F" w14:textId="6720CB89" w:rsidR="001B54EA" w:rsidRPr="00B07875" w:rsidRDefault="001B54EA" w:rsidP="001B54EA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>Pasiūlymo užtikrinimas, sutarties įgyvendinimo užtikrinimas ar avanso grąžinimo užtikrinimas sąlygoja pasiūlymo kainos didinimą. Todėl rekomenduojame nereikalauti pateikti Sutarties įvykdymo užtikrinimą patvirtinančio dokumento</w:t>
            </w:r>
          </w:p>
        </w:tc>
        <w:tc>
          <w:tcPr>
            <w:tcW w:w="1936" w:type="pct"/>
            <w:shd w:val="clear" w:color="auto" w:fill="auto"/>
          </w:tcPr>
          <w:p w14:paraId="673764DC" w14:textId="77777777" w:rsidR="00D87BE8" w:rsidRPr="00644144" w:rsidRDefault="00D87BE8" w:rsidP="00D87BE8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Informuojame, kad Viešųjų pirkimo įstatymo 87 str. 2 d. 6 p. nustato, kad Pirkimo sutartyje, kai ji sudaroma raštu, turi būti </w:t>
            </w:r>
            <w:r w:rsidRPr="00644144">
              <w:rPr>
                <w:sz w:val="24"/>
                <w:szCs w:val="24"/>
                <w:lang w:val="lt-LT"/>
              </w:rPr>
              <w:t xml:space="preserve">nustatyta </w:t>
            </w:r>
            <w:r w:rsidRPr="00644144">
              <w:rPr>
                <w:i/>
                <w:iCs/>
                <w:sz w:val="24"/>
                <w:szCs w:val="24"/>
                <w:lang w:val="lt-LT"/>
              </w:rPr>
              <w:t>sutarties įvykdymo užtikrinimas</w:t>
            </w:r>
            <w:r w:rsidRPr="00644144">
              <w:rPr>
                <w:sz w:val="24"/>
                <w:szCs w:val="24"/>
                <w:lang w:val="lt-LT"/>
              </w:rPr>
              <w:t xml:space="preserve">. </w:t>
            </w:r>
          </w:p>
          <w:p w14:paraId="53252FBA" w14:textId="0CC32AF2" w:rsidR="00D87BE8" w:rsidRPr="00B07875" w:rsidRDefault="00D87BE8" w:rsidP="00D87BE8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>Perkančioji organizacija</w:t>
            </w:r>
            <w:r w:rsidR="002004A4">
              <w:rPr>
                <w:sz w:val="24"/>
                <w:szCs w:val="24"/>
                <w:lang w:val="lt-LT"/>
              </w:rPr>
              <w:t xml:space="preserve"> yra</w:t>
            </w:r>
            <w:r w:rsidRPr="00B07875">
              <w:rPr>
                <w:sz w:val="24"/>
                <w:szCs w:val="24"/>
                <w:lang w:val="lt-LT"/>
              </w:rPr>
              <w:t xml:space="preserve"> priėmusi sprendimą reikalauti  banko garantijos arba draudimo bendrovės laidavimo rašto. </w:t>
            </w:r>
          </w:p>
          <w:p w14:paraId="75CA3796" w14:textId="2CF25C26" w:rsidR="00D87BE8" w:rsidRPr="00B07875" w:rsidRDefault="00D87BE8" w:rsidP="2B908401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E593D" w:rsidRPr="00B07875" w14:paraId="08E79D40" w14:textId="77777777" w:rsidTr="2B908401"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7EF" w14:textId="177E6E79" w:rsidR="00DE593D" w:rsidRPr="00B07875" w:rsidRDefault="00DE593D" w:rsidP="001B54EA">
            <w:pPr>
              <w:jc w:val="center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1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E95E" w14:textId="3A0F64E2" w:rsidR="00DE593D" w:rsidRPr="00B07875" w:rsidRDefault="00DE593D" w:rsidP="00DE593D">
            <w:pPr>
              <w:tabs>
                <w:tab w:val="left" w:pos="1050"/>
              </w:tabs>
              <w:ind w:left="5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07875">
              <w:rPr>
                <w:color w:val="000000"/>
                <w:sz w:val="24"/>
                <w:szCs w:val="24"/>
                <w:lang w:val="lt-LT"/>
              </w:rPr>
              <w:t>Ar teikiant pasiūlymą kartu galėsite pateikti informaciją apie suderinamumą su Perkančiosios organizacijos turimomis aplinkomis, t.y. nuorodą į oficialią gamintojo dokumentaciją, patvirtinančią atitikimą reikalavimams, arba pateikiant gamintojo raštą, patvirtinantį atitikimą reikalavimams (techninės specifikacijos 2.11 punkto reikalavimas); (galima nurodyti papildomą savo siūlomą būdą šiam patvirtinimui gauti)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AA6A" w14:textId="0AE01ACE" w:rsidR="00DE593D" w:rsidRPr="00B07875" w:rsidRDefault="00DE593D" w:rsidP="001B54EA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t xml:space="preserve">2.9.4. reikalaujama, kad telkiniai palaikytų ne žemesnę kaip 1.4 KMIP protokolo versiją ir būtų suderinami su </w:t>
            </w:r>
            <w:proofErr w:type="spellStart"/>
            <w:r w:rsidRPr="00B07875">
              <w:rPr>
                <w:sz w:val="24"/>
                <w:szCs w:val="24"/>
                <w:lang w:val="lt-LT"/>
              </w:rPr>
              <w:t>Thales</w:t>
            </w:r>
            <w:proofErr w:type="spellEnd"/>
            <w:r w:rsidRPr="00B0787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07875">
              <w:rPr>
                <w:sz w:val="24"/>
                <w:szCs w:val="24"/>
                <w:lang w:val="lt-LT"/>
              </w:rPr>
              <w:t>CipherTrust</w:t>
            </w:r>
            <w:proofErr w:type="spellEnd"/>
            <w:r w:rsidRPr="00B07875">
              <w:rPr>
                <w:sz w:val="24"/>
                <w:szCs w:val="24"/>
                <w:lang w:val="lt-LT"/>
              </w:rPr>
              <w:t xml:space="preserve"> Manager raktų saugykla, bei turi būti pateikta nuoroda į oficialią gamintojo svetainę. Mūsų planuojamas siūlyti sprendimas palaiko KMIP 1.4 ir tai patvirtina gamintojo dokumentacija. Tuo tarpu </w:t>
            </w:r>
            <w:proofErr w:type="spellStart"/>
            <w:r w:rsidRPr="00B07875">
              <w:rPr>
                <w:sz w:val="24"/>
                <w:szCs w:val="24"/>
                <w:lang w:val="lt-LT"/>
              </w:rPr>
              <w:lastRenderedPageBreak/>
              <w:t>Thales</w:t>
            </w:r>
            <w:proofErr w:type="spellEnd"/>
            <w:r w:rsidRPr="00B07875">
              <w:rPr>
                <w:sz w:val="24"/>
                <w:szCs w:val="24"/>
                <w:lang w:val="lt-LT"/>
              </w:rPr>
              <w:t xml:space="preserve"> savo svetainėje pateikia informaciją, kad yra suderinami su mūsų planuojamu siūlyti sprendimu, tačiau mūsų sprendimo gamintojas konkrečiai </w:t>
            </w:r>
            <w:proofErr w:type="spellStart"/>
            <w:r w:rsidRPr="00B07875">
              <w:rPr>
                <w:sz w:val="24"/>
                <w:szCs w:val="24"/>
                <w:lang w:val="lt-LT"/>
              </w:rPr>
              <w:t>Thales</w:t>
            </w:r>
            <w:proofErr w:type="spellEnd"/>
            <w:r w:rsidRPr="00B07875">
              <w:rPr>
                <w:sz w:val="24"/>
                <w:szCs w:val="24"/>
                <w:lang w:val="lt-LT"/>
              </w:rPr>
              <w:t xml:space="preserve"> savo puslapyje nenurodo. Siūlome leisti suderinamumą patvirtinti arba sprendimo gamintojo svetainėje arba raktų saugyklos gamintojo svetainėje.</w:t>
            </w:r>
          </w:p>
        </w:tc>
        <w:tc>
          <w:tcPr>
            <w:tcW w:w="1936" w:type="pct"/>
            <w:shd w:val="clear" w:color="auto" w:fill="auto"/>
          </w:tcPr>
          <w:p w14:paraId="66709A98" w14:textId="579C4CC1" w:rsidR="00DE593D" w:rsidRPr="00B07875" w:rsidRDefault="7C438D4E" w:rsidP="2B908401">
            <w:pPr>
              <w:jc w:val="both"/>
              <w:rPr>
                <w:sz w:val="24"/>
                <w:szCs w:val="24"/>
                <w:lang w:val="lt-LT"/>
              </w:rPr>
            </w:pPr>
            <w:r w:rsidRPr="00B07875">
              <w:rPr>
                <w:sz w:val="24"/>
                <w:szCs w:val="24"/>
                <w:lang w:val="lt-LT"/>
              </w:rPr>
              <w:lastRenderedPageBreak/>
              <w:t xml:space="preserve">Protokolas </w:t>
            </w:r>
            <w:r w:rsidR="32773D8D" w:rsidRPr="00B07875">
              <w:rPr>
                <w:sz w:val="24"/>
                <w:szCs w:val="24"/>
                <w:lang w:val="lt-LT"/>
              </w:rPr>
              <w:t xml:space="preserve">bendrąja prasme </w:t>
            </w:r>
            <w:r w:rsidRPr="00B07875">
              <w:rPr>
                <w:sz w:val="24"/>
                <w:szCs w:val="24"/>
                <w:lang w:val="lt-LT"/>
              </w:rPr>
              <w:t xml:space="preserve">yra taisyklių rinkinys. </w:t>
            </w:r>
            <w:r w:rsidR="0AD3E6C8" w:rsidRPr="00B07875">
              <w:rPr>
                <w:sz w:val="24"/>
                <w:szCs w:val="24"/>
                <w:lang w:val="lt-LT"/>
              </w:rPr>
              <w:t xml:space="preserve">KMIP </w:t>
            </w:r>
            <w:r w:rsidR="0F6994E0" w:rsidRPr="00B07875">
              <w:rPr>
                <w:sz w:val="24"/>
                <w:szCs w:val="24"/>
                <w:lang w:val="lt-LT"/>
              </w:rPr>
              <w:t xml:space="preserve">(angl. </w:t>
            </w:r>
            <w:proofErr w:type="spellStart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>Key</w:t>
            </w:r>
            <w:proofErr w:type="spellEnd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>Management</w:t>
            </w:r>
            <w:proofErr w:type="spellEnd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>Interoperability</w:t>
            </w:r>
            <w:proofErr w:type="spellEnd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F6994E0" w:rsidRPr="00B07875">
              <w:rPr>
                <w:i/>
                <w:iCs/>
                <w:sz w:val="24"/>
                <w:szCs w:val="24"/>
                <w:lang w:val="lt-LT"/>
              </w:rPr>
              <w:t>Protocol</w:t>
            </w:r>
            <w:proofErr w:type="spellEnd"/>
            <w:r w:rsidR="0F6994E0" w:rsidRPr="00B07875">
              <w:rPr>
                <w:sz w:val="24"/>
                <w:szCs w:val="24"/>
                <w:lang w:val="lt-LT"/>
              </w:rPr>
              <w:t xml:space="preserve">) </w:t>
            </w:r>
            <w:r w:rsidR="0AD3E6C8" w:rsidRPr="00B07875">
              <w:rPr>
                <w:sz w:val="24"/>
                <w:szCs w:val="24"/>
                <w:lang w:val="lt-LT"/>
              </w:rPr>
              <w:t xml:space="preserve">yra protokolas. </w:t>
            </w:r>
            <w:r w:rsidR="7C0571A6" w:rsidRPr="00B07875">
              <w:rPr>
                <w:sz w:val="24"/>
                <w:szCs w:val="24"/>
                <w:lang w:val="lt-LT"/>
              </w:rPr>
              <w:t>Perkančiosios organizacijos nuomone, gamintojas yra atsakingas už protokolų diegimą</w:t>
            </w:r>
            <w:r w:rsidR="69A6DF6A" w:rsidRPr="00B07875">
              <w:rPr>
                <w:sz w:val="24"/>
                <w:szCs w:val="24"/>
                <w:lang w:val="lt-LT"/>
              </w:rPr>
              <w:t xml:space="preserve"> </w:t>
            </w:r>
            <w:r w:rsidR="7C0571A6" w:rsidRPr="00B07875">
              <w:rPr>
                <w:sz w:val="24"/>
                <w:szCs w:val="24"/>
                <w:lang w:val="lt-LT"/>
              </w:rPr>
              <w:t>savo įrenginiuose</w:t>
            </w:r>
            <w:r w:rsidR="05FA64F7" w:rsidRPr="00B07875">
              <w:rPr>
                <w:sz w:val="24"/>
                <w:szCs w:val="24"/>
                <w:lang w:val="lt-LT"/>
              </w:rPr>
              <w:t xml:space="preserve"> (gaminiuose)</w:t>
            </w:r>
            <w:r w:rsidR="7C0571A6" w:rsidRPr="00B07875">
              <w:rPr>
                <w:sz w:val="24"/>
                <w:szCs w:val="24"/>
                <w:lang w:val="lt-LT"/>
              </w:rPr>
              <w:t>.</w:t>
            </w:r>
            <w:r w:rsidR="1C6080B1" w:rsidRPr="00B07875">
              <w:rPr>
                <w:sz w:val="24"/>
                <w:szCs w:val="24"/>
                <w:lang w:val="lt-LT"/>
              </w:rPr>
              <w:t xml:space="preserve"> </w:t>
            </w:r>
            <w:r w:rsidR="43B1C974" w:rsidRPr="00B07875">
              <w:rPr>
                <w:sz w:val="24"/>
                <w:szCs w:val="24"/>
                <w:lang w:val="lt-LT"/>
              </w:rPr>
              <w:t>Perkančioji organizacija taip pat mano, kad</w:t>
            </w:r>
            <w:r w:rsidR="7BFF0EDD" w:rsidRPr="00B07875">
              <w:rPr>
                <w:sz w:val="24"/>
                <w:szCs w:val="24"/>
                <w:lang w:val="lt-LT"/>
              </w:rPr>
              <w:t xml:space="preserve"> už įrenginio (gaminio) suderinamumą </w:t>
            </w:r>
            <w:r w:rsidR="22538025" w:rsidRPr="00B07875">
              <w:rPr>
                <w:sz w:val="24"/>
                <w:szCs w:val="24"/>
                <w:lang w:val="lt-LT"/>
              </w:rPr>
              <w:t xml:space="preserve"> </w:t>
            </w:r>
            <w:r w:rsidR="7BFF0EDD" w:rsidRPr="00B07875">
              <w:rPr>
                <w:sz w:val="24"/>
                <w:szCs w:val="24"/>
                <w:lang w:val="lt-LT"/>
              </w:rPr>
              <w:t>su kit</w:t>
            </w:r>
            <w:r w:rsidR="78B7193B" w:rsidRPr="00B07875">
              <w:rPr>
                <w:sz w:val="24"/>
                <w:szCs w:val="24"/>
                <w:lang w:val="lt-LT"/>
              </w:rPr>
              <w:t>ų gamintojų</w:t>
            </w:r>
            <w:r w:rsidR="7BFF0EDD" w:rsidRPr="00B07875">
              <w:rPr>
                <w:sz w:val="24"/>
                <w:szCs w:val="24"/>
                <w:lang w:val="lt-LT"/>
              </w:rPr>
              <w:t xml:space="preserve"> </w:t>
            </w:r>
            <w:r w:rsidR="3741E6D0" w:rsidRPr="00B07875">
              <w:rPr>
                <w:sz w:val="24"/>
                <w:szCs w:val="24"/>
                <w:lang w:val="lt-LT"/>
              </w:rPr>
              <w:t>produktais</w:t>
            </w:r>
            <w:r w:rsidR="00C6EE12" w:rsidRPr="00B07875">
              <w:rPr>
                <w:sz w:val="24"/>
                <w:szCs w:val="24"/>
                <w:lang w:val="lt-LT"/>
              </w:rPr>
              <w:t xml:space="preserve"> protokolų lygmenyje</w:t>
            </w:r>
            <w:r w:rsidR="3741E6D0" w:rsidRPr="00B07875">
              <w:rPr>
                <w:sz w:val="24"/>
                <w:szCs w:val="24"/>
                <w:lang w:val="lt-LT"/>
              </w:rPr>
              <w:t xml:space="preserve"> </w:t>
            </w:r>
            <w:r w:rsidR="7BFF0EDD" w:rsidRPr="00B07875">
              <w:rPr>
                <w:sz w:val="24"/>
                <w:szCs w:val="24"/>
                <w:lang w:val="lt-LT"/>
              </w:rPr>
              <w:t xml:space="preserve">yra atsakingas </w:t>
            </w:r>
            <w:r w:rsidR="490682D5" w:rsidRPr="00B07875">
              <w:rPr>
                <w:sz w:val="24"/>
                <w:szCs w:val="24"/>
                <w:lang w:val="lt-LT"/>
              </w:rPr>
              <w:t xml:space="preserve">įrenginio (gaminio) </w:t>
            </w:r>
            <w:r w:rsidR="7BFF0EDD" w:rsidRPr="00B07875">
              <w:rPr>
                <w:sz w:val="24"/>
                <w:szCs w:val="24"/>
                <w:lang w:val="lt-LT"/>
              </w:rPr>
              <w:t>gamintojas.</w:t>
            </w:r>
            <w:r w:rsidR="65364B8E" w:rsidRPr="00B07875">
              <w:rPr>
                <w:sz w:val="24"/>
                <w:szCs w:val="24"/>
                <w:lang w:val="lt-LT"/>
              </w:rPr>
              <w:t xml:space="preserve"> </w:t>
            </w:r>
            <w:r w:rsidR="11EB440D" w:rsidRPr="00B07875">
              <w:rPr>
                <w:sz w:val="24"/>
                <w:szCs w:val="24"/>
                <w:lang w:val="lt-LT"/>
              </w:rPr>
              <w:t xml:space="preserve">Perkančiosios organizacijos </w:t>
            </w:r>
            <w:r w:rsidR="563AC40A" w:rsidRPr="00B07875">
              <w:rPr>
                <w:sz w:val="24"/>
                <w:szCs w:val="24"/>
                <w:lang w:val="lt-LT"/>
              </w:rPr>
              <w:t>manymu</w:t>
            </w:r>
            <w:r w:rsidR="11EB440D" w:rsidRPr="00B07875">
              <w:rPr>
                <w:sz w:val="24"/>
                <w:szCs w:val="24"/>
                <w:lang w:val="lt-LT"/>
              </w:rPr>
              <w:t xml:space="preserve">, reikalavimas gamintojui įrodyti įrenginių </w:t>
            </w:r>
            <w:r w:rsidR="750522CB" w:rsidRPr="00B07875">
              <w:rPr>
                <w:sz w:val="24"/>
                <w:szCs w:val="24"/>
                <w:lang w:val="lt-LT"/>
              </w:rPr>
              <w:t xml:space="preserve">(gaminių) </w:t>
            </w:r>
            <w:r w:rsidR="11EB440D" w:rsidRPr="00B07875">
              <w:rPr>
                <w:sz w:val="24"/>
                <w:szCs w:val="24"/>
                <w:lang w:val="lt-LT"/>
              </w:rPr>
              <w:t xml:space="preserve">suderinamumą </w:t>
            </w:r>
            <w:r w:rsidR="61520335" w:rsidRPr="00B07875">
              <w:rPr>
                <w:sz w:val="24"/>
                <w:szCs w:val="24"/>
                <w:lang w:val="lt-LT"/>
              </w:rPr>
              <w:t xml:space="preserve">su kitų </w:t>
            </w:r>
            <w:r w:rsidR="61520335" w:rsidRPr="0061438A">
              <w:rPr>
                <w:sz w:val="24"/>
                <w:szCs w:val="24"/>
                <w:lang w:val="lt-LT"/>
              </w:rPr>
              <w:t xml:space="preserve">gamintojų gaminamais produktais </w:t>
            </w:r>
            <w:r w:rsidR="11EB440D" w:rsidRPr="0061438A">
              <w:rPr>
                <w:sz w:val="24"/>
                <w:szCs w:val="24"/>
                <w:lang w:val="lt-LT"/>
              </w:rPr>
              <w:t>yra pagrįstas</w:t>
            </w:r>
            <w:r w:rsidR="7632C1EA" w:rsidRPr="0061438A">
              <w:rPr>
                <w:sz w:val="24"/>
                <w:szCs w:val="24"/>
                <w:lang w:val="lt-LT"/>
              </w:rPr>
              <w:t>.</w:t>
            </w:r>
            <w:r w:rsidR="4ECA1ACD" w:rsidRPr="0061438A">
              <w:rPr>
                <w:sz w:val="24"/>
                <w:szCs w:val="24"/>
                <w:lang w:val="lt-LT"/>
              </w:rPr>
              <w:t xml:space="preserve"> Į siūlymą neatsižvelgta</w:t>
            </w:r>
            <w:r w:rsidR="4ECA1ACD" w:rsidRPr="00B07875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141741E8" w14:textId="77777777" w:rsidR="00AE540D" w:rsidRPr="00B07875" w:rsidRDefault="00AE540D" w:rsidP="00AE540D">
      <w:pPr>
        <w:rPr>
          <w:lang w:val="lt-LT"/>
        </w:rPr>
      </w:pPr>
    </w:p>
    <w:p w14:paraId="5B481C06" w14:textId="77777777" w:rsidR="00AE540D" w:rsidRPr="00B07875" w:rsidRDefault="00AE540D" w:rsidP="00AE540D">
      <w:pPr>
        <w:rPr>
          <w:lang w:val="lt-LT"/>
        </w:rPr>
      </w:pPr>
    </w:p>
    <w:p w14:paraId="7D20BE85" w14:textId="77777777" w:rsidR="00C3164D" w:rsidRPr="00B07875" w:rsidRDefault="00C3164D">
      <w:pPr>
        <w:rPr>
          <w:lang w:val="lt-LT"/>
        </w:rPr>
      </w:pPr>
    </w:p>
    <w:sectPr w:rsidR="00C3164D" w:rsidRPr="00B07875" w:rsidSect="00AE54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2EB9C"/>
    <w:multiLevelType w:val="hybridMultilevel"/>
    <w:tmpl w:val="D708E5D4"/>
    <w:lvl w:ilvl="0" w:tplc="ADAE6FE2">
      <w:start w:val="1"/>
      <w:numFmt w:val="decimal"/>
      <w:lvlText w:val="%1."/>
      <w:lvlJc w:val="left"/>
      <w:pPr>
        <w:ind w:left="720" w:hanging="360"/>
      </w:pPr>
    </w:lvl>
    <w:lvl w:ilvl="1" w:tplc="B0FC39DC">
      <w:start w:val="1"/>
      <w:numFmt w:val="lowerLetter"/>
      <w:lvlText w:val="%2."/>
      <w:lvlJc w:val="left"/>
      <w:pPr>
        <w:ind w:left="1440" w:hanging="360"/>
      </w:pPr>
    </w:lvl>
    <w:lvl w:ilvl="2" w:tplc="13A2AEC6">
      <w:start w:val="1"/>
      <w:numFmt w:val="lowerRoman"/>
      <w:lvlText w:val="%3."/>
      <w:lvlJc w:val="right"/>
      <w:pPr>
        <w:ind w:left="2160" w:hanging="180"/>
      </w:pPr>
    </w:lvl>
    <w:lvl w:ilvl="3" w:tplc="97841D2A">
      <w:start w:val="1"/>
      <w:numFmt w:val="decimal"/>
      <w:lvlText w:val="%4."/>
      <w:lvlJc w:val="left"/>
      <w:pPr>
        <w:ind w:left="2880" w:hanging="360"/>
      </w:pPr>
    </w:lvl>
    <w:lvl w:ilvl="4" w:tplc="507C05F8">
      <w:start w:val="1"/>
      <w:numFmt w:val="lowerLetter"/>
      <w:lvlText w:val="%5."/>
      <w:lvlJc w:val="left"/>
      <w:pPr>
        <w:ind w:left="3600" w:hanging="360"/>
      </w:pPr>
    </w:lvl>
    <w:lvl w:ilvl="5" w:tplc="56D48C6C">
      <w:start w:val="1"/>
      <w:numFmt w:val="lowerRoman"/>
      <w:lvlText w:val="%6."/>
      <w:lvlJc w:val="right"/>
      <w:pPr>
        <w:ind w:left="4320" w:hanging="180"/>
      </w:pPr>
    </w:lvl>
    <w:lvl w:ilvl="6" w:tplc="7A70BAA8">
      <w:start w:val="1"/>
      <w:numFmt w:val="decimal"/>
      <w:lvlText w:val="%7."/>
      <w:lvlJc w:val="left"/>
      <w:pPr>
        <w:ind w:left="5040" w:hanging="360"/>
      </w:pPr>
    </w:lvl>
    <w:lvl w:ilvl="7" w:tplc="62F27820">
      <w:start w:val="1"/>
      <w:numFmt w:val="lowerLetter"/>
      <w:lvlText w:val="%8."/>
      <w:lvlJc w:val="left"/>
      <w:pPr>
        <w:ind w:left="5760" w:hanging="360"/>
      </w:pPr>
    </w:lvl>
    <w:lvl w:ilvl="8" w:tplc="E804A360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D"/>
    <w:rsid w:val="000C6652"/>
    <w:rsid w:val="000E6A87"/>
    <w:rsid w:val="001B54EA"/>
    <w:rsid w:val="001E4B37"/>
    <w:rsid w:val="002004A4"/>
    <w:rsid w:val="00240364"/>
    <w:rsid w:val="002766B9"/>
    <w:rsid w:val="003558B3"/>
    <w:rsid w:val="0041394D"/>
    <w:rsid w:val="004C00D7"/>
    <w:rsid w:val="0050E866"/>
    <w:rsid w:val="005928E3"/>
    <w:rsid w:val="0061438A"/>
    <w:rsid w:val="00644144"/>
    <w:rsid w:val="00725FEE"/>
    <w:rsid w:val="00732954"/>
    <w:rsid w:val="0080117D"/>
    <w:rsid w:val="009145E3"/>
    <w:rsid w:val="00975F45"/>
    <w:rsid w:val="00AE540D"/>
    <w:rsid w:val="00B07875"/>
    <w:rsid w:val="00B46B91"/>
    <w:rsid w:val="00BF129A"/>
    <w:rsid w:val="00C2316A"/>
    <w:rsid w:val="00C3164D"/>
    <w:rsid w:val="00C6EE12"/>
    <w:rsid w:val="00D61066"/>
    <w:rsid w:val="00D87BE8"/>
    <w:rsid w:val="00DE593D"/>
    <w:rsid w:val="00E17C23"/>
    <w:rsid w:val="00F02605"/>
    <w:rsid w:val="00F95595"/>
    <w:rsid w:val="00FC0186"/>
    <w:rsid w:val="0146005D"/>
    <w:rsid w:val="01FE525A"/>
    <w:rsid w:val="026AC952"/>
    <w:rsid w:val="02AF99A6"/>
    <w:rsid w:val="02C5096A"/>
    <w:rsid w:val="02DE1E2F"/>
    <w:rsid w:val="036C04E0"/>
    <w:rsid w:val="03B3AD0D"/>
    <w:rsid w:val="03FBB4EF"/>
    <w:rsid w:val="042B11BF"/>
    <w:rsid w:val="04BF8435"/>
    <w:rsid w:val="05116B86"/>
    <w:rsid w:val="05F37587"/>
    <w:rsid w:val="05FA64F7"/>
    <w:rsid w:val="06ECB619"/>
    <w:rsid w:val="06FF2B4A"/>
    <w:rsid w:val="0795402C"/>
    <w:rsid w:val="0907B453"/>
    <w:rsid w:val="0920E9D3"/>
    <w:rsid w:val="0951C03F"/>
    <w:rsid w:val="0971CD09"/>
    <w:rsid w:val="0A4D057A"/>
    <w:rsid w:val="0A680EF4"/>
    <w:rsid w:val="0A705466"/>
    <w:rsid w:val="0AA9D540"/>
    <w:rsid w:val="0AC3B7BB"/>
    <w:rsid w:val="0AD3E6C8"/>
    <w:rsid w:val="0BD368EE"/>
    <w:rsid w:val="0C002606"/>
    <w:rsid w:val="0C254710"/>
    <w:rsid w:val="0C386269"/>
    <w:rsid w:val="0C59C880"/>
    <w:rsid w:val="0D0900C8"/>
    <w:rsid w:val="0D134A26"/>
    <w:rsid w:val="0D22AD73"/>
    <w:rsid w:val="0D3BEA42"/>
    <w:rsid w:val="0D532671"/>
    <w:rsid w:val="0D641494"/>
    <w:rsid w:val="0D738A1B"/>
    <w:rsid w:val="0DCDA900"/>
    <w:rsid w:val="0EEFF802"/>
    <w:rsid w:val="0EF3802C"/>
    <w:rsid w:val="0EF3B3A6"/>
    <w:rsid w:val="0F264C26"/>
    <w:rsid w:val="0F6994E0"/>
    <w:rsid w:val="0F820053"/>
    <w:rsid w:val="0F903025"/>
    <w:rsid w:val="0FD1E133"/>
    <w:rsid w:val="0FE6B047"/>
    <w:rsid w:val="1025844A"/>
    <w:rsid w:val="102BED89"/>
    <w:rsid w:val="10AEF0DC"/>
    <w:rsid w:val="10E9117B"/>
    <w:rsid w:val="111056D0"/>
    <w:rsid w:val="114F3DA8"/>
    <w:rsid w:val="118E5057"/>
    <w:rsid w:val="11EB440D"/>
    <w:rsid w:val="1364C9B4"/>
    <w:rsid w:val="136C4500"/>
    <w:rsid w:val="137ACD9E"/>
    <w:rsid w:val="13D7F0D9"/>
    <w:rsid w:val="1411FE46"/>
    <w:rsid w:val="14DF29E2"/>
    <w:rsid w:val="15197ACC"/>
    <w:rsid w:val="1525B052"/>
    <w:rsid w:val="16641D8E"/>
    <w:rsid w:val="16BB400B"/>
    <w:rsid w:val="16CA5792"/>
    <w:rsid w:val="174A1A35"/>
    <w:rsid w:val="179E34EC"/>
    <w:rsid w:val="17EF669E"/>
    <w:rsid w:val="1813C836"/>
    <w:rsid w:val="18740226"/>
    <w:rsid w:val="18FAC608"/>
    <w:rsid w:val="19193EBE"/>
    <w:rsid w:val="1AACBB7C"/>
    <w:rsid w:val="1AAD7F95"/>
    <w:rsid w:val="1AE57B44"/>
    <w:rsid w:val="1AFD1EEF"/>
    <w:rsid w:val="1BBAE55B"/>
    <w:rsid w:val="1BCA1ECE"/>
    <w:rsid w:val="1BEE4C69"/>
    <w:rsid w:val="1C6080B1"/>
    <w:rsid w:val="1C9636C3"/>
    <w:rsid w:val="1CF145A3"/>
    <w:rsid w:val="1CFAAAC6"/>
    <w:rsid w:val="1D1ACA22"/>
    <w:rsid w:val="1D6B6991"/>
    <w:rsid w:val="1D922B1B"/>
    <w:rsid w:val="1DA81E35"/>
    <w:rsid w:val="1DCB00FE"/>
    <w:rsid w:val="1DEC6F8F"/>
    <w:rsid w:val="1E3DC593"/>
    <w:rsid w:val="1E9C0A3D"/>
    <w:rsid w:val="1F23A157"/>
    <w:rsid w:val="1F8959D9"/>
    <w:rsid w:val="200CC761"/>
    <w:rsid w:val="200F80B4"/>
    <w:rsid w:val="2063BD54"/>
    <w:rsid w:val="2075ECD0"/>
    <w:rsid w:val="21434A8C"/>
    <w:rsid w:val="218298DB"/>
    <w:rsid w:val="21E90DF9"/>
    <w:rsid w:val="221ED170"/>
    <w:rsid w:val="222339FC"/>
    <w:rsid w:val="22538025"/>
    <w:rsid w:val="22DFF50B"/>
    <w:rsid w:val="2349C9B8"/>
    <w:rsid w:val="2393BC78"/>
    <w:rsid w:val="23B9743F"/>
    <w:rsid w:val="2414F795"/>
    <w:rsid w:val="24AD152F"/>
    <w:rsid w:val="2509CB05"/>
    <w:rsid w:val="2558D6B2"/>
    <w:rsid w:val="2573A31B"/>
    <w:rsid w:val="25F85F76"/>
    <w:rsid w:val="2706CA2D"/>
    <w:rsid w:val="270C7B63"/>
    <w:rsid w:val="272A5821"/>
    <w:rsid w:val="275827E7"/>
    <w:rsid w:val="27C1838F"/>
    <w:rsid w:val="27C4B22D"/>
    <w:rsid w:val="27E106E8"/>
    <w:rsid w:val="28263A4F"/>
    <w:rsid w:val="2833D712"/>
    <w:rsid w:val="285A7E7A"/>
    <w:rsid w:val="28E37793"/>
    <w:rsid w:val="28F9C0EA"/>
    <w:rsid w:val="295B290B"/>
    <w:rsid w:val="2A4F3953"/>
    <w:rsid w:val="2AB955C8"/>
    <w:rsid w:val="2AB9E000"/>
    <w:rsid w:val="2B152D1F"/>
    <w:rsid w:val="2B2D5E32"/>
    <w:rsid w:val="2B572420"/>
    <w:rsid w:val="2B908401"/>
    <w:rsid w:val="2B9F6BDF"/>
    <w:rsid w:val="2C5FC286"/>
    <w:rsid w:val="2C8FCF7E"/>
    <w:rsid w:val="2CC2F464"/>
    <w:rsid w:val="2CCB3122"/>
    <w:rsid w:val="2CE6D687"/>
    <w:rsid w:val="2CE8676F"/>
    <w:rsid w:val="2D12BD87"/>
    <w:rsid w:val="2DCEDFBE"/>
    <w:rsid w:val="2E4AAF82"/>
    <w:rsid w:val="2E84983C"/>
    <w:rsid w:val="2EDC11CD"/>
    <w:rsid w:val="302A98B7"/>
    <w:rsid w:val="307EDD73"/>
    <w:rsid w:val="309135C3"/>
    <w:rsid w:val="313F768C"/>
    <w:rsid w:val="3182903C"/>
    <w:rsid w:val="31B8A1C4"/>
    <w:rsid w:val="320B0B26"/>
    <w:rsid w:val="32400A2A"/>
    <w:rsid w:val="32773D8D"/>
    <w:rsid w:val="3367FEEB"/>
    <w:rsid w:val="33BFA944"/>
    <w:rsid w:val="3442E6EB"/>
    <w:rsid w:val="34813476"/>
    <w:rsid w:val="34D2EDF9"/>
    <w:rsid w:val="352974D2"/>
    <w:rsid w:val="3545AE16"/>
    <w:rsid w:val="356A12E8"/>
    <w:rsid w:val="35C3D66B"/>
    <w:rsid w:val="361E0013"/>
    <w:rsid w:val="362A038D"/>
    <w:rsid w:val="363DBF6C"/>
    <w:rsid w:val="363E371A"/>
    <w:rsid w:val="36B3E241"/>
    <w:rsid w:val="3741E6D0"/>
    <w:rsid w:val="37F22AAA"/>
    <w:rsid w:val="38C9067A"/>
    <w:rsid w:val="39A6DF23"/>
    <w:rsid w:val="3A0DCB2D"/>
    <w:rsid w:val="3A1BC2E5"/>
    <w:rsid w:val="3A80BFAB"/>
    <w:rsid w:val="3AA3D871"/>
    <w:rsid w:val="3D10FB3C"/>
    <w:rsid w:val="3D33F216"/>
    <w:rsid w:val="3D38B3AC"/>
    <w:rsid w:val="3E23093B"/>
    <w:rsid w:val="3E4FFBF2"/>
    <w:rsid w:val="3F8EA8B1"/>
    <w:rsid w:val="3F9342B2"/>
    <w:rsid w:val="3FAB456C"/>
    <w:rsid w:val="3FD88E05"/>
    <w:rsid w:val="40164DE2"/>
    <w:rsid w:val="40221590"/>
    <w:rsid w:val="402DE01B"/>
    <w:rsid w:val="4039A4A9"/>
    <w:rsid w:val="40F5E6CC"/>
    <w:rsid w:val="41095CC5"/>
    <w:rsid w:val="410A002F"/>
    <w:rsid w:val="414F0FD2"/>
    <w:rsid w:val="417EA0A6"/>
    <w:rsid w:val="41D9F420"/>
    <w:rsid w:val="427C2A9A"/>
    <w:rsid w:val="429F1230"/>
    <w:rsid w:val="42B420C3"/>
    <w:rsid w:val="43069357"/>
    <w:rsid w:val="4363FA07"/>
    <w:rsid w:val="43992B5E"/>
    <w:rsid w:val="43B1C974"/>
    <w:rsid w:val="43C3F686"/>
    <w:rsid w:val="44049010"/>
    <w:rsid w:val="447CC443"/>
    <w:rsid w:val="4529C1AD"/>
    <w:rsid w:val="4563ED0B"/>
    <w:rsid w:val="459A19CC"/>
    <w:rsid w:val="45ADC0B1"/>
    <w:rsid w:val="45B265BA"/>
    <w:rsid w:val="469AEFE4"/>
    <w:rsid w:val="46A781D0"/>
    <w:rsid w:val="46DDB341"/>
    <w:rsid w:val="46FB2A5C"/>
    <w:rsid w:val="475F5A71"/>
    <w:rsid w:val="47717508"/>
    <w:rsid w:val="477D5D63"/>
    <w:rsid w:val="47B7383E"/>
    <w:rsid w:val="489018D7"/>
    <w:rsid w:val="49003D6E"/>
    <w:rsid w:val="4904DC29"/>
    <w:rsid w:val="490682D5"/>
    <w:rsid w:val="49ABB79B"/>
    <w:rsid w:val="4A21D928"/>
    <w:rsid w:val="4A5CB54A"/>
    <w:rsid w:val="4A8B4CD0"/>
    <w:rsid w:val="4AA03F04"/>
    <w:rsid w:val="4ACBD50E"/>
    <w:rsid w:val="4ACF776A"/>
    <w:rsid w:val="4AD2BA1E"/>
    <w:rsid w:val="4BD86050"/>
    <w:rsid w:val="4BE2760C"/>
    <w:rsid w:val="4C430923"/>
    <w:rsid w:val="4C977F57"/>
    <w:rsid w:val="4CCD3680"/>
    <w:rsid w:val="4CF2AEB5"/>
    <w:rsid w:val="4D8EDECD"/>
    <w:rsid w:val="4DDE055B"/>
    <w:rsid w:val="4E02F42B"/>
    <w:rsid w:val="4E249C20"/>
    <w:rsid w:val="4E571FA8"/>
    <w:rsid w:val="4ECA1ACD"/>
    <w:rsid w:val="4EF1FB62"/>
    <w:rsid w:val="4EF7D9E3"/>
    <w:rsid w:val="4F584C21"/>
    <w:rsid w:val="4F7E0848"/>
    <w:rsid w:val="509E31A4"/>
    <w:rsid w:val="513D1FE0"/>
    <w:rsid w:val="514C209C"/>
    <w:rsid w:val="51C87557"/>
    <w:rsid w:val="52445F66"/>
    <w:rsid w:val="5258F76B"/>
    <w:rsid w:val="53432D27"/>
    <w:rsid w:val="5360FE80"/>
    <w:rsid w:val="537B9417"/>
    <w:rsid w:val="539DE60D"/>
    <w:rsid w:val="54FC45F1"/>
    <w:rsid w:val="55B75EA7"/>
    <w:rsid w:val="55EDD117"/>
    <w:rsid w:val="5606A249"/>
    <w:rsid w:val="563AC40A"/>
    <w:rsid w:val="5641F688"/>
    <w:rsid w:val="5654493E"/>
    <w:rsid w:val="569382CF"/>
    <w:rsid w:val="56DE83E9"/>
    <w:rsid w:val="59154CDA"/>
    <w:rsid w:val="592B78EA"/>
    <w:rsid w:val="59E61674"/>
    <w:rsid w:val="5A1B44C0"/>
    <w:rsid w:val="5AA682E0"/>
    <w:rsid w:val="5AE036B3"/>
    <w:rsid w:val="5B57870C"/>
    <w:rsid w:val="5B842FA0"/>
    <w:rsid w:val="5BE39071"/>
    <w:rsid w:val="5C7046AE"/>
    <w:rsid w:val="5CD9BB9D"/>
    <w:rsid w:val="5DFA40BE"/>
    <w:rsid w:val="5E0ED072"/>
    <w:rsid w:val="5EA72704"/>
    <w:rsid w:val="5ECA8026"/>
    <w:rsid w:val="5F6D14D9"/>
    <w:rsid w:val="5F7CFC23"/>
    <w:rsid w:val="607374DE"/>
    <w:rsid w:val="60B46D75"/>
    <w:rsid w:val="61520335"/>
    <w:rsid w:val="622E2F87"/>
    <w:rsid w:val="62387100"/>
    <w:rsid w:val="64E416D0"/>
    <w:rsid w:val="65364B8E"/>
    <w:rsid w:val="65CC724A"/>
    <w:rsid w:val="65F76EF7"/>
    <w:rsid w:val="6666B201"/>
    <w:rsid w:val="66930F20"/>
    <w:rsid w:val="66980F05"/>
    <w:rsid w:val="66D46452"/>
    <w:rsid w:val="66D8CBD0"/>
    <w:rsid w:val="66E1018C"/>
    <w:rsid w:val="67DB64B3"/>
    <w:rsid w:val="6877C942"/>
    <w:rsid w:val="6898C92B"/>
    <w:rsid w:val="68A903EF"/>
    <w:rsid w:val="699FF3CD"/>
    <w:rsid w:val="69A6DF6A"/>
    <w:rsid w:val="69CEB431"/>
    <w:rsid w:val="6A2A380C"/>
    <w:rsid w:val="6A730F9C"/>
    <w:rsid w:val="6A89A4AB"/>
    <w:rsid w:val="6AC2CB91"/>
    <w:rsid w:val="6AD6EF18"/>
    <w:rsid w:val="6AEEA0FD"/>
    <w:rsid w:val="6B1B44C0"/>
    <w:rsid w:val="6B2CAEAC"/>
    <w:rsid w:val="6B89F999"/>
    <w:rsid w:val="6B9732B3"/>
    <w:rsid w:val="6BC9624D"/>
    <w:rsid w:val="6BF0A4CE"/>
    <w:rsid w:val="6C3A2253"/>
    <w:rsid w:val="6D3D092C"/>
    <w:rsid w:val="6D5671BD"/>
    <w:rsid w:val="6D9B75A8"/>
    <w:rsid w:val="6DA1006B"/>
    <w:rsid w:val="6E34690B"/>
    <w:rsid w:val="6E9B6492"/>
    <w:rsid w:val="6EF8A03B"/>
    <w:rsid w:val="6FD5DBAB"/>
    <w:rsid w:val="7086E5A6"/>
    <w:rsid w:val="7114F3DE"/>
    <w:rsid w:val="71A7BF85"/>
    <w:rsid w:val="71C21BD2"/>
    <w:rsid w:val="72056C35"/>
    <w:rsid w:val="720D1AB7"/>
    <w:rsid w:val="723F795A"/>
    <w:rsid w:val="72DF4005"/>
    <w:rsid w:val="7319674D"/>
    <w:rsid w:val="73458C80"/>
    <w:rsid w:val="736276CB"/>
    <w:rsid w:val="7392C781"/>
    <w:rsid w:val="74EEEDD3"/>
    <w:rsid w:val="74F856A5"/>
    <w:rsid w:val="750522CB"/>
    <w:rsid w:val="75223F4E"/>
    <w:rsid w:val="7560DC4A"/>
    <w:rsid w:val="756D67C6"/>
    <w:rsid w:val="75A09E10"/>
    <w:rsid w:val="7601AC76"/>
    <w:rsid w:val="761DE245"/>
    <w:rsid w:val="7632C1EA"/>
    <w:rsid w:val="76441196"/>
    <w:rsid w:val="7671FABB"/>
    <w:rsid w:val="7692CC86"/>
    <w:rsid w:val="772BDC4D"/>
    <w:rsid w:val="772D7A95"/>
    <w:rsid w:val="774FF26C"/>
    <w:rsid w:val="776F8137"/>
    <w:rsid w:val="77AB50EA"/>
    <w:rsid w:val="78173204"/>
    <w:rsid w:val="78683591"/>
    <w:rsid w:val="78B7193B"/>
    <w:rsid w:val="791A469C"/>
    <w:rsid w:val="79872725"/>
    <w:rsid w:val="79F6A425"/>
    <w:rsid w:val="7B6A51A4"/>
    <w:rsid w:val="7BFF0EDD"/>
    <w:rsid w:val="7C0571A6"/>
    <w:rsid w:val="7C438D4E"/>
    <w:rsid w:val="7C90D832"/>
    <w:rsid w:val="7CE00F5E"/>
    <w:rsid w:val="7D752E18"/>
    <w:rsid w:val="7DEAB58E"/>
    <w:rsid w:val="7DF701A7"/>
    <w:rsid w:val="7F7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DF0"/>
  <w15:chartTrackingRefBased/>
  <w15:docId w15:val="{0C108C01-DEC7-4A70-A899-A05E3FB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0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6B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ED39A-899E-465C-9903-E559C905102D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2.xml><?xml version="1.0" encoding="utf-8"?>
<ds:datastoreItem xmlns:ds="http://schemas.openxmlformats.org/officeDocument/2006/customXml" ds:itemID="{D510280A-7C11-4390-A394-9C43FAEE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DA13C-B326-46EF-AC36-380C5648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4</cp:revision>
  <dcterms:created xsi:type="dcterms:W3CDTF">2025-01-28T08:59:00Z</dcterms:created>
  <dcterms:modified xsi:type="dcterms:W3CDTF">2025-01-28T11:11:00Z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