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3.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3.xml" ContentType="application/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pacing w:before="0" w:after="0"/>
        <w:ind w:left="5103"/>
        <w:rPr>
          <w:b w:val="false"/>
          <w:bCs w:val="false"/>
        </w:rPr>
      </w:pPr>
      <w:bookmarkStart w:id="0" w:name="_Toc213187625"/>
      <w:bookmarkStart w:id="1" w:name="_Ref38533412"/>
      <w:bookmarkStart w:id="2" w:name="_Ref38291334"/>
      <w:bookmarkStart w:id="3" w:name="_Ref38291223"/>
      <w:r>
        <w:rPr>
          <w:rFonts w:eastAsia="Calibri" w:cs="Times New Roman" w:ascii="Times New Roman" w:hAnsi="Times New Roman"/>
          <w:b w:val="false"/>
          <w:bCs w:val="false"/>
          <w:color w:val="auto"/>
          <w:sz w:val="24"/>
          <w:szCs w:val="24"/>
          <w:lang w:val="lt-LT"/>
        </w:rPr>
        <w:t>Pirkimo sąlygų 2 priedas „Techninė specifikacija“</w:t>
      </w:r>
      <w:bookmarkEnd w:id="0"/>
      <w:bookmarkEnd w:id="1"/>
      <w:bookmarkEnd w:id="2"/>
      <w:bookmarkEnd w:id="3"/>
    </w:p>
    <w:p>
      <w:pPr>
        <w:pStyle w:val="Normal"/>
        <w:spacing w:lineRule="auto" w:line="276" w:before="0" w:after="200"/>
        <w:jc w:val="center"/>
        <w:rPr>
          <w:rFonts w:ascii="Times New Roman" w:hAnsi="Times New Roman" w:eastAsia="Times New Roman" w:cs="Times New Roman"/>
          <w:b/>
          <w:bCs/>
          <w:caps/>
          <w:lang w:val="lt-LT"/>
        </w:rPr>
      </w:pPr>
      <w:r>
        <w:rPr>
          <w:rFonts w:eastAsia="Times New Roman" w:cs="Times New Roman" w:ascii="Times New Roman" w:hAnsi="Times New Roman"/>
          <w:b/>
          <w:bCs/>
          <w:caps/>
          <w:lang w:val="lt-LT"/>
        </w:rPr>
      </w:r>
    </w:p>
    <w:p>
      <w:pPr>
        <w:pStyle w:val="Normal"/>
        <w:spacing w:lineRule="auto" w:line="276" w:before="0" w:after="200"/>
        <w:jc w:val="center"/>
        <w:rPr>
          <w:rFonts w:ascii="Times New Roman" w:hAnsi="Times New Roman" w:eastAsia="Times New Roman" w:cs="Times New Roman"/>
          <w:b/>
          <w:bCs/>
          <w:caps/>
          <w:lang w:val="lt-LT"/>
        </w:rPr>
      </w:pPr>
      <w:r>
        <w:rPr>
          <w:rFonts w:eastAsia="Times New Roman" w:cs="Times New Roman" w:ascii="Times New Roman" w:hAnsi="Times New Roman"/>
          <w:b/>
          <w:bCs/>
          <w:caps/>
          <w:lang w:val="lt-LT"/>
        </w:rPr>
      </w:r>
    </w:p>
    <w:p>
      <w:pPr>
        <w:pStyle w:val="Normal"/>
        <w:spacing w:lineRule="auto" w:line="276" w:before="0" w:after="200"/>
        <w:jc w:val="center"/>
        <w:rPr>
          <w:rFonts w:ascii="Times New Roman" w:hAnsi="Times New Roman" w:eastAsia="Times New Roman" w:cs="Times New Roman"/>
          <w:b/>
          <w:bCs/>
          <w:caps/>
          <w:lang w:val="lt-LT"/>
        </w:rPr>
      </w:pPr>
      <w:r>
        <w:rPr>
          <w:rFonts w:eastAsia="Times New Roman" w:cs="Times New Roman" w:ascii="Times New Roman" w:hAnsi="Times New Roman"/>
          <w:b/>
          <w:bCs/>
          <w:lang w:val="lt-LT"/>
        </w:rPr>
        <w:t xml:space="preserve"> </w:t>
      </w:r>
      <w:r>
        <w:rPr>
          <w:rFonts w:eastAsia="Times New Roman" w:cs="Times New Roman" w:ascii="Times New Roman" w:hAnsi="Times New Roman"/>
          <w:b/>
          <w:bCs/>
          <w:lang w:val="lt-LT"/>
        </w:rPr>
        <w:t xml:space="preserve">METODINĖS MEDŽIAGOS PARENGIMAS IR PRISTATYMAS  (SVSB)  </w:t>
      </w:r>
      <w:r>
        <w:rPr>
          <w:rFonts w:eastAsia="Times New Roman" w:cs="Times New Roman" w:ascii="Times New Roman" w:hAnsi="Times New Roman"/>
          <w:b/>
          <w:bCs/>
          <w:caps/>
          <w:lang w:val="lt-LT"/>
        </w:rPr>
        <w:t>TECHNINĖ SPECIFIKACIJA</w:t>
      </w:r>
    </w:p>
    <w:p>
      <w:pPr>
        <w:pStyle w:val="Normal"/>
        <w:jc w:val="center"/>
        <w:rPr>
          <w:rFonts w:ascii="Times New Roman" w:hAnsi="Times New Roman" w:eastAsia="Times New Roman" w:cs="Times New Roman"/>
          <w:caps/>
          <w:lang w:val="lt-LT"/>
        </w:rPr>
      </w:pPr>
      <w:r>
        <w:rPr>
          <w:rFonts w:eastAsia="Times New Roman" w:cs="Times New Roman" w:ascii="Times New Roman" w:hAnsi="Times New Roman"/>
          <w:caps/>
          <w:lang w:val="lt-LT"/>
        </w:rPr>
        <w:t xml:space="preserve"> </w:t>
      </w:r>
    </w:p>
    <w:p>
      <w:pPr>
        <w:pStyle w:val="Normal"/>
        <w:spacing w:before="240" w:after="240"/>
        <w:jc w:val="center"/>
        <w:rPr>
          <w:rFonts w:ascii="Times New Roman" w:hAnsi="Times New Roman" w:eastAsia="Times New Roman" w:cs="Times New Roman"/>
          <w:b/>
          <w:bCs/>
          <w:lang w:val="lt-LT"/>
        </w:rPr>
      </w:pPr>
      <w:r>
        <w:rPr>
          <w:rFonts w:eastAsia="Times New Roman" w:cs="Times New Roman" w:ascii="Times New Roman" w:hAnsi="Times New Roman"/>
          <w:b/>
          <w:bCs/>
          <w:lang w:val="lt-LT"/>
        </w:rPr>
        <w:t>I SKYRIUS BENDROJI DALIS</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1. Perkančioji organizacija</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w:t>
      </w:r>
      <w:r>
        <w:rPr>
          <w:rFonts w:eastAsia="Times New Roman" w:cs="Times New Roman" w:ascii="Times New Roman" w:hAnsi="Times New Roman"/>
          <w:lang w:val="lt-LT"/>
        </w:rPr>
        <w:t xml:space="preserve"> Higienos institutas, Studentų g. 45A, 08107 Vilnius, juridinio asmens kodas 111958286.</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2. Pirkimo objektas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Metodinės medžiagos parengimas ir pristatymas savivaldybių visuomenės sveikatos biurams (toliau – SVSB):</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2.1.</w:t>
      </w:r>
      <w:r>
        <w:rPr>
          <w:rFonts w:eastAsia="Times New Roman" w:cs="Times New Roman" w:ascii="Times New Roman" w:hAnsi="Times New Roman"/>
          <w:lang w:val="lt-LT"/>
        </w:rPr>
        <w:t xml:space="preserve"> Asmenų 65+ sveikatos stiprinimo bendruomenėje, Onkologinių ligų prevencijos bendruomenėje, Motinos, vaiko ir šeimos sveikatos stiprinimo savivaldybėje modelių aprašų (toliau – Aprašai) praktinės ir teorinės metodinės medžiagos su mokymo priemonėmis bei mokymų, kurie skirti savivaldybių visuomenės sveikatos biurų specialistams, vykdantiems Aprašuose numatytas veiklas, sukūrimas.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2.2.</w:t>
      </w:r>
      <w:r>
        <w:rPr>
          <w:rFonts w:eastAsia="Times New Roman" w:cs="Times New Roman" w:ascii="Times New Roman" w:hAnsi="Times New Roman"/>
          <w:lang w:val="lt-LT"/>
        </w:rPr>
        <w:t xml:space="preserve"> Metodinė medžiaga su mokymo priemonėmis turi būti parengta ir pritaikyta taip, kad SVSB specialistai jas galėtų efektyviai taikyti ir naudoti dirbdami su sensorinę (regos, klausos) negalią turinčiais galutiniais paslaugų gavėjais. Tiekėjo vykdomi mokymai SVSB specialistams turi apimti metodikos pristatymą ir praktinį specialistų parengimą, kaip dirbti su šia pritaikyta medžiaga ir kaip ją integruoti bendruomenėje.</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2.3.</w:t>
      </w:r>
      <w:r>
        <w:rPr>
          <w:rFonts w:eastAsia="Times New Roman" w:cs="Times New Roman" w:ascii="Times New Roman" w:hAnsi="Times New Roman"/>
          <w:lang w:val="lt-LT"/>
        </w:rPr>
        <w:t xml:space="preserve"> Šio pirkimo objektą sudaro dvi atskiros, tačiau tarpusavyje susijusios paslaugos.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2.3.1.</w:t>
      </w:r>
      <w:r>
        <w:rPr>
          <w:rFonts w:eastAsia="Times New Roman" w:cs="Times New Roman" w:ascii="Times New Roman" w:hAnsi="Times New Roman"/>
          <w:lang w:val="lt-LT"/>
        </w:rPr>
        <w:t xml:space="preserve"> Metodinė medžiaga su mokymo priemonėmis SVSB specialistams.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2.3.1.1.</w:t>
      </w:r>
      <w:r>
        <w:rPr>
          <w:rFonts w:eastAsia="Times New Roman" w:cs="Times New Roman" w:ascii="Times New Roman" w:hAnsi="Times New Roman"/>
          <w:lang w:val="lt-LT"/>
        </w:rPr>
        <w:t xml:space="preserve"> Perkama metodinė medžiaga, skirta SVSB specialistams savarankiškai vesti mokymus tikslinėms grupėms.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2.3.1.2.</w:t>
      </w:r>
      <w:r>
        <w:rPr>
          <w:rFonts w:eastAsia="Times New Roman" w:cs="Times New Roman" w:ascii="Times New Roman" w:hAnsi="Times New Roman"/>
          <w:lang w:val="lt-LT"/>
        </w:rPr>
        <w:t xml:space="preserve"> Ši paslaugos dalis apima visą mokymų turinį, teorines ir praktines metodines priemones bei dalinamąją medžiagą, reikalingą mokymų organizavimui ir vykdymui.</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2.3.2.</w:t>
      </w:r>
      <w:r>
        <w:rPr>
          <w:rFonts w:eastAsia="Times New Roman" w:cs="Times New Roman" w:ascii="Times New Roman" w:hAnsi="Times New Roman"/>
          <w:lang w:val="lt-LT"/>
        </w:rPr>
        <w:t xml:space="preserve"> Mokymai SVSB specialistams.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2.3.2.1.</w:t>
      </w:r>
      <w:r>
        <w:rPr>
          <w:rFonts w:eastAsia="Times New Roman" w:cs="Times New Roman" w:ascii="Times New Roman" w:hAnsi="Times New Roman"/>
          <w:lang w:val="lt-LT"/>
        </w:rPr>
        <w:t xml:space="preserve"> Perkama mokymų paslauga, skirta SVSB specialistų supažindinimui su parengta metodine medžiaga ir jų apmokymui ja naudotis bei savarankiškai vesti mokymus tikslinėms grupėms.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2.4.</w:t>
      </w:r>
      <w:r>
        <w:rPr>
          <w:rFonts w:eastAsia="Times New Roman" w:cs="Times New Roman" w:ascii="Times New Roman" w:hAnsi="Times New Roman"/>
          <w:lang w:val="lt-LT"/>
        </w:rPr>
        <w:t xml:space="preserve"> Metodinės medžiagos su mokymo priemonėmis bei mokymų tikslinė grupė (toliau – tikslinė grupė) yra SVSB specialistai.</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3. Informacija apie vykdomą projektą</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3.1.</w:t>
      </w:r>
      <w:r>
        <w:rPr>
          <w:rFonts w:eastAsia="Times New Roman" w:cs="Times New Roman" w:ascii="Times New Roman" w:hAnsi="Times New Roman"/>
          <w:lang w:val="lt-LT"/>
        </w:rPr>
        <w:t xml:space="preserve"> Paslauga perkama įgyvendinant Pažangos projektą „Kompleksinių ir integruotų, mokslu pagrįstų visuomenės sveikatos paslaugų prieinamumo užtikrinimas, bazinių visuomenės sveikatos paslaugų tikslinėms grupėms teikimas“, vadovaujantis Lietuvos Respublikos sveikatos apsaugos ministro 2023 m. gegužės 19 d. įsakymu Nr. V-580 „Dėl lėšų skyrimo“, Lietuvos Respublikos sveikatos apsaugos ministro 2022 m. birželio 16 d. įsakymu Nr. V-1082 „Dėl 2022–2030 metų Lietuvos Respublikos sveikatos apsaugos ministerijos sveikatos išsaugojimo ir stiprinimo plėtros programos pažangos priemonės Nr. 11-001-02-10-01 „Gerinti grėsmių bei rizikos sveikatai veiksnių valdymą“ aprašo patvirtinimo“. </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4. Pirkimo apimtis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Pirkimas į dalis neskaidomas.</w:t>
      </w:r>
    </w:p>
    <w:p>
      <w:pPr>
        <w:pStyle w:val="Normal"/>
        <w:spacing w:before="240" w:after="240"/>
        <w:jc w:val="center"/>
        <w:rPr>
          <w:rFonts w:ascii="Times New Roman" w:hAnsi="Times New Roman" w:eastAsia="Times New Roman" w:cs="Times New Roman"/>
          <w:b/>
          <w:bCs/>
          <w:lang w:val="lt-LT"/>
        </w:rPr>
      </w:pPr>
      <w:r>
        <w:rPr>
          <w:rFonts w:eastAsia="Times New Roman" w:cs="Times New Roman" w:ascii="Times New Roman" w:hAnsi="Times New Roman"/>
          <w:b/>
          <w:bCs/>
          <w:lang w:val="lt-LT"/>
        </w:rPr>
      </w:r>
    </w:p>
    <w:p>
      <w:pPr>
        <w:pStyle w:val="Normal"/>
        <w:spacing w:before="240" w:after="240"/>
        <w:jc w:val="center"/>
        <w:rPr>
          <w:rFonts w:ascii="Times New Roman" w:hAnsi="Times New Roman" w:eastAsia="Times New Roman" w:cs="Times New Roman"/>
          <w:b/>
          <w:bCs/>
          <w:lang w:val="lt-LT"/>
        </w:rPr>
      </w:pPr>
      <w:r>
        <w:rPr>
          <w:rFonts w:eastAsia="Times New Roman" w:cs="Times New Roman" w:ascii="Times New Roman" w:hAnsi="Times New Roman"/>
          <w:b/>
          <w:bCs/>
          <w:lang w:val="lt-LT"/>
        </w:rPr>
        <w:t>II SKYRIUS UŽDAVINIAI IR BENDRIEJI REIKALAVIMAI PASLAUGOS MEDŽIAGAI</w:t>
      </w:r>
    </w:p>
    <w:p>
      <w:pPr>
        <w:pStyle w:val="Normal"/>
        <w:spacing w:before="240" w:after="240"/>
        <w:rPr>
          <w:rFonts w:ascii="Times New Roman" w:hAnsi="Times New Roman" w:eastAsia="Times New Roman" w:cs="Times New Roman"/>
          <w:b/>
          <w:bCs/>
          <w:lang w:val="lt-LT"/>
        </w:rPr>
      </w:pPr>
      <w:r>
        <w:rPr>
          <w:rFonts w:eastAsia="Times New Roman" w:cs="Times New Roman" w:ascii="Times New Roman" w:hAnsi="Times New Roman"/>
          <w:b/>
          <w:bCs/>
          <w:lang w:val="lt-LT"/>
        </w:rPr>
        <w:t>5. Uždaviniai ir bendrieji reikalavimai</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5.1.</w:t>
      </w:r>
      <w:r>
        <w:rPr>
          <w:rFonts w:eastAsia="Times New Roman" w:cs="Times New Roman" w:ascii="Times New Roman" w:hAnsi="Times New Roman"/>
          <w:lang w:val="lt-LT"/>
        </w:rPr>
        <w:t xml:space="preserve"> Paslaugos medžiaga turi būti parengta taip, kad ją gavus SVSB galėtų savarankiškai, naudodami savo žmogiškuosius išteklius, pilna apimtimi įgyvendinti modelių aprašuose numatytas veiklas visoms tikslinėms grupėms, užtikrinant visų reikalavimų, susijusių su veiklų turiniu, trukme, dažnumu, temomis ir apimtimi, įgyvendinimą, be papildomų tiekėjo paslaugų.</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5.2.</w:t>
      </w:r>
      <w:r>
        <w:rPr>
          <w:rFonts w:eastAsia="Times New Roman" w:cs="Times New Roman" w:ascii="Times New Roman" w:hAnsi="Times New Roman"/>
          <w:lang w:val="lt-LT"/>
        </w:rPr>
        <w:t xml:space="preserve"> Tiekėjas privalo parengti paslaugos medžiagą visomis 1, 2 ir 3 prieduose nurodytomis temomis, užtikrindamas jų atitiktį nustatytai trukmei, pakankamą teorinės informacijos apimtį, metodinį nuoseklumą, įvairiapusę ir temai bei tikslinei grupei pritaikytą praktinę dalį bei dalinamąją medžiagą.</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5.3.</w:t>
      </w:r>
      <w:r>
        <w:rPr>
          <w:rFonts w:eastAsia="Times New Roman" w:cs="Times New Roman" w:ascii="Times New Roman" w:hAnsi="Times New Roman"/>
          <w:lang w:val="lt-LT"/>
        </w:rPr>
        <w:t xml:space="preserve"> Kiekvienai 1, 2 ir 3 prieduose nurodytai temai turi būti parengtas pilnas ir atskiras mokymų paketas, apimantis teorinę medžiagą, praktines užduotis, vaizdines priemones ir dalinamąją medžiagą, jeigu konkrečios temos pobūdis nereikalauja kitaip.</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5.4.</w:t>
      </w:r>
      <w:r>
        <w:rPr>
          <w:rFonts w:eastAsia="Times New Roman" w:cs="Times New Roman" w:ascii="Times New Roman" w:hAnsi="Times New Roman"/>
          <w:lang w:val="lt-LT"/>
        </w:rPr>
        <w:t xml:space="preserve"> Paslaugos medžiaga turi apimti teorinių (įskaitant nuotolinių) ir praktinių mokymų turinį, jų struktūrą, užsiėmimų skaičių, trukmę, dažnumą bei periodiškumą, taip pat aiškiai apibrėžtus reikalavimus kontaktinių ir nuotolinių mokymų organizavimui bei įgyvendinimui.</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5.5.</w:t>
      </w:r>
      <w:r>
        <w:rPr>
          <w:rFonts w:eastAsia="Times New Roman" w:cs="Times New Roman" w:ascii="Times New Roman" w:hAnsi="Times New Roman"/>
          <w:lang w:val="lt-LT"/>
        </w:rPr>
        <w:t xml:space="preserve"> Paslaugos medžiaga turi būti parengta remiantis mokslo įrodymais pagrįsta informacija, Lietuvos Respublikos ir Europos Sąjungos teisės aktais, Lietuvos Respublikos sveikatos apsaugos ministerijos ir kitų kompetentingų institucijų metodine ir informacine medžiaga, taip pat aktualia Lietuvos gyventojų sveikatos statistika.</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5.6.</w:t>
      </w:r>
      <w:r>
        <w:rPr>
          <w:rFonts w:eastAsia="Times New Roman" w:cs="Times New Roman" w:ascii="Times New Roman" w:hAnsi="Times New Roman"/>
          <w:lang w:val="lt-LT"/>
        </w:rPr>
        <w:t xml:space="preserve"> Paslaugos medžiaga turi būti parengta lietuvių kalba, naudojant oficialią terminologiją, taikomą nacionaliniuose ir ES teisės aktuose bei kituose oficialiuose šaltiniuose, nurodant literatūros šaltinius. Tekstas turi būti tikslus, nuoseklus, gramatiškai taisyklingas ir stilistiškai suredaguotas.</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5.7.</w:t>
      </w:r>
      <w:r>
        <w:rPr>
          <w:rFonts w:eastAsia="Times New Roman" w:cs="Times New Roman" w:ascii="Times New Roman" w:hAnsi="Times New Roman"/>
          <w:lang w:val="lt-LT"/>
        </w:rPr>
        <w:t xml:space="preserve"> Paslaugos medžiaga turi būti parengta laikantis universalaus dizaino ir informacijos prieinamumo principų, užtikrinant jos pritaikymą asmenims, turintiems sensorinių (regos ir (ar) klausos) negalių.</w:t>
      </w:r>
    </w:p>
    <w:p>
      <w:pPr>
        <w:pStyle w:val="Normal"/>
        <w:spacing w:before="240" w:after="240"/>
        <w:rPr>
          <w:rFonts w:ascii="Times New Roman" w:hAnsi="Times New Roman" w:eastAsia="Times New Roman" w:cs="Times New Roman"/>
          <w:b/>
          <w:bCs/>
          <w:lang w:val="lt-LT"/>
        </w:rPr>
      </w:pPr>
      <w:r>
        <w:rPr>
          <w:rFonts w:eastAsia="Times New Roman" w:cs="Times New Roman" w:ascii="Times New Roman" w:hAnsi="Times New Roman"/>
          <w:b/>
          <w:bCs/>
          <w:lang w:val="lt-LT"/>
        </w:rPr>
        <w:t>6. Tikslinės grupės pagal modelių aprašus</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6.1.</w:t>
      </w:r>
      <w:r>
        <w:rPr>
          <w:rFonts w:eastAsia="Times New Roman" w:cs="Times New Roman" w:ascii="Times New Roman" w:hAnsi="Times New Roman"/>
          <w:lang w:val="lt-LT"/>
        </w:rPr>
        <w:t xml:space="preserve"> Asmenų 65+ sveikatos stiprinimo bendruomenėje modelio aprašas:</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6.1.1.</w:t>
      </w:r>
      <w:r>
        <w:rPr>
          <w:rFonts w:eastAsia="Times New Roman" w:cs="Times New Roman" w:ascii="Times New Roman" w:hAnsi="Times New Roman"/>
          <w:lang w:val="lt-LT"/>
        </w:rPr>
        <w:t xml:space="preserve"> 65 metų ir vyresni asmenys.</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6.1.2.</w:t>
      </w:r>
      <w:r>
        <w:rPr>
          <w:rFonts w:eastAsia="Times New Roman" w:cs="Times New Roman" w:ascii="Times New Roman" w:hAnsi="Times New Roman"/>
          <w:lang w:val="lt-LT"/>
        </w:rPr>
        <w:t xml:space="preserve"> Šeimos nariai ir (ar) globėjai, prižiūrintys 65 metų ir vyresnius asmenis.</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6.2.</w:t>
      </w:r>
      <w:r>
        <w:rPr>
          <w:rFonts w:eastAsia="Times New Roman" w:cs="Times New Roman" w:ascii="Times New Roman" w:hAnsi="Times New Roman"/>
          <w:lang w:val="lt-LT"/>
        </w:rPr>
        <w:t xml:space="preserve"> Onkologinių ligų prevencijos bendruomenėje modelio aprašas:</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6.2.1.</w:t>
      </w:r>
      <w:r>
        <w:rPr>
          <w:rFonts w:eastAsia="Times New Roman" w:cs="Times New Roman" w:ascii="Times New Roman" w:hAnsi="Times New Roman"/>
          <w:lang w:val="lt-LT"/>
        </w:rPr>
        <w:t xml:space="preserve"> Suaugę asmenys, priskiriami onkologinių ligų prevencinei grupei.</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6.2.2.</w:t>
      </w:r>
      <w:r>
        <w:rPr>
          <w:rFonts w:eastAsia="Times New Roman" w:cs="Times New Roman" w:ascii="Times New Roman" w:hAnsi="Times New Roman"/>
          <w:lang w:val="lt-LT"/>
        </w:rPr>
        <w:t xml:space="preserve"> Suaugę asmenys, kuriems yra arba buvo diagnozuota onkologinė liga.</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6.2.3.</w:t>
      </w:r>
      <w:r>
        <w:rPr>
          <w:rFonts w:eastAsia="Times New Roman" w:cs="Times New Roman" w:ascii="Times New Roman" w:hAnsi="Times New Roman"/>
          <w:lang w:val="lt-LT"/>
        </w:rPr>
        <w:t xml:space="preserve"> Šių asmenų šeimos nariai ir (ar) artimieji.</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6.3.</w:t>
      </w:r>
      <w:r>
        <w:rPr>
          <w:rFonts w:eastAsia="Times New Roman" w:cs="Times New Roman" w:ascii="Times New Roman" w:hAnsi="Times New Roman"/>
          <w:lang w:val="lt-LT"/>
        </w:rPr>
        <w:t xml:space="preserve"> Motinos, vaiko ir šeimos sveikatos stiprinimo savivaldybėje modelio aprašas:</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6.3.1.</w:t>
      </w:r>
      <w:r>
        <w:rPr>
          <w:rFonts w:eastAsia="Times New Roman" w:cs="Times New Roman" w:ascii="Times New Roman" w:hAnsi="Times New Roman"/>
          <w:lang w:val="lt-LT"/>
        </w:rPr>
        <w:t xml:space="preserve"> Nėščiosios ir (ar) besilaukiančios šeimos (abu tėvai arba vienas iš tėvų).</w:t>
      </w:r>
    </w:p>
    <w:p>
      <w:pPr>
        <w:pStyle w:val="Normal"/>
        <w:spacing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6.3.2.</w:t>
      </w:r>
      <w:r>
        <w:rPr>
          <w:rFonts w:eastAsia="Times New Roman" w:cs="Times New Roman" w:ascii="Times New Roman" w:hAnsi="Times New Roman"/>
          <w:lang w:val="lt-LT"/>
        </w:rPr>
        <w:t xml:space="preserve"> Šeimos, auginančios 0–3 metų amžiaus vaikus (abu tėvai arba vienas iš tėvų).</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7. Prieinamumo reikalavimai</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Tiekėjas privalo užtikrinti, kad:</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7.1.</w:t>
      </w:r>
      <w:r>
        <w:rPr>
          <w:rFonts w:eastAsia="Times New Roman" w:cs="Times New Roman" w:ascii="Times New Roman" w:hAnsi="Times New Roman"/>
          <w:lang w:val="lt-LT"/>
        </w:rPr>
        <w:t xml:space="preserve"> Visa vaizdinė medžiaga (iliustracijos, schemos, infografikai, nuotraukos) būtų pateikta su alternatyviais tekstiniais aprašais, leidžiančiais suprasti turinį nenaudojant vaizdo.</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7.2.</w:t>
      </w:r>
      <w:r>
        <w:rPr>
          <w:rFonts w:eastAsia="Times New Roman" w:cs="Times New Roman" w:ascii="Times New Roman" w:hAnsi="Times New Roman"/>
          <w:lang w:val="lt-LT"/>
        </w:rPr>
        <w:t xml:space="preserve"> Visa vaizdo medžiaga (vaizdo įrašai, animacijos, iliustracijos, schemos, infografikai, nuotraukos) būtų pateikta su subtitrais lietuvių kalba ir su tekstiniu scenarijumi (transkriptu).</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7.3.</w:t>
      </w:r>
      <w:r>
        <w:rPr>
          <w:rFonts w:eastAsia="Times New Roman" w:cs="Times New Roman" w:ascii="Times New Roman" w:hAnsi="Times New Roman"/>
          <w:lang w:val="lt-LT"/>
        </w:rPr>
        <w:t xml:space="preserve"> Visa garso medžiaga būtų pateikta kartu su tekstine transkripcija.</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7.4.</w:t>
      </w:r>
      <w:r>
        <w:rPr>
          <w:rFonts w:eastAsia="Times New Roman" w:cs="Times New Roman" w:ascii="Times New Roman" w:hAnsi="Times New Roman"/>
          <w:lang w:val="lt-LT"/>
        </w:rPr>
        <w:t xml:space="preserve"> Kontrastai, šriftai ir vizualinis pateikimas skaitmeninėje medžiagoje užtikrintų pakankamą skaitomumą asmenims, turintiems regos sutrikimų.</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8. Temų paketai</w:t>
      </w:r>
    </w:p>
    <w:p>
      <w:pPr>
        <w:pStyle w:val="Normal"/>
        <w:spacing w:before="240" w:after="240"/>
        <w:jc w:val="both"/>
        <w:rPr/>
      </w:pPr>
      <w:r>
        <w:rPr>
          <w:rFonts w:eastAsia="Times New Roman" w:cs="Times New Roman" w:ascii="Times New Roman" w:hAnsi="Times New Roman"/>
          <w:b/>
          <w:bCs/>
          <w:lang w:val="lt-LT"/>
        </w:rPr>
        <w:t>8.1.</w:t>
      </w:r>
      <w:r>
        <w:rPr>
          <w:rFonts w:eastAsia="Times New Roman" w:cs="Times New Roman" w:ascii="Times New Roman" w:hAnsi="Times New Roman"/>
          <w:lang w:val="lt-LT"/>
        </w:rPr>
        <w:t xml:space="preserve"> Paslaugos medžiagos temų paketai turi būti parengti visoms 1, 2 ir 3 prieduose nurodytoms tikslinėms grupėms.</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9. Paslaugos medžiagos komponentai</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9.1. Teorinė medžiaga.</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Išsami, struktūruota ir moksliškai pagrįsta medžiaga specialistams, apimanti:</w:t>
      </w:r>
    </w:p>
    <w:p>
      <w:pPr>
        <w:pStyle w:val="Normal"/>
        <w:spacing w:before="240" w:after="240"/>
        <w:jc w:val="lef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pagrindinius teorinius mokymo pagrindus;</w:t>
      </w:r>
      <w:r>
        <w:rPr/>
        <w:br/>
      </w:r>
      <w:r>
        <w:rPr>
          <w:rFonts w:eastAsia="Times New Roman" w:cs="Times New Roman" w:ascii="Times New Roman" w:hAnsi="Times New Roman"/>
          <w:lang w:val="lt-LT"/>
        </w:rPr>
        <w:t xml:space="preserve"> – mokymų turinio struktūrą;</w:t>
      </w:r>
      <w:r>
        <w:rPr/>
        <w:br/>
      </w:r>
      <w:r>
        <w:rPr>
          <w:rFonts w:eastAsia="Times New Roman" w:cs="Times New Roman" w:ascii="Times New Roman" w:hAnsi="Times New Roman"/>
          <w:lang w:val="lt-LT"/>
        </w:rPr>
        <w:t xml:space="preserve"> – rekomendacijas ir metodinius akcentus;</w:t>
      </w:r>
      <w:r>
        <w:rPr/>
        <w:br/>
      </w:r>
      <w:r>
        <w:rPr>
          <w:rFonts w:eastAsia="Times New Roman" w:cs="Times New Roman" w:ascii="Times New Roman" w:hAnsi="Times New Roman"/>
          <w:lang w:val="lt-LT"/>
        </w:rPr>
        <w:t xml:space="preserve"> – lenteles, grafikus, schemas;</w:t>
      </w:r>
      <w:r>
        <w:rPr/>
        <w:br/>
      </w:r>
      <w:r>
        <w:rPr>
          <w:rFonts w:eastAsia="Times New Roman" w:cs="Times New Roman" w:ascii="Times New Roman" w:hAnsi="Times New Roman"/>
          <w:lang w:val="lt-LT"/>
        </w:rPr>
        <w:t xml:space="preserve"> – praktinius paaiškinimus.</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9.2. Praktinė–vaizdinė medžiaga.</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Skirta mokymų vykdymui, apimanti:</w:t>
      </w:r>
    </w:p>
    <w:p>
      <w:pPr>
        <w:pStyle w:val="Normal"/>
        <w:spacing w:before="240" w:after="240"/>
        <w:jc w:val="left"/>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užduotis ir pratybas;</w:t>
      </w:r>
      <w:r>
        <w:rPr/>
        <w:br/>
      </w:r>
      <w:r>
        <w:rPr>
          <w:rFonts w:eastAsia="Times New Roman" w:cs="Times New Roman" w:ascii="Times New Roman" w:hAnsi="Times New Roman"/>
          <w:lang w:val="lt-LT"/>
        </w:rPr>
        <w:t xml:space="preserve"> – situacijų analizes ir atvejų pavyzdžius;</w:t>
      </w:r>
      <w:r>
        <w:rPr/>
        <w:br/>
      </w:r>
      <w:r>
        <w:rPr>
          <w:rFonts w:eastAsia="Times New Roman" w:cs="Times New Roman" w:ascii="Times New Roman" w:hAnsi="Times New Roman"/>
          <w:lang w:val="lt-LT"/>
        </w:rPr>
        <w:t xml:space="preserve"> – demonstracinius elementus;</w:t>
      </w:r>
      <w:r>
        <w:rPr/>
        <w:br/>
      </w:r>
      <w:r>
        <w:rPr>
          <w:rFonts w:eastAsia="Times New Roman" w:cs="Times New Roman" w:ascii="Times New Roman" w:hAnsi="Times New Roman"/>
          <w:lang w:val="lt-LT"/>
        </w:rPr>
        <w:t xml:space="preserve"> – schemas, infografikus, iliustracijas;</w:t>
      </w:r>
      <w:r>
        <w:rPr/>
        <w:br/>
      </w:r>
      <w:r>
        <w:rPr>
          <w:rFonts w:eastAsia="Times New Roman" w:cs="Times New Roman" w:ascii="Times New Roman" w:hAnsi="Times New Roman"/>
          <w:lang w:val="lt-LT"/>
        </w:rPr>
        <w:t xml:space="preserve"> – trumpus vaizdo įrašus ir animacijas.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Praktinė dalis turi būti orientuota į aktyvų dalyvių įtraukimą, refleksiją ir praktinių įgūdžių ugdymą.</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Ji turi apimti:</w:t>
      </w:r>
    </w:p>
    <w:p>
      <w:pPr>
        <w:pStyle w:val="Normal"/>
        <w:spacing w:before="240" w:after="240"/>
        <w:jc w:val="left"/>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savianalizės ir įsivertinimo priemones (dienoraščiai, stebėjimo lapai, savirefleksijos užduotys, testai, klausimynai);</w:t>
      </w:r>
      <w:r>
        <w:rPr/>
        <w:br/>
      </w:r>
      <w:r>
        <w:rPr>
          <w:rFonts w:eastAsia="Times New Roman" w:cs="Times New Roman" w:ascii="Times New Roman" w:hAnsi="Times New Roman"/>
          <w:lang w:val="lt-LT"/>
        </w:rPr>
        <w:t xml:space="preserve"> – praktinių veiklų instrukcijas (veiksmų aprašai, pratimų sekos, fizinis aktyvumas, mityba, atsipalaidavimas ir kt.);</w:t>
      </w:r>
      <w:r>
        <w:rPr/>
        <w:br/>
      </w:r>
      <w:r>
        <w:rPr>
          <w:rFonts w:eastAsia="Times New Roman" w:cs="Times New Roman" w:ascii="Times New Roman" w:hAnsi="Times New Roman"/>
          <w:lang w:val="lt-LT"/>
        </w:rPr>
        <w:t xml:space="preserve"> – vaizdinę ir demonstracinę medžiagą;</w:t>
      </w:r>
      <w:r>
        <w:rPr/>
        <w:br/>
      </w:r>
      <w:r>
        <w:rPr>
          <w:rFonts w:eastAsia="Times New Roman" w:cs="Times New Roman" w:ascii="Times New Roman" w:hAnsi="Times New Roman"/>
          <w:lang w:val="lt-LT"/>
        </w:rPr>
        <w:t xml:space="preserve"> – grupinio darbo veiklas (diskusijos, situacijų analizės, atvejų nagrinėjimas, situacijų kortelės, problemų sprendimas, elgesio pokyčių planavimas).</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10. Vaizdinės priemonės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10.1.</w:t>
      </w:r>
      <w:r>
        <w:rPr>
          <w:rFonts w:eastAsia="Times New Roman" w:cs="Times New Roman" w:ascii="Times New Roman" w:hAnsi="Times New Roman"/>
          <w:lang w:val="lt-LT"/>
        </w:rPr>
        <w:t xml:space="preserve"> Visa Paslaugos medžiaga turi būti papildyta vaizdinėmis priemonėmis, padedančiomis aiškiai ir suprantamai perteikti informaciją bei stiprinančiomis mokymosi efektyvumą.</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10.2.</w:t>
      </w:r>
      <w:r>
        <w:rPr>
          <w:rFonts w:eastAsia="Times New Roman" w:cs="Times New Roman" w:ascii="Times New Roman" w:hAnsi="Times New Roman"/>
          <w:lang w:val="lt-LT"/>
        </w:rPr>
        <w:t xml:space="preserve"> Gali būti naudojamos: schemos, diagramos, brėžiniai, infografikai, iliustracijos, nuotraukos, animacijos, trumpi mokomieji vaizdo įrašai.</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10.3.</w:t>
      </w:r>
      <w:r>
        <w:rPr>
          <w:rFonts w:eastAsia="Times New Roman" w:cs="Times New Roman" w:ascii="Times New Roman" w:hAnsi="Times New Roman"/>
          <w:lang w:val="lt-LT"/>
        </w:rPr>
        <w:t xml:space="preserve"> Vaizdinės priemonės turi būti tiesiogiai susietos su teorine ir praktine medžiaga ir pritaikytos naudojimui mokymų metu (kontaktiniu ir nuotoliniu būdu).</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10.4.</w:t>
      </w:r>
      <w:r>
        <w:rPr>
          <w:rFonts w:eastAsia="Times New Roman" w:cs="Times New Roman" w:ascii="Times New Roman" w:hAnsi="Times New Roman"/>
          <w:lang w:val="lt-LT"/>
        </w:rPr>
        <w:t xml:space="preserve"> Kiekvienai temai privalo būti parengta bent viena vaizdinė priemonė (pvz., schema, infografikas, iliustracija, diagrama ar kita vizualinė priemonė), kurios tipą parenka tiekėjas, atsižvelgdamas į temos pobūdį ir mokymų tikslinę grupę.</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10.5.</w:t>
      </w:r>
      <w:r>
        <w:rPr>
          <w:rFonts w:eastAsia="Times New Roman" w:cs="Times New Roman" w:ascii="Times New Roman" w:hAnsi="Times New Roman"/>
          <w:lang w:val="lt-LT"/>
        </w:rPr>
        <w:t xml:space="preserve"> Kiekvienam Aprašui turi būti parengti ne mažiau kaip 3 vaizdo įrašai (iš viso – 9 vaizdo įrašai).</w:t>
      </w:r>
      <w:r>
        <w:rPr>
          <w:rFonts w:eastAsia="Times New Roman" w:cs="Times New Roman" w:ascii="Times New Roman" w:hAnsi="Times New Roman"/>
          <w:b/>
          <w:bCs/>
          <w:lang w:val="lt-LT"/>
        </w:rPr>
        <w:t xml:space="preserve"> </w:t>
      </w:r>
    </w:p>
    <w:p>
      <w:pPr>
        <w:pStyle w:val="Normal"/>
        <w:spacing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11. Mokymų organizavimo ir įgyvendinimo reikalavimai</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11.1.</w:t>
      </w:r>
      <w:r>
        <w:rPr>
          <w:rFonts w:eastAsia="Times New Roman" w:cs="Times New Roman" w:ascii="Times New Roman" w:hAnsi="Times New Roman"/>
          <w:lang w:val="lt-LT"/>
        </w:rPr>
        <w:t xml:space="preserve"> Mokymų apimtis ir tikslinė grupė.</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11.1.1.</w:t>
      </w:r>
      <w:r>
        <w:rPr>
          <w:rFonts w:eastAsia="Times New Roman" w:cs="Times New Roman" w:ascii="Times New Roman" w:hAnsi="Times New Roman"/>
          <w:lang w:val="lt-LT"/>
        </w:rPr>
        <w:t xml:space="preserve"> Apmokyti ne mažiau kaip 100 (vieną šimtą) SVSB specialistų.</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11.1.2.</w:t>
      </w:r>
      <w:r>
        <w:rPr>
          <w:rFonts w:eastAsia="Times New Roman" w:cs="Times New Roman" w:ascii="Times New Roman" w:hAnsi="Times New Roman"/>
          <w:lang w:val="lt-LT"/>
        </w:rPr>
        <w:t xml:space="preserve"> Vieną mokymų grupę sudaro ne daugiau kaip 50 dalyvių.</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11.1.3.</w:t>
      </w:r>
      <w:r>
        <w:rPr>
          <w:rFonts w:eastAsia="Times New Roman" w:cs="Times New Roman" w:ascii="Times New Roman" w:hAnsi="Times New Roman"/>
          <w:lang w:val="lt-LT"/>
        </w:rPr>
        <w:t xml:space="preserve"> Mokymų trukmė – ne mažiau nei 4 akademinės valandos.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11.2.</w:t>
      </w:r>
      <w:r>
        <w:rPr>
          <w:rFonts w:eastAsia="Times New Roman" w:cs="Times New Roman" w:ascii="Times New Roman" w:hAnsi="Times New Roman"/>
          <w:lang w:val="lt-LT"/>
        </w:rPr>
        <w:t xml:space="preserve"> Dalyvių regioninis paskirstymas.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11.2.1.</w:t>
      </w:r>
      <w:r>
        <w:rPr>
          <w:rFonts w:eastAsia="Times New Roman" w:cs="Times New Roman" w:ascii="Times New Roman" w:hAnsi="Times New Roman"/>
          <w:lang w:val="lt-LT"/>
        </w:rPr>
        <w:t xml:space="preserve"> Mokymuose turi dalyvauti SVSB specialistai iš skirtingų Lietuvos regionų.</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11.2.2.</w:t>
      </w:r>
      <w:r>
        <w:rPr>
          <w:rFonts w:eastAsia="Times New Roman" w:cs="Times New Roman" w:ascii="Times New Roman" w:hAnsi="Times New Roman"/>
          <w:lang w:val="lt-LT"/>
        </w:rPr>
        <w:t xml:space="preserve"> Užtikrinama, kad:</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11.2.2.1.</w:t>
      </w:r>
      <w:r>
        <w:rPr>
          <w:rFonts w:eastAsia="Times New Roman" w:cs="Times New Roman" w:ascii="Times New Roman" w:hAnsi="Times New Roman"/>
          <w:lang w:val="lt-LT"/>
        </w:rPr>
        <w:t xml:space="preserve"> Ne daugiau kaip 25 dalyvių būtų iš Sostinės regiono (Vilniaus apskritis). Galima paklaida 20 proc.</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11.2.2.2.</w:t>
      </w:r>
      <w:r>
        <w:rPr>
          <w:rFonts w:eastAsia="Times New Roman" w:cs="Times New Roman" w:ascii="Times New Roman" w:hAnsi="Times New Roman"/>
          <w:lang w:val="lt-LT"/>
        </w:rPr>
        <w:t xml:space="preserve"> Ne mažiau kaip 75 dalyvių būtų iš Vidurio ir vakarų Lietuvos regiono (visos apskritys, išskyrus Vilniaus apskritį). Galima paklaida 20 proc.</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11.3.</w:t>
      </w:r>
      <w:r>
        <w:rPr>
          <w:rFonts w:eastAsia="Times New Roman" w:cs="Times New Roman" w:ascii="Times New Roman" w:hAnsi="Times New Roman"/>
          <w:lang w:val="lt-LT"/>
        </w:rPr>
        <w:t xml:space="preserve"> Mokymų forma ir organizavimas.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11.3.1.</w:t>
      </w:r>
      <w:r>
        <w:rPr>
          <w:rFonts w:eastAsia="Times New Roman" w:cs="Times New Roman" w:ascii="Times New Roman" w:hAnsi="Times New Roman"/>
          <w:lang w:val="lt-LT"/>
        </w:rPr>
        <w:t xml:space="preserve"> Mokymai vykdomi nuotoliniu būdu, užtikrinant jų įrašymą. Mokymų įrašai perduodami Perkančiajai organizacijai kartu su visomis naudojimo teisėmis.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11.4.</w:t>
      </w:r>
      <w:r>
        <w:rPr>
          <w:rFonts w:eastAsia="Times New Roman" w:cs="Times New Roman" w:ascii="Times New Roman" w:hAnsi="Times New Roman"/>
          <w:lang w:val="lt-LT"/>
        </w:rPr>
        <w:t xml:space="preserve"> Mokymų programos turinys.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11.4.1.</w:t>
      </w:r>
      <w:r>
        <w:rPr>
          <w:rFonts w:eastAsia="Times New Roman" w:cs="Times New Roman" w:ascii="Times New Roman" w:hAnsi="Times New Roman"/>
          <w:lang w:val="lt-LT"/>
        </w:rPr>
        <w:t xml:space="preserve"> Mokymų programa ir mokymo medžiaga turi atitikti visą patvirtintą metodinę medžiagą su mokymo priemonėmis.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11.4.2.</w:t>
      </w:r>
      <w:r>
        <w:rPr>
          <w:rFonts w:eastAsia="Times New Roman" w:cs="Times New Roman" w:ascii="Times New Roman" w:hAnsi="Times New Roman"/>
          <w:lang w:val="lt-LT"/>
        </w:rPr>
        <w:t xml:space="preserve"> Mokymų programa turi būti parengta taip, kad turinys apimtų visų aprašų įvardintų 2.1. temas.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11.5.</w:t>
      </w:r>
      <w:r>
        <w:rPr>
          <w:rFonts w:eastAsia="Times New Roman" w:cs="Times New Roman" w:ascii="Times New Roman" w:hAnsi="Times New Roman"/>
          <w:lang w:val="lt-LT"/>
        </w:rPr>
        <w:t xml:space="preserve"> Paslaugų teikėjo atsakomybės.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11.5.1.</w:t>
      </w:r>
      <w:r>
        <w:rPr>
          <w:rFonts w:eastAsia="Times New Roman" w:cs="Times New Roman" w:ascii="Times New Roman" w:hAnsi="Times New Roman"/>
          <w:lang w:val="lt-LT"/>
        </w:rPr>
        <w:t xml:space="preserve"> Mokymo programos ir mokymo medžiagos parengimas bei suderinimas su Perkančiąja organizacija. Mokymo programos ir mokymo medžiaga laikoma suderinta, kai Perkančioji organizacija raštu patvirtina, kad pastabų neturi. Gavęs pastabas, Tiekėjas atlieka reikalingus koregavimus ir ne vėliau kaip per 5 darbo dienas nuo pastabų gavimo pateikia pakartotinai derinti medžiagą su atliktais pakeitimais. Galutinis suderinimas turi būti atliktas ne vėliau kaip 10 darbo dienų iki pirmosios grupės mokymų. Tiekėjas gali atlikti korekcijas dėl to paties(-ių) pateiktos(-ų) pastabos(-ų) maksimaliai 2 kartus.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11.5.2.</w:t>
      </w:r>
      <w:r>
        <w:rPr>
          <w:rFonts w:eastAsia="Times New Roman" w:cs="Times New Roman" w:ascii="Times New Roman" w:hAnsi="Times New Roman"/>
          <w:lang w:val="lt-LT"/>
        </w:rPr>
        <w:t xml:space="preserve"> Mokymų dalyvių surinkimas, registracija ir jų paskirstymo pagal regionus užtikrinimas.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11.5.3.</w:t>
      </w:r>
      <w:r>
        <w:rPr>
          <w:rFonts w:eastAsia="Times New Roman" w:cs="Times New Roman" w:ascii="Times New Roman" w:hAnsi="Times New Roman"/>
          <w:lang w:val="lt-LT"/>
        </w:rPr>
        <w:t xml:space="preserve"> Mokymų tvarkaraščio sudarymas.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11.5.4.</w:t>
      </w:r>
      <w:r>
        <w:rPr>
          <w:rFonts w:eastAsia="Times New Roman" w:cs="Times New Roman" w:ascii="Times New Roman" w:hAnsi="Times New Roman"/>
          <w:lang w:val="lt-LT"/>
        </w:rPr>
        <w:t xml:space="preserve"> Pranešimo apie asmens duomenų tvarkymą įteikimas mokymų dalyviams, kuris turi būti suderintas su Perkančiąja organizacija.</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11.5.5.</w:t>
      </w:r>
      <w:r>
        <w:rPr>
          <w:rFonts w:eastAsia="Times New Roman" w:cs="Times New Roman" w:ascii="Times New Roman" w:hAnsi="Times New Roman"/>
          <w:lang w:val="lt-LT"/>
        </w:rPr>
        <w:t xml:space="preserve"> Mokymų dalyvių sąrašo su šiais duomenimis parengimas ir pateikimas Perkančiajai organizacijai: vardas, pavardė, el. paštas, telefono numeris.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11.6.</w:t>
      </w:r>
      <w:r>
        <w:rPr>
          <w:rFonts w:eastAsia="Times New Roman" w:cs="Times New Roman" w:ascii="Times New Roman" w:hAnsi="Times New Roman"/>
          <w:lang w:val="lt-LT"/>
        </w:rPr>
        <w:t xml:space="preserve"> Ataskaitos pateikimas.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Po visų mokymų Paslaugų teikėjas privalo pateikti detalią paslaugų įvykdymo ataskaitą, apimančią visų mokymų eigą, dalyvių statistiką.</w:t>
      </w:r>
    </w:p>
    <w:p>
      <w:pPr>
        <w:pStyle w:val="Heading2"/>
        <w:jc w:val="center"/>
        <w:rPr>
          <w:rFonts w:ascii="Times New Roman" w:hAnsi="Times New Roman" w:eastAsia="Times New Roman" w:cs="Times New Roman"/>
          <w:b/>
          <w:bCs/>
          <w:sz w:val="24"/>
          <w:szCs w:val="24"/>
          <w:lang w:val="lt-LT"/>
        </w:rPr>
      </w:pPr>
      <w:r>
        <w:rPr>
          <w:rFonts w:eastAsia="Times New Roman" w:cs="Times New Roman" w:ascii="Times New Roman" w:hAnsi="Times New Roman"/>
          <w:b/>
          <w:bCs/>
          <w:sz w:val="24"/>
          <w:szCs w:val="24"/>
          <w:lang w:val="lt-LT"/>
        </w:rPr>
      </w:r>
    </w:p>
    <w:p>
      <w:pPr>
        <w:pStyle w:val="Heading2"/>
        <w:jc w:val="center"/>
        <w:rPr>
          <w:rFonts w:ascii="Times New Roman" w:hAnsi="Times New Roman" w:eastAsia="Times New Roman" w:cs="Times New Roman"/>
          <w:b/>
          <w:bCs/>
          <w:sz w:val="24"/>
          <w:szCs w:val="24"/>
          <w:lang w:val="lt-LT"/>
        </w:rPr>
      </w:pPr>
      <w:r>
        <w:rPr>
          <w:rFonts w:eastAsia="Times New Roman" w:cs="Times New Roman" w:ascii="Times New Roman" w:hAnsi="Times New Roman"/>
          <w:b/>
          <w:bCs/>
          <w:color w:val="auto"/>
          <w:sz w:val="24"/>
          <w:szCs w:val="24"/>
          <w:lang w:val="lt-LT"/>
        </w:rPr>
        <w:t>III SKYRIUS METODINĖS MEDŽIAGOS IR MOKYMŲ RENGIMO TVARKA</w:t>
      </w:r>
    </w:p>
    <w:p>
      <w:pPr>
        <w:pStyle w:val="Normal"/>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240" w:after="240"/>
        <w:jc w:val="both"/>
        <w:rPr>
          <w:rFonts w:ascii="Times New Roman" w:hAnsi="Times New Roman" w:eastAsia="Times New Roman" w:cs="Times New Roman"/>
          <w:b/>
          <w:bCs/>
          <w:lang w:val="lt-LT"/>
        </w:rPr>
      </w:pPr>
      <w:r>
        <w:rPr>
          <w:rFonts w:eastAsia="Times New Roman" w:cs="Times New Roman" w:ascii="Times New Roman" w:hAnsi="Times New Roman"/>
          <w:b/>
          <w:bCs/>
          <w:lang w:val="lt-LT"/>
        </w:rPr>
        <w:t>12. Paslaugų vykdymo planas</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12.1.</w:t>
      </w:r>
      <w:r>
        <w:rPr>
          <w:rFonts w:eastAsia="Times New Roman" w:cs="Times New Roman" w:ascii="Times New Roman" w:hAnsi="Times New Roman"/>
          <w:lang w:val="lt-LT"/>
        </w:rPr>
        <w:t xml:space="preserve"> Pasirašius Paslaugų teikimo sutartį, Tiekėjas ne vėliau kaip per 5 darbo dienas turi pateikti Perkančiajai organizacijai derinti Paslaugų vykdymo planą, kuriame turi būti nurodytas planuojamas galutinis Paslaugų suteikimo terminas, atskiri Paslaugų teikimo etapai, jų apimtys bei kita Tiekėjui ir Perkančiajai organizacijai svarbi informacija.</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w:t>
      </w:r>
      <w:r>
        <w:rPr>
          <w:rFonts w:eastAsia="Times New Roman" w:cs="Times New Roman" w:ascii="Times New Roman" w:hAnsi="Times New Roman"/>
          <w:lang w:val="lt-LT"/>
        </w:rPr>
        <w:t xml:space="preserve"> Paslaugų vykdymo planą turi sudaryti šie metodinės medžiagos su mokymo priemonėmis ir mokymų kūrimo etapai:</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12.2.1.</w:t>
      </w:r>
      <w:r>
        <w:rPr>
          <w:rFonts w:eastAsia="Times New Roman" w:cs="Times New Roman" w:ascii="Times New Roman" w:hAnsi="Times New Roman"/>
          <w:lang w:val="lt-LT"/>
        </w:rPr>
        <w:t xml:space="preserve"> Paslaugų vykdymo koncepcijos ir detaliojo rengimo plano parengimas – Tiekėjas, įvertinęs Perkančiosios organizacijos pateiktus reikalavimus, parengia detalų Paslaugų vykdymo planą, kuriame nurodo metodinės medžiagos, mokymo priemonių ir mokymų rengimo etapus, jų įgyvendinimo eigą, rengiamų produktų apimtį, struktūrą, formą bei derinimo procesą. Terminas: 2 darbo dienos po sutarties pasirašymo.</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Plane turi būti detalizuota:</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teorinės metodinės medžiagos rengimo etapas (numatoma struktūra, apimtis, pateikimo forma);</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praktinės metodinės medžiagos ir priemonių rengimo etapas (numatoma struktūra, apimtis, pateikimo forma);</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vaizdinės ir (ar) kitos mokymo priemonių medžiagos rengimo etapas (numatoma struktūra, apimtis, formatas);</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mokymų programos ir mokymų medžiagos rengimo etapas (numatoma struktūra, apimtis, formatas);</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tarpinių rezultatų pateikimo ir derinimo su Perkančiąja organizacija tvarka;</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lang w:val="lt-LT"/>
        </w:rPr>
        <w:t xml:space="preserve">– </w:t>
      </w:r>
      <w:r>
        <w:rPr>
          <w:rFonts w:eastAsia="Times New Roman" w:cs="Times New Roman" w:ascii="Times New Roman" w:hAnsi="Times New Roman"/>
          <w:lang w:val="lt-LT"/>
        </w:rPr>
        <w:t>planuojami terminai ir kiti Paslaugos įgyvendinimui reikšmingi aspektai.</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12.2.2.</w:t>
      </w:r>
      <w:r>
        <w:rPr>
          <w:rFonts w:eastAsia="Times New Roman" w:cs="Times New Roman" w:ascii="Times New Roman" w:hAnsi="Times New Roman"/>
          <w:lang w:val="lt-LT"/>
        </w:rPr>
        <w:t xml:space="preserve"> Metodinės medžiagos ir mokymo priemonių struktūros bei turinio projekto parengimas ir suderinimas – pagal suderintą Paslaugų vykdymo planą Tiekėjas parengia detalų rengiamų produktų turinio projektą, kuriame pateikia planuojamą metodinės medžiagos struktūrą, pagrindines turinio dalis, jų sąsajas, numatomus metodus ir priemones teorinei, praktinei bei vaizdinei medžiagai. Terminas: 2 darbo dienos po Paslaugų vykdymo plano suderinimo.</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12.2.3.</w:t>
      </w:r>
      <w:r>
        <w:rPr>
          <w:rFonts w:eastAsia="Times New Roman" w:cs="Times New Roman" w:ascii="Times New Roman" w:hAnsi="Times New Roman"/>
          <w:lang w:val="lt-LT"/>
        </w:rPr>
        <w:t xml:space="preserve"> Metodinės medžiagos su mokymo priemonėmis parengimas. Terminas: ne vėliau kaip iki 2026 m. spalio 15 d.</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12.2.4.</w:t>
      </w:r>
      <w:r>
        <w:rPr>
          <w:rFonts w:eastAsia="Times New Roman" w:cs="Times New Roman" w:ascii="Times New Roman" w:hAnsi="Times New Roman"/>
          <w:lang w:val="lt-LT"/>
        </w:rPr>
        <w:t xml:space="preserve"> Mokymų medžiagos ir mokymų programos parengimas. Terminas: ne vėliau kaip iki 2026 m. spalio 20 d.</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12.2.5.</w:t>
      </w:r>
      <w:r>
        <w:rPr>
          <w:rFonts w:eastAsia="Times New Roman" w:cs="Times New Roman" w:ascii="Times New Roman" w:hAnsi="Times New Roman"/>
          <w:lang w:val="lt-LT"/>
        </w:rPr>
        <w:t xml:space="preserve"> Paslaugos medžiagos suderinimas su suinteresuotomis institucijomis: Lietuvos Respublikos sveikatos apsaugos ministerija, Savivaldybių visuomenės sveikatos biurų (toliau – SVSB) asociacija, Lietuvos savivaldybių asociacija. Terminas: ne vėliau kaip iki 2026 m. spalio 29 d.</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12.2.6.</w:t>
      </w:r>
      <w:r>
        <w:rPr>
          <w:rFonts w:eastAsia="Times New Roman" w:cs="Times New Roman" w:ascii="Times New Roman" w:hAnsi="Times New Roman"/>
          <w:lang w:val="lt-LT"/>
        </w:rPr>
        <w:t xml:space="preserve"> Paslaugos medžiagos suderinimas su Perkančiąja organizacija. Terminas: ne vėliau kaip iki 2026 m. lapkričio 5 d.</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12.2.7.</w:t>
      </w:r>
      <w:r>
        <w:rPr>
          <w:rFonts w:eastAsia="Times New Roman" w:cs="Times New Roman" w:ascii="Times New Roman" w:hAnsi="Times New Roman"/>
          <w:lang w:val="lt-LT"/>
        </w:rPr>
        <w:t xml:space="preserve"> Paslaugos medžiaga laikoma suderinta su institucijomis bei Perkančiąja organizacija, kai institucijos, įvardintos 12.2.5 p., bei Perkančioji organizacija raštu patvirtina, kad pastabų neturi. Gavęs pastabas, Tiekėjas atlieka reikalingus paslaugos medžiagos koregavimus ir ne vėliau kaip per 5 darbo dienas nuo pastabų gavimo pateikia pastabas pateikusioms institucijoms ir Perkančiajai organizacijai pakartotinai derinti medžiagą su atliktais pakeitimais. Tiekėjas gali atlikti korekcijas dėl to paties(-ių) pateiktos(-ų) pastabos(-ų) maksimaliai 2 kartus.</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12.2.8.</w:t>
      </w:r>
      <w:r>
        <w:rPr>
          <w:rFonts w:eastAsia="Times New Roman" w:cs="Times New Roman" w:ascii="Times New Roman" w:hAnsi="Times New Roman"/>
          <w:lang w:val="lt-LT"/>
        </w:rPr>
        <w:t xml:space="preserve"> Paslaugos medžiagos perdavimas Perkančiajai organizacijai. Terminas: ne vėliau kaip iki lapkričio 16 d.</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12.3.</w:t>
      </w:r>
      <w:r>
        <w:rPr>
          <w:rFonts w:eastAsia="Times New Roman" w:cs="Times New Roman" w:ascii="Times New Roman" w:hAnsi="Times New Roman"/>
          <w:lang w:val="lt-LT"/>
        </w:rPr>
        <w:t xml:space="preserve"> Tiekėjas pradeda teikti Paslaugą gavęs Perkančiosios organizacijos pritarimą raštu.</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12.4.</w:t>
      </w:r>
      <w:r>
        <w:rPr>
          <w:rFonts w:eastAsia="Times New Roman" w:cs="Times New Roman" w:ascii="Times New Roman" w:hAnsi="Times New Roman"/>
          <w:lang w:val="lt-LT"/>
        </w:rPr>
        <w:t xml:space="preserve"> Tiekėjas atsakingas už visą metodinės medžiagos su mokymo priemonėmis bei mokymų medžiagos ir programos parengimo procesą, jo valdymą, darbų organizavimą ir įgyvendinimą.</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12.5.</w:t>
      </w:r>
      <w:r>
        <w:rPr>
          <w:rFonts w:eastAsia="Times New Roman" w:cs="Times New Roman" w:ascii="Times New Roman" w:hAnsi="Times New Roman"/>
          <w:lang w:val="lt-LT"/>
        </w:rPr>
        <w:t xml:space="preserve"> Tiekėjas privalo korekcijas pagal Perkančiosios organizacijos pateiktas pastabas atlikti ne vėliau kaip per 5 darbo dienas nuo pastabų gavimo dienos.</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12.6.</w:t>
      </w:r>
      <w:r>
        <w:rPr>
          <w:rFonts w:eastAsia="Times New Roman" w:cs="Times New Roman" w:ascii="Times New Roman" w:hAnsi="Times New Roman"/>
          <w:lang w:val="lt-LT"/>
        </w:rPr>
        <w:t xml:space="preserve"> Paslauga laikoma įvykdyta tik gavus Perkančiosios organizacijos patvirtinimą.</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12.7.</w:t>
      </w:r>
      <w:r>
        <w:rPr>
          <w:rFonts w:eastAsia="Times New Roman" w:cs="Times New Roman" w:ascii="Times New Roman" w:hAnsi="Times New Roman"/>
          <w:lang w:val="lt-LT"/>
        </w:rPr>
        <w:t xml:space="preserve"> Visa Paslaugos medžiaga Perkančiajai organizacijai turi būti perduota redaguojamais formatais (MS Word, MS PowerPoint, MS Excel ar lygiaverčiais formatais) ir PDF formatu, pateikiant 3 USB laikmenas adresu: Higienos institutas, Studentų g. 45A, 08107 Vilnius.</w:t>
      </w:r>
    </w:p>
    <w:p>
      <w:pPr>
        <w:pStyle w:val="Normal"/>
        <w:spacing w:lineRule="auto" w:line="276"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12.8.</w:t>
      </w:r>
      <w:r>
        <w:rPr>
          <w:rFonts w:eastAsia="Times New Roman" w:cs="Times New Roman" w:ascii="Times New Roman" w:hAnsi="Times New Roman"/>
          <w:lang w:val="lt-LT"/>
        </w:rPr>
        <w:t xml:space="preserve"> Metodinė medžiaga su mokymo priemonėmis ir mokymų medžiaga bei mokymų programa turi būti parengta ir galutinai suderinta per 3 mėnesius nuo sutarties įsigaliojimo dienos, bet ne vėliau kaip iki 2026 m. lapkričio 16 d.</w:t>
      </w:r>
    </w:p>
    <w:p>
      <w:pPr>
        <w:pStyle w:val="Normal"/>
        <w:spacing w:lineRule="auto" w:line="276" w:before="240" w:after="240"/>
        <w:jc w:val="both"/>
        <w:rPr/>
      </w:pPr>
      <w:r>
        <w:rPr>
          <w:rFonts w:eastAsia="Times New Roman" w:cs="Times New Roman" w:ascii="Times New Roman" w:hAnsi="Times New Roman"/>
          <w:b/>
          <w:bCs/>
          <w:lang w:val="lt-LT"/>
        </w:rPr>
        <w:t>12.9.</w:t>
      </w:r>
      <w:r>
        <w:rPr>
          <w:rFonts w:eastAsia="Times New Roman" w:cs="Times New Roman" w:ascii="Times New Roman" w:hAnsi="Times New Roman"/>
          <w:lang w:val="lt-LT"/>
        </w:rPr>
        <w:t xml:space="preserve"> Mokymai turi būti įvykdyti iki 2026 m. lapkričio 30 d.</w:t>
      </w:r>
    </w:p>
    <w:p>
      <w:pPr>
        <w:pStyle w:val="Normal"/>
        <w:spacing w:before="240" w:after="240"/>
        <w:jc w:val="both"/>
        <w:rPr/>
      </w:pPr>
      <w:r>
        <w:rPr>
          <w:rFonts w:eastAsia="Times New Roman" w:cs="Times New Roman" w:ascii="Times New Roman" w:hAnsi="Times New Roman"/>
          <w:b/>
          <w:bCs/>
          <w:lang w:val="lt-LT"/>
        </w:rPr>
        <w:t>12.10.</w:t>
      </w:r>
      <w:r>
        <w:rPr>
          <w:rFonts w:eastAsia="Times New Roman" w:cs="Times New Roman" w:ascii="Times New Roman" w:hAnsi="Times New Roman"/>
          <w:lang w:val="lt-LT"/>
        </w:rPr>
        <w:t xml:space="preserve"> Metodinė medžiaga su mokymo priemonėmis, mokymų medžiaga ir mokymų programa turi būti koreguojamos ir po Paslaugos įvykdymo bei priėmimo–perdavimo akto pasirašymo, jeigu būtų nustatyta, kad pateikta informacija yra nekorektiška, klaidinanti, netiksli, neatitinka Lietuvos Respublikos ir (ar) Europos Sąjungos teisės aktų, kitų aktualių oficialių šaltinių ar Perkančiosios organizacijos techninėje specifikacijoje ir (ar) Sutartyje nustatytų reikalavimų. Tiekėjas privalo savo lėšomis pašalinti nustatytus trūkumus ir pateikti pakoreguotą medžiagą ne vėliau kaip per 10 darbo dienų nuo Perkančiosios organizacijos pranešimo apie nustatytus trūkumus gavimo dienos.</w:t>
      </w:r>
    </w:p>
    <w:p>
      <w:pPr>
        <w:pStyle w:val="Normal"/>
        <w:spacing w:lineRule="auto" w:line="276"/>
        <w:jc w:val="both"/>
        <w:rPr>
          <w:rFonts w:ascii="Times New Roman" w:hAnsi="Times New Roman" w:eastAsia="Times New Roman" w:cs="Times New Roman"/>
          <w:b/>
          <w:bCs/>
          <w:color w:val="00000A"/>
          <w:lang w:val="lt-LT"/>
        </w:rPr>
      </w:pPr>
      <w:r>
        <w:rPr>
          <w:rFonts w:eastAsia="Times New Roman" w:cs="Times New Roman" w:ascii="Times New Roman" w:hAnsi="Times New Roman"/>
          <w:b/>
          <w:bCs/>
          <w:color w:val="00000A"/>
          <w:lang w:val="lt-LT"/>
        </w:rPr>
      </w:r>
    </w:p>
    <w:p>
      <w:pPr>
        <w:pStyle w:val="Heading2"/>
        <w:jc w:val="center"/>
        <w:rPr>
          <w:rFonts w:ascii="Times New Roman" w:hAnsi="Times New Roman" w:eastAsia="Times New Roman" w:cs="Times New Roman"/>
          <w:b/>
          <w:bCs/>
          <w:color w:val="auto"/>
          <w:sz w:val="24"/>
          <w:szCs w:val="24"/>
          <w:lang w:val="lt-LT"/>
        </w:rPr>
      </w:pPr>
      <w:r>
        <w:rPr>
          <w:rFonts w:eastAsia="Times New Roman" w:cs="Times New Roman" w:ascii="Times New Roman" w:hAnsi="Times New Roman"/>
          <w:b/>
          <w:bCs/>
          <w:color w:val="auto"/>
          <w:sz w:val="24"/>
          <w:szCs w:val="24"/>
          <w:lang w:val="lt-LT"/>
        </w:rPr>
        <w:t>IV SKYRIUS BENDRI REIKALAVIMAI PIRKIMUI</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13.</w:t>
      </w:r>
      <w:r>
        <w:rPr>
          <w:rFonts w:eastAsia="Times New Roman" w:cs="Times New Roman" w:ascii="Times New Roman" w:hAnsi="Times New Roman"/>
          <w:lang w:val="lt-LT"/>
        </w:rPr>
        <w:t xml:space="preserve"> Tiekėjas turi paskirti atsakingą asmenį, į kurį Perkančioji organizacija galėtų kreiptis dėl teikiamos Paslaugos.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14.</w:t>
      </w:r>
      <w:r>
        <w:rPr>
          <w:rFonts w:eastAsia="Times New Roman" w:cs="Times New Roman" w:ascii="Times New Roman" w:hAnsi="Times New Roman"/>
          <w:lang w:val="lt-LT"/>
        </w:rPr>
        <w:t xml:space="preserve"> Jeigu Tiekėjas, teikdamas Paslaugą, pasinaudoja trečiųjų asmenų intelektine nuosavybe, įskaitant, bet tuo neapsiribojant, autorių teises, licencijas, patentus, brėžinius, modelius, prekių ženklus, kuri integruojama ar kitaip susiejama su Paslaugų rezultatu, tai Tiekėjas užtikrina ir garantuoja savo sąskaita, kad nebus pažeistos šių trečiųjų asmenų teisės.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15.</w:t>
      </w:r>
      <w:r>
        <w:rPr>
          <w:rFonts w:eastAsia="Times New Roman" w:cs="Times New Roman" w:ascii="Times New Roman" w:hAnsi="Times New Roman"/>
          <w:lang w:val="lt-LT"/>
        </w:rPr>
        <w:t xml:space="preserve"> Paslaugų teikėjas turi atitikti Perkančiosios organizacijos nustatytus kvalifikacijos ir specialiuosius reikalavimus.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16.</w:t>
      </w:r>
      <w:r>
        <w:rPr>
          <w:rFonts w:eastAsia="Times New Roman" w:cs="Times New Roman" w:ascii="Times New Roman" w:hAnsi="Times New Roman"/>
          <w:lang w:val="lt-LT"/>
        </w:rPr>
        <w:t xml:space="preserve"> Tiekėjas užtikrina ir atsako, kad jo suteiktos Paslaugos ir jų rezultatas nepažeis trečiųjų asmenų intelektinės nuosavybės teisių ir kad Perkančioji organizacija nepatirs jokių teisinių išlaidų ar nuostolių dėl reikalavimų arba įsipareigojimų, susijusių su intelektinės nuosavybės teisėmis į Sutarties dalyką.</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17.</w:t>
      </w:r>
      <w:r>
        <w:rPr>
          <w:rFonts w:eastAsia="Times New Roman" w:cs="Times New Roman" w:ascii="Times New Roman" w:hAnsi="Times New Roman"/>
          <w:lang w:val="lt-LT"/>
        </w:rPr>
        <w:t xml:space="preserve"> Paslauga bus laikoma suteikta tinkamai Perkančiajai organizacijai pasirašius Paslaugų priėmimo–perdavimo aktą.</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18.</w:t>
      </w:r>
      <w:r>
        <w:rPr>
          <w:rFonts w:eastAsia="Times New Roman" w:cs="Times New Roman" w:ascii="Times New Roman" w:hAnsi="Times New Roman"/>
          <w:lang w:val="lt-LT"/>
        </w:rPr>
        <w:t xml:space="preserve"> Nuo Perkančiosios organizacijos galutinio atsiskaitymo su Tiekėju dienos sukurtos Paslaugos intelektinė nuosavybė perduodama Perkančiajai organizacijai neterminuotai ir su galimybe ja naudotis be apribojimų. Perkančiajai organizacijai suteikiama teisė naudotis minėtais rezultatais bet kokia forma, daryti kopijas, platinti, daryti pakeitimus ar kitaip disponuoti. Tiekėjas patvirtina, kad perduotos autorių turtinės teisės į jo sukurtus paslaugų rezultatus yra įskaičiuotos į pateikto pasiūlymo kainą už suteiktas paslaugas.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19.</w:t>
      </w:r>
      <w:r>
        <w:rPr>
          <w:rFonts w:eastAsia="Times New Roman" w:cs="Times New Roman" w:ascii="Times New Roman" w:hAnsi="Times New Roman"/>
          <w:lang w:val="lt-LT"/>
        </w:rPr>
        <w:t xml:space="preserve"> Minimalūs aplinkos apsaugos kriterijai, kurie taikomi paslaugoms –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2022 m. gruodžio 13 d. įsakymas Nr. D1-401), 4 punktu, pirkimas laikomas žaliuoju, nes tenkina 4.4.3 papunktyje nustatytą sąlygą, t. y. perkama tik nematerialaus pobūdžio (intelektinė) paslauga, nesusijusi su materialaus objekto sukūrimu, kurios teikimo metu nėra numatomas reikšmingas neigiamas poveikis aplinkai, nesukuriamas taršos šaltinis ir negeneruojamos atliekos.</w:t>
      </w:r>
    </w:p>
    <w:p>
      <w:pPr>
        <w:pStyle w:val="Normal"/>
        <w:tabs>
          <w:tab w:val="clear" w:pos="1296"/>
          <w:tab w:val="left" w:pos="0" w:leader="none"/>
          <w:tab w:val="left" w:pos="180" w:leader="none"/>
          <w:tab w:val="left" w:pos="426" w:leader="none"/>
          <w:tab w:val="left" w:pos="567" w:leader="none"/>
          <w:tab w:val="left" w:pos="993" w:leader="none"/>
          <w:tab w:val="left" w:pos="1134" w:leader="none"/>
          <w:tab w:val="left" w:pos="1418" w:leader="none"/>
          <w:tab w:val="left" w:pos="2410" w:leader="none"/>
          <w:tab w:val="left" w:pos="3402" w:leader="none"/>
          <w:tab w:val="left" w:pos="3969" w:leader="none"/>
          <w:tab w:val="center" w:pos="4819" w:leader="none"/>
          <w:tab w:val="right" w:pos="9638" w:leader="none"/>
        </w:tabs>
        <w:rPr>
          <w:rFonts w:ascii="Times New Roman" w:hAnsi="Times New Roman" w:eastAsia="Times New Roman" w:cs="Times New Roman"/>
          <w:lang w:val="lt-LT"/>
        </w:rPr>
      </w:pPr>
      <w:r>
        <w:rPr>
          <w:rFonts w:eastAsia="Times New Roman" w:cs="Times New Roman" w:ascii="Times New Roman" w:hAnsi="Times New Roman"/>
          <w:lang w:val="lt-LT"/>
        </w:rPr>
        <w:t xml:space="preserve"> </w:t>
      </w:r>
    </w:p>
    <w:p>
      <w:pPr>
        <w:pStyle w:val="Heading2"/>
        <w:jc w:val="center"/>
        <w:rPr>
          <w:rFonts w:ascii="Times New Roman" w:hAnsi="Times New Roman" w:eastAsia="Times New Roman" w:cs="Times New Roman"/>
          <w:b/>
          <w:bCs/>
          <w:color w:val="auto"/>
          <w:sz w:val="24"/>
          <w:szCs w:val="24"/>
          <w:lang w:val="lt-LT"/>
        </w:rPr>
      </w:pPr>
      <w:r>
        <w:rPr>
          <w:rFonts w:eastAsia="Times New Roman" w:cs="Times New Roman" w:ascii="Times New Roman" w:hAnsi="Times New Roman"/>
          <w:b/>
          <w:bCs/>
          <w:color w:val="auto"/>
          <w:sz w:val="24"/>
          <w:szCs w:val="24"/>
          <w:lang w:val="lt-LT"/>
        </w:rPr>
        <w:t>VII SKYRIUS ASMENS DUOMENŲ TVARKYMAS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20.</w:t>
      </w:r>
      <w:r>
        <w:rPr>
          <w:rFonts w:eastAsia="Times New Roman" w:cs="Times New Roman" w:ascii="Times New Roman" w:hAnsi="Times New Roman"/>
          <w:lang w:val="lt-LT"/>
        </w:rPr>
        <w:t xml:space="preserve"> Perkančioji organizacija, kaip duomenų valdytojas, tvarkys pasiūlyme nurodytus bei pirkimo procedūrų metu iš Tiekėjo gautus duomenų subjektų – fizinių asmenų – Tiekėjo arba jo įgaliotų asmenų, darbuotojų, subtiekėjų, partnerių, kitų asmenų duomenis (vardas, pavardė, pareigos, telefono ryšio numeris, elektroninio pašto adresas, atitiktį kvalifikaciniams reikalavimams patvirtinantys duomenys, kiti Perkančiajai organizacijai Tiekėjo pateikti būtini duomenys) viešųjų pirkimų organizavimo ir vykdymo tikslu vadovaudamasi Reglamento (ES) 2016/679 6 straipsnio 1 dalies c punktu, įgyvendindama pareigas, įtvirtintas Lietuvos Respublikos viešųjų pirkimų įstatyme ir kituose viešuosius pirkimus reglamentuojančiuose teisės aktuose, bei saugos juos pirkimų organizavimo ir vykdymo laikotarpiu bei 10 metų pirkimo procedūroms pasibaigus.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21.</w:t>
      </w:r>
      <w:r>
        <w:rPr>
          <w:rFonts w:eastAsia="Times New Roman" w:cs="Times New Roman" w:ascii="Times New Roman" w:hAnsi="Times New Roman"/>
          <w:lang w:val="lt-LT"/>
        </w:rPr>
        <w:t xml:space="preserve"> Perkančioji organizacija tvarkys Tiekėjo, kurio pasiūlymas bus pripažintas laimėjusiu ir su kuriuo bus sudaryta Sutartis, pateiktus fizinių asmenų – Tiekėjo arba jo įgaliotų asmenų, darbuotojų, subtiekėjų, partnerių, už Sutarties vykdymą atsakingų, kitų asmenų duomenis (vardas, pavardė, pareigos, telefono ryšio numeris, elektroninio pašto adresas, komunikacijos duomenys, kiti būtini duomenys) Sutarties sudarymo ir vykdymo tikslu vadovaudamasi Reglamento (ES) 2016/679 6 str. 1 d. b p. (kai Sutartis sudaroma su fiziniu asmeniu) arba Reglamento (ES) 2016/679 6 str. 1 d. c, f p. įgyvendinant teisės aktų reikalavimus bei siekiant teisėto Perkančiosios organizacijos intereso žinoti asmenis, įgaliotus sudaryti ir vykdyti Sutartį ir su jais bendradarbiauti (kai Sutartis sudaroma su juridiniu asmeniu) bei saugos juos Sutarties galiojimo metu ir 10 metų jai pasibaigus.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22.</w:t>
      </w:r>
      <w:r>
        <w:rPr>
          <w:rFonts w:eastAsia="Times New Roman" w:cs="Times New Roman" w:ascii="Times New Roman" w:hAnsi="Times New Roman"/>
          <w:lang w:val="lt-LT"/>
        </w:rPr>
        <w:t xml:space="preserve"> Kilus ginčams dėl viešųjų pirkimų organizavimo ar Sutarties vykdymo, Perkančioji organizacija gali tvarkyti nurodytus asmens duomenis Perkančiosios organizacijos teisėtų interesų apsaugos tikslu siekdama teisėto intereso pareikšti, vykdyti ar apginti teisinius reikalavimus, vadovaudamasi Reglamento (ES) 2016/679 6 straipsnio 1 dalies f punktu bei saugos juos ginčo nagrinėjimo metu ir 1 metus po atitinkamos valstybės institucijos galutinio sprendimo priėmimo.</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23.</w:t>
      </w:r>
      <w:r>
        <w:rPr>
          <w:rFonts w:eastAsia="Times New Roman" w:cs="Times New Roman" w:ascii="Times New Roman" w:hAnsi="Times New Roman"/>
          <w:lang w:val="lt-LT"/>
        </w:rPr>
        <w:t xml:space="preserve"> Be to, nurodytus asmens duomenis bei dokumento registracijos datą ir numerį Perkančioji organizacija tvarkys ir susijusiu dokumentų valdymo tikslu vadovaudamasi Reglamento (ES) 2016/679 6 straipsnio 1 dalies c punktu, įgyvendindama pareigas, įtvirtintas Lietuvos Respublikos dokumentų ir archyvų įstatyme, Lietuvos vyriausiojo archyvaro 2011 m. liepos 4 d. įsakyme Nr. V-117 „Dėl dokumentų rengimo taisyklių patvirtinimo“, Lietuvos vyriausiojo archyvaro 2011 m. liepos 4 d. įsakyme Nr. V-118 „Dėl dokumentų tvarkymo ir apskaitos taisyklių patvirtinimo“, Lietuvos vyriausiojo archyvaro 2011 m. kovo 9 d. įsakyme Nr. V-100 „Dėl Bendrųjų dokumentų saugojimo terminų rodyklės patvirtinimo“, bei saugos juos Perkančiosios organizacijos dokumentacijos plane numatytais terminais.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24.</w:t>
      </w:r>
      <w:r>
        <w:rPr>
          <w:rFonts w:eastAsia="Times New Roman" w:cs="Times New Roman" w:ascii="Times New Roman" w:hAnsi="Times New Roman"/>
          <w:lang w:val="lt-LT"/>
        </w:rPr>
        <w:t xml:space="preserve"> Tuo atveju, kai nurodytų asmenų duomenys bus pateikiami finansiniuose dokumentuose, Perkančioji organizacija juos tvarkys finansinės apskaitos tikslu vadovaudamasi Reglamento (ES) 2016/679 6 straipsnio 1 dalies c punktu, įgyvendindama pareigas, įtvirtintas Lietuvos Respublikos finansinės apskaitos įstatyme, kituose teisės aktuose.</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25.</w:t>
      </w:r>
      <w:r>
        <w:rPr>
          <w:rFonts w:eastAsia="Times New Roman" w:cs="Times New Roman" w:ascii="Times New Roman" w:hAnsi="Times New Roman"/>
          <w:lang w:val="lt-LT"/>
        </w:rPr>
        <w:t xml:space="preserve"> Asmens duomenų pateikimas yra privalomas. Nepateikus asmens duomenų Tiekėjo pasiūlymas negalės būti vertinamas bei nebus galima sudaryti ir vykdyti Sutarties.</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26.</w:t>
      </w:r>
      <w:r>
        <w:rPr>
          <w:rFonts w:eastAsia="Times New Roman" w:cs="Times New Roman" w:ascii="Times New Roman" w:hAnsi="Times New Roman"/>
          <w:lang w:val="lt-LT"/>
        </w:rPr>
        <w:t xml:space="preserve"> Asmens duomenis Perkančioji organizacija gali teikti Viešųjų pirkimų tarnybai, teismams, kitoms ginčus nagrinėjančioms institucijoms, bankams ar kitoms mokėjimo įstaigoms (atliekant mokėjimus už paslaugas), paslaugų teikėjams, teikiantiems Perkančiajai organizacijai informacinių technologijų infrastruktūros, programinės įrangos ir jų priežiūros bei administravimo, elektroninių ryšių, auditorių, teisines, konsultavimo, duomenų apsaugos pareigūno bei kitas paslaugas. Laimėjusio Tiekėjo viešųjų pirkimų metu pateikto pasiūlymo, sudarytos sutarties ir jos pakeitimų skaitmeninės kopijos viešųjų pirkimų procedūrų skaidrumo užtikrinimo tikslais bus skelbiamos viešai (išskyrus viešai neskelbtinus asmens duomenis) Centrinėje viešųjų pirkimų informacinėje sistemoje, kurios duomenų valdytoja yra Viešųjų pirkimų tarnyba.</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27.</w:t>
      </w:r>
      <w:r>
        <w:rPr>
          <w:rFonts w:eastAsia="Times New Roman" w:cs="Times New Roman" w:ascii="Times New Roman" w:hAnsi="Times New Roman"/>
          <w:lang w:val="lt-LT"/>
        </w:rPr>
        <w:t xml:space="preserve"> Duomenų subjektai – fiziniai asmenys – Tiekėjas arba jo įgalioti asmenys, darbuotojai, subtiekėjai, partneriai, kiti asmenys kaip duomenų subjektai, turi šias duomenų subjekto teises, kurias Perkančioji organizacija įgyvendins Reglamento (ES) 2016/679 bei taikomų kitų teisės aktų nustatytomis sąlygomis ir apimtimi: 1) teisę gauti informaciją apie duomenų tvarkymą; 2) teisę susipažinti su savo duomenimis ir gauti jų kopiją; 3) teisę reikalauti ištaisyti duomenis ar papildyti neišsamius duomenis; 4) teisę reikalauti ištrinti duomenis („teisė būti pamirštam“); 5) teisę apriboti duomenų tvarkymą; 6) teisę nesutikti su asmens duomenų tvarkymu, kai asmens duomenys tvarkomi siekiant teisėto Perkančiosios organizacijos intereso; 7) teisę į duomenų perkeliamumą, tuo atveju, kai asmens duomenys tvarkomi sutarties sudarymo ir vykdymo pagrindu; 8) teisę pateikti skundą Valstybinei duomenų apsaugos inspekcijai, kurios kontaktai skelbiami čia: </w:t>
      </w:r>
      <w:hyperlink r:id="rId2">
        <w:r>
          <w:rPr>
            <w:rStyle w:val="Hyperlink"/>
            <w:rFonts w:eastAsia="Times New Roman" w:cs="Times New Roman" w:ascii="Times New Roman" w:hAnsi="Times New Roman"/>
            <w:lang w:val="lt-LT"/>
          </w:rPr>
          <w:t>https://vdai.lrv.lt/</w:t>
        </w:r>
      </w:hyperlink>
      <w:r>
        <w:rPr>
          <w:rFonts w:eastAsia="Times New Roman" w:cs="Times New Roman" w:ascii="Times New Roman" w:hAnsi="Times New Roman"/>
          <w:lang w:val="lt-LT"/>
        </w:rPr>
        <w:t>.</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28.</w:t>
      </w:r>
      <w:r>
        <w:rPr>
          <w:rFonts w:eastAsia="Times New Roman" w:cs="Times New Roman" w:ascii="Times New Roman" w:hAnsi="Times New Roman"/>
          <w:lang w:val="lt-LT"/>
        </w:rPr>
        <w:t xml:space="preserve"> Duomenų subjektai prašymus dėl aukščiau nurodytų savo teisių įgyvendinimo, taip pat kitus skundus / prašymus dėl asmens duomenų tvarkymo gali pateikti Perkančiajai organizacijai paštu adresu Studentų g. 45A, Vilnius, el. paštu </w:t>
      </w:r>
      <w:hyperlink r:id="rId3">
        <w:r>
          <w:rPr>
            <w:rStyle w:val="Hyperlink"/>
            <w:rFonts w:eastAsia="Times New Roman" w:cs="Times New Roman" w:ascii="Times New Roman" w:hAnsi="Times New Roman"/>
            <w:lang w:val="lt-LT"/>
          </w:rPr>
          <w:t>institutas@hi.lt</w:t>
        </w:r>
      </w:hyperlink>
      <w:r>
        <w:rPr>
          <w:rFonts w:eastAsia="Times New Roman" w:cs="Times New Roman" w:ascii="Times New Roman" w:hAnsi="Times New Roman"/>
          <w:lang w:val="lt-LT"/>
        </w:rPr>
        <w:t xml:space="preserve"> arba jos duomenų apsaugos pareigūnui el. paštu </w:t>
      </w:r>
      <w:hyperlink r:id="rId4">
        <w:r>
          <w:rPr>
            <w:rStyle w:val="Hyperlink"/>
            <w:rFonts w:eastAsia="Times New Roman" w:cs="Times New Roman" w:ascii="Times New Roman" w:hAnsi="Times New Roman"/>
            <w:lang w:val="lt-LT"/>
          </w:rPr>
          <w:t>info@adaekspertai.lt</w:t>
        </w:r>
      </w:hyperlink>
      <w:r>
        <w:rPr>
          <w:rFonts w:eastAsia="Times New Roman" w:cs="Times New Roman" w:ascii="Times New Roman" w:hAnsi="Times New Roman"/>
          <w:lang w:val="lt-LT"/>
        </w:rPr>
        <w:t>.</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29.</w:t>
      </w:r>
      <w:r>
        <w:rPr>
          <w:rFonts w:eastAsia="Times New Roman" w:cs="Times New Roman" w:ascii="Times New Roman" w:hAnsi="Times New Roman"/>
          <w:lang w:val="lt-LT"/>
        </w:rPr>
        <w:t xml:space="preserve"> Daugiau informacijos apie Perkančiosios organizacijos atliekamą asmens duomenų tvarkymą galima rasti jos interneto svetainėje adresu </w:t>
      </w:r>
      <w:hyperlink r:id="rId5">
        <w:r>
          <w:rPr>
            <w:rStyle w:val="Hyperlink"/>
            <w:rFonts w:eastAsia="Times New Roman" w:cs="Times New Roman" w:ascii="Times New Roman" w:hAnsi="Times New Roman"/>
            <w:lang w:val="lt-LT"/>
          </w:rPr>
          <w:t>https://www.hi.lt/asmens-duomenu-apsauga/</w:t>
        </w:r>
      </w:hyperlink>
      <w:r>
        <w:rPr>
          <w:rFonts w:eastAsia="Times New Roman" w:cs="Times New Roman" w:ascii="Times New Roman" w:hAnsi="Times New Roman"/>
          <w:lang w:val="lt-LT"/>
        </w:rPr>
        <w:t>.</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30.</w:t>
      </w:r>
      <w:r>
        <w:rPr>
          <w:rFonts w:eastAsia="Times New Roman" w:cs="Times New Roman" w:ascii="Times New Roman" w:hAnsi="Times New Roman"/>
          <w:lang w:val="lt-LT"/>
        </w:rPr>
        <w:t xml:space="preserve"> Tiekėjas, prieš teikdamas pasiūlymą ir prieš sudarydamas Sutartį, nurodytus fizinius asmenis privalo supažindinti su pateikta informacija apie Perkančiosios organizacijos vykdomą asmens duomenų tvarkymą.</w:t>
      </w:r>
    </w:p>
    <w:p>
      <w:pPr>
        <w:pStyle w:val="Normal"/>
        <w:spacing w:before="240" w:after="240"/>
        <w:jc w:val="both"/>
        <w:rPr>
          <w:rFonts w:ascii="Times New Roman" w:hAnsi="Times New Roman" w:eastAsia="Times New Roman" w:cs="Times New Roman"/>
          <w:lang w:val="lt-LT"/>
        </w:rPr>
      </w:pPr>
      <w:r>
        <w:rPr>
          <w:rFonts w:eastAsia="Times New Roman" w:cs="Times New Roman" w:ascii="Times New Roman" w:hAnsi="Times New Roman"/>
          <w:b/>
          <w:bCs/>
          <w:lang w:val="lt-LT"/>
        </w:rPr>
        <w:t>31.</w:t>
      </w:r>
      <w:r>
        <w:rPr>
          <w:rFonts w:eastAsia="Times New Roman" w:cs="Times New Roman" w:ascii="Times New Roman" w:hAnsi="Times New Roman"/>
          <w:lang w:val="lt-LT"/>
        </w:rPr>
        <w:t xml:space="preserve"> Be to, Tiekėjas, teikdamas paslaugas, tvarkys asmens duomenis Perkančiosios organizacijos vardu ir pagal jos nurodymus. Tiekėjas su Perkančiąja organizacija turės pasirašyti asmens duomenų tvarkymo sutartį.</w:t>
      </w:r>
    </w:p>
    <w:p>
      <w:pPr>
        <w:pStyle w:val="Normal"/>
        <w:spacing w:lineRule="auto" w:line="276" w:before="0" w:after="0"/>
        <w:jc w:val="center"/>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jc w:val="center"/>
        <w:rPr>
          <w:rFonts w:ascii="Times New Roman" w:hAnsi="Times New Roman" w:eastAsia="Times New Roman" w:cs="Times New Roman"/>
          <w:b/>
          <w:bCs/>
          <w:lang w:val="lt-LT"/>
        </w:rPr>
      </w:pPr>
      <w:r>
        <w:rPr>
          <w:rFonts w:eastAsia="Times New Roman" w:cs="Times New Roman" w:ascii="Times New Roman" w:hAnsi="Times New Roman"/>
          <w:b/>
          <w:bCs/>
          <w:lang w:val="lt-LT"/>
        </w:rPr>
        <w:t>VIII SKYRIUS PRIEDAI</w:t>
      </w:r>
    </w:p>
    <w:p>
      <w:pPr>
        <w:pStyle w:val="Normal"/>
        <w:spacing w:lineRule="auto" w:line="276"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32.</w:t>
      </w:r>
      <w:r>
        <w:rPr>
          <w:rFonts w:eastAsia="Times New Roman" w:cs="Times New Roman" w:ascii="Times New Roman" w:hAnsi="Times New Roman"/>
          <w:lang w:val="lt-LT"/>
        </w:rPr>
        <w:t xml:space="preserve"> Motinos, vaiko ir šeimos sveikatos stiprinimo savivaldybėje modelio aprašo temų turinys, 1 priedas.</w:t>
      </w:r>
    </w:p>
    <w:p>
      <w:pPr>
        <w:pStyle w:val="Normal"/>
        <w:spacing w:lineRule="auto" w:line="276"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33.</w:t>
      </w:r>
      <w:r>
        <w:rPr>
          <w:rFonts w:eastAsia="Times New Roman" w:cs="Times New Roman" w:ascii="Times New Roman" w:hAnsi="Times New Roman"/>
          <w:lang w:val="lt-LT"/>
        </w:rPr>
        <w:t xml:space="preserve"> Onkologinių ligų prevencijos bendruomenėje modelio aprašo temų turinys, 2 priedas.</w:t>
      </w:r>
    </w:p>
    <w:p>
      <w:pPr>
        <w:pStyle w:val="Normal"/>
        <w:spacing w:lineRule="auto" w:line="276" w:before="240" w:after="240"/>
        <w:rPr>
          <w:rFonts w:ascii="Times New Roman" w:hAnsi="Times New Roman" w:eastAsia="Times New Roman" w:cs="Times New Roman"/>
          <w:lang w:val="lt-LT"/>
        </w:rPr>
      </w:pPr>
      <w:r>
        <w:rPr>
          <w:rFonts w:eastAsia="Times New Roman" w:cs="Times New Roman" w:ascii="Times New Roman" w:hAnsi="Times New Roman"/>
          <w:b/>
          <w:bCs/>
          <w:lang w:val="lt-LT"/>
        </w:rPr>
        <w:t>34.</w:t>
      </w:r>
      <w:r>
        <w:rPr>
          <w:rFonts w:eastAsia="Times New Roman" w:cs="Times New Roman" w:ascii="Times New Roman" w:hAnsi="Times New Roman"/>
          <w:lang w:val="lt-LT"/>
        </w:rPr>
        <w:t xml:space="preserve"> Asmenų 65+ sveikatos stiprinimo bendruomenėje modelio aprašo temų turinys, 3 priedas.</w:t>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sectPr>
          <w:type w:val="nextPage"/>
          <w:pgSz w:w="11906" w:h="16838"/>
          <w:pgMar w:left="1440" w:right="1440" w:gutter="0" w:header="0" w:top="1440" w:footer="0" w:bottom="1440"/>
          <w:pgNumType w:fmt="decimal"/>
          <w:formProt w:val="false"/>
          <w:textDirection w:val="lrTb"/>
          <w:docGrid w:type="default" w:linePitch="360" w:charSpace="0"/>
        </w:sect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40" w:before="0" w:after="0"/>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b/>
          <w:bCs/>
          <w:color w:themeColor="text1" w:val="000000"/>
        </w:rPr>
        <w:t>MOTINOS, VAIKO IR ŠEIMOS SVEIKATOS STIPRINIMO SAVIVALDYBĖJE MODELIO APRAŠO TEMŲ TURINYS (1 priedas)</w:t>
      </w:r>
    </w:p>
    <w:p>
      <w:pPr>
        <w:pStyle w:val="Normal"/>
        <w:spacing w:lineRule="auto" w:line="240" w:before="0" w:after="0"/>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before="0" w:after="0"/>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b/>
          <w:bCs/>
          <w:color w:themeColor="text1" w:val="000000"/>
        </w:rPr>
        <w:t>TĖVYSTĖS ĮGŪDŽIŲ UGDYMO PROGRAMA „TĖVYSTĖS GIDAS“</w:t>
      </w:r>
    </w:p>
    <w:p>
      <w:pPr>
        <w:pStyle w:val="Normal"/>
        <w:spacing w:lineRule="auto" w:line="240" w:before="0" w:after="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tbl>
      <w:tblPr>
        <w:tblW w:w="13810" w:type="dxa"/>
        <w:jc w:val="left"/>
        <w:tblInd w:w="0" w:type="dxa"/>
        <w:tblLayout w:type="fixed"/>
        <w:tblCellMar>
          <w:top w:w="0" w:type="dxa"/>
          <w:left w:w="105" w:type="dxa"/>
          <w:bottom w:w="0" w:type="dxa"/>
          <w:right w:w="105" w:type="dxa"/>
        </w:tblCellMar>
        <w:tblLook w:firstRow="1" w:noVBand="0" w:lastRow="0" w:firstColumn="1" w:lastColumn="0" w:noHBand="0" w:val="00a0"/>
      </w:tblPr>
      <w:tblGrid>
        <w:gridCol w:w="549"/>
        <w:gridCol w:w="1863"/>
        <w:gridCol w:w="3211"/>
        <w:gridCol w:w="3473"/>
        <w:gridCol w:w="1505"/>
        <w:gridCol w:w="3208"/>
      </w:tblGrid>
      <w:tr>
        <w:trPr>
          <w:trHeight w:val="300" w:hRule="atLeast"/>
        </w:trPr>
        <w:tc>
          <w:tcPr>
            <w:tcW w:w="54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Eil.</w:t>
            </w:r>
          </w:p>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Nr.</w:t>
            </w:r>
          </w:p>
        </w:tc>
        <w:tc>
          <w:tcPr>
            <w:tcW w:w="186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t>Tema</w:t>
            </w:r>
          </w:p>
        </w:tc>
        <w:tc>
          <w:tcPr>
            <w:tcW w:w="32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ind w:left="-111"/>
              <w:jc w:val="center"/>
              <w:rPr>
                <w:rFonts w:ascii="Times New Roman" w:hAnsi="Times New Roman" w:eastAsia="Times New Roman" w:cs="Times New Roman"/>
                <w:b/>
                <w:bCs/>
              </w:rPr>
            </w:pPr>
            <w:r>
              <w:rPr>
                <w:rFonts w:eastAsia="Times New Roman" w:cs="Times New Roman" w:ascii="Times New Roman" w:hAnsi="Times New Roman"/>
                <w:b/>
                <w:bCs/>
              </w:rPr>
              <w:t>Teorinių užsiėmimų turinys</w:t>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hanging="212" w:left="217"/>
              <w:jc w:val="center"/>
              <w:rPr>
                <w:rFonts w:ascii="Times New Roman" w:hAnsi="Times New Roman" w:eastAsia="Times New Roman" w:cs="Times New Roman"/>
                <w:b/>
                <w:bCs/>
              </w:rPr>
            </w:pPr>
            <w:r>
              <w:rPr>
                <w:rFonts w:eastAsia="Times New Roman" w:cs="Times New Roman" w:ascii="Times New Roman" w:hAnsi="Times New Roman"/>
                <w:b/>
                <w:bCs/>
              </w:rPr>
            </w:r>
          </w:p>
          <w:p>
            <w:pPr>
              <w:pStyle w:val="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t>Praktinių užsiėmimų turinys</w:t>
            </w:r>
          </w:p>
        </w:tc>
        <w:tc>
          <w:tcPr>
            <w:tcW w:w="15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t>Trukmė</w:t>
            </w:r>
          </w:p>
          <w:p>
            <w:pPr>
              <w:pStyle w:val="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t>akad. val.</w:t>
            </w:r>
          </w:p>
        </w:tc>
        <w:tc>
          <w:tcPr>
            <w:tcW w:w="32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ind w:hanging="3" w:left="8" w:right="-108"/>
              <w:jc w:val="center"/>
              <w:rPr>
                <w:rFonts w:ascii="Times New Roman" w:hAnsi="Times New Roman" w:eastAsia="Times New Roman" w:cs="Times New Roman"/>
                <w:b/>
                <w:bCs/>
                <w:color w:themeColor="text1" w:val="000000"/>
              </w:rPr>
            </w:pPr>
            <w:r>
              <w:rPr>
                <w:rFonts w:eastAsia="Times New Roman" w:cs="Times New Roman" w:ascii="Times New Roman" w:hAnsi="Times New Roman"/>
                <w:b/>
                <w:bCs/>
                <w:color w:themeColor="text1" w:val="000000"/>
              </w:rPr>
            </w:r>
          </w:p>
          <w:p>
            <w:pPr>
              <w:pStyle w:val="Normal"/>
              <w:spacing w:lineRule="auto" w:line="240" w:before="0" w:after="0"/>
              <w:ind w:hanging="3" w:left="8" w:right="-108"/>
              <w:jc w:val="center"/>
              <w:rPr>
                <w:rFonts w:ascii="Times New Roman" w:hAnsi="Times New Roman" w:eastAsia="Times New Roman" w:cs="Times New Roman"/>
                <w:b/>
                <w:bCs/>
              </w:rPr>
            </w:pPr>
            <w:r>
              <w:rPr>
                <w:rFonts w:eastAsia="Times New Roman" w:cs="Times New Roman" w:ascii="Times New Roman" w:hAnsi="Times New Roman"/>
                <w:b/>
                <w:bCs/>
              </w:rPr>
              <w:t>Metodinės medžiagos formatas</w:t>
            </w:r>
          </w:p>
        </w:tc>
      </w:tr>
      <w:tr>
        <w:trPr>
          <w:trHeight w:val="300" w:hRule="atLeast"/>
        </w:trPr>
        <w:tc>
          <w:tcPr>
            <w:tcW w:w="13809"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ind w:firstLine="53"/>
              <w:jc w:val="center"/>
              <w:rPr>
                <w:rFonts w:ascii="Times New Roman" w:hAnsi="Times New Roman" w:eastAsia="Times New Roman" w:cs="Times New Roman"/>
                <w:b/>
                <w:bCs/>
              </w:rPr>
            </w:pPr>
            <w:r>
              <w:rPr>
                <w:rFonts w:eastAsia="Times New Roman" w:cs="Times New Roman" w:ascii="Times New Roman" w:hAnsi="Times New Roman"/>
                <w:b/>
                <w:bCs/>
              </w:rPr>
              <w:t>TIKSLINĖ GRUPĖ: NĖŠČIOSIOS IR (AR) BESILAUKIANČIOS ŠEIMOS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1.</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Sveikatai palanki mityba</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1.1. Bendrosios rekomendacijos. Sveika mityba: samprata ir pagrindiniai principai. Pagrindiniai lėtinių neinfekcinių ligų rizikos veiksniai ir jų įtaka sveikatai, nėštumui, gimdymui, vaisiaus vystymuisi.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1.2. Nėščiųjų ir žindyvių mitybos ypatumai. Maistinės medžiagos ir jų svarba žmogaus organizmui nėštumo ir žindymo laikotarpiu. Rekomenduojamos energijos ir maistinių medžiagų paros normos.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Dietos, jų įtaka nėščiųjų ir žindyvių sveikatai. Papildai.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1.4. Sveikatai palankaus maisto gaminimo ypatumai, maistines savybes tausojantys patiekalų gamybos būdai ir technologiniai sprendimai.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1.5. Žindymo skatinimas, motinos pieno savybės, žindymo privalumai.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1.6. Diskusijos grupėse (mokymų dalyvių grupę skaidant į mažesnes grupeles po 2–4 asmenis), konsultavimas, užduočių sprendimas.</w:t>
            </w:r>
          </w:p>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1.7. Dalyviai užrašo ir įvertina savo mitybos įpročius bei faktinę mitybą praėjusią parą, pažymi sveikatai palankius, nepalankius bei koreguotinus elgsenos veiksnius.</w:t>
            </w:r>
          </w:p>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1.8. Pateikiamos užduotys dalyviams atlikti namuose, pvz.: pildyti asmeninius mitybos dienoraščius, juose pažymėti sveikatai palankius bei koreguotinus elgsenos veiksmus.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1.9. Organizuojami sveikatai palankaus maisto gaminimo praktiniai užsiėmimai**</w:t>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6</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hanging="3" w:left="37" w:right="-108"/>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Teorinės medžiagos santrauka su  vizualinėmis schemomis, praktinėmis užduotimis ir pavyzdžiais. Trumpi vaizdo įrašai (pvz. kaip turėtų atrodyti sveika lėkštė).</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2.</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Fizinio aktyvumo reikšmė nėščiosios sveikatai</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2.1. Fizinio aktyvumo svarba besilaukiančiai mamai ir vaisiui.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2.2. Nėščiųjų fizinio aktyvumo ypatumai, trukmė kasdien, per savaitę.</w:t>
            </w:r>
          </w:p>
          <w:p>
            <w:pPr>
              <w:pStyle w:val="Normal"/>
              <w:spacing w:lineRule="auto" w:line="240" w:before="0" w:after="0"/>
              <w:ind w:left="34" w:right="-108"/>
              <w:rPr>
                <w:rFonts w:ascii="Times New Roman" w:hAnsi="Times New Roman" w:eastAsia="Times New Roman" w:cs="Times New Roman"/>
              </w:rPr>
            </w:pPr>
            <w:r>
              <w:rPr>
                <w:rFonts w:eastAsia="Times New Roman" w:cs="Times New Roman" w:ascii="Times New Roman" w:hAnsi="Times New Roman"/>
              </w:rPr>
              <w:t>3.3. Fizinio aktyvumo integravimo į kasdienę rutiną galimybės namuose, darbe, laisvalaikiu bei vykstant iš vienos vietos į kitą.</w:t>
            </w:r>
          </w:p>
          <w:p>
            <w:pPr>
              <w:pStyle w:val="Normal"/>
              <w:spacing w:lineRule="auto" w:line="240" w:before="0" w:after="0"/>
              <w:ind w:left="34" w:right="-108"/>
              <w:rPr>
                <w:rFonts w:ascii="Times New Roman" w:hAnsi="Times New Roman" w:eastAsia="Times New Roman" w:cs="Times New Roman"/>
              </w:rPr>
            </w:pPr>
            <w:r>
              <w:rPr>
                <w:rFonts w:eastAsia="Times New Roman" w:cs="Times New Roman" w:ascii="Times New Roman" w:hAnsi="Times New Roman"/>
              </w:rPr>
              <w:t>2.4. Fizinių pratimų nauda organizmui po gimdymo.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2.5. Dalyviai mokomi įsivertinti savo fizinio aktyvumo atitiktį rekomendacijoms.</w:t>
            </w:r>
          </w:p>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2.6. Dalyviai mokomi teisingos fizinių pratimų technikos.</w:t>
            </w:r>
          </w:p>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2.7. Skiriamos užduotys dalyviams atlikti namuose, pvz., daryti mankštas, kas dieną nueitų žingsnių kiekį matuoti žingsniamačiu arba spec. programėle ir pildyti fizinio aktyvumo dienoraštį.</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2.8. Organizuojami praktiniai fizinio aktyvumo užsiėmimai**</w:t>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6</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 Trumpi vaizdo įrašai (pvz. pavyzdiniai mankštos pratimai).</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3.</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Psichoaktyviųjų medžiagų vartojimo žala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211" w:type="dxa"/>
            <w:tcBorders>
              <w:top w:val="single" w:sz="6" w:space="0" w:color="000000"/>
              <w:left w:val="single" w:sz="6" w:space="0" w:color="000000"/>
              <w:bottom w:val="single" w:sz="6" w:space="0" w:color="000000"/>
              <w:right w:val="single" w:sz="6" w:space="0" w:color="000000"/>
            </w:tcBorders>
          </w:tcPr>
          <w:p>
            <w:pPr>
              <w:pStyle w:val="Normal"/>
              <w:keepNext w:val="true"/>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3.1. Tabako, alkoholio, narkotinių medžiagų žala nėščiajai, vaisiui.</w:t>
            </w:r>
          </w:p>
          <w:p>
            <w:pPr>
              <w:pStyle w:val="Normal"/>
              <w:keepNext w:val="true"/>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3.2. Elektroninės cigaretės. Pasyvaus rūkymo žala.</w:t>
            </w:r>
          </w:p>
          <w:p>
            <w:pPr>
              <w:pStyle w:val="Normal"/>
              <w:keepNext w:val="true"/>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p>
            <w:pPr>
              <w:pStyle w:val="Normal"/>
              <w:keepNext w:val="true"/>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3.3. Demonstraciniai rūkymo, alkoholio, narkotinių medžiagų vartojimo pasekmių modeliai ir kita vaizdinė medžiaga.</w:t>
            </w:r>
          </w:p>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3.4. Diskusijos grupėse (mokymų dalyvių grupę skaidant į mažesnes grupeles po 2–4 asmenis), grupinis konsultavimas, užduočių sprendimas.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1</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645"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4.</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Psichikos sveikatos stiprinimas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4.1. Psichikos sveikata nėštumo metu, pasiruošimas gimdymui. Gimdymo laukimas, baimės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4.2. Nerimo, streso priežastys. Streso valdymas. Miego ir poilsio režimas. Pasirengimo miegui rutina.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4.3. Psichikos sveikata pogimdyminiu laikotarpiu.  Pogimdyminė depresija. Priežastys, požymiai, pagalba.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4.4. Smurtas artimoje aplinkoje.</w:t>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4.5. Diskusijos grupėse (mokymų dalyvių grupę skaidant į mažesnes grupeles po 2–4 asmenis), grupinis konsultavimas, užduočių sprendimas.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4.6. Mokoma emocijų atpažinimo ir valdymo technikų.</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4.7. Mokoma atpažinti pogimdyminės depresijos požymius.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4.8. Mokoma atsipalaidavimo pratimų (kvėpavimo, raumenų įtempimo ir atpalaidavimo, autogeninės treniruotės).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5.9. Vaizdinė medžiaga.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8</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Trumpi vaizdo įrašai (pvz. atsipalaidavimo pratimai, kvėpavimo, raumenų įtempimo ir atpalaidavimo, autogeninės treniruotės).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5.</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Moters sveikata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5.1. Kūno pokyčiai nėštumo metu ir po gimdymo.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5.2. Pasiruošimas žindymui. Žindymo sunkumai.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5.3. Kontracepcija, seksualinė sveikata. Per ankstyvas, nepageidaujamas nėštumas po gimdymo.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5.4. Saugus seksas ir lytiniu keliu plintančios infekcijos, įskaitant ŽIV.</w:t>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5.5. Diskusijos grupėse, konsultavimas, pasidalijimas patirtimi.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5.6. Vaizdinė medžiaga.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2</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p>
            <w:pPr>
              <w:pStyle w:val="Normal"/>
              <w:spacing w:lineRule="auto" w:line="240" w:before="0" w:after="0"/>
              <w:ind w:hanging="3" w:left="37" w:right="-108"/>
              <w:jc w:val="center"/>
              <w:rPr>
                <w:rFonts w:ascii="Times New Roman" w:hAnsi="Times New Roman" w:eastAsia="Times New Roman" w:cs="Times New Roman"/>
              </w:rPr>
            </w:pPr>
            <w:r>
              <w:rPr>
                <w:rFonts w:eastAsia="Times New Roman" w:cs="Times New Roman" w:ascii="Times New Roman" w:hAnsi="Times New Roman"/>
              </w:rPr>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6.</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Vaikų sveikata</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6.1. Naujagimio ir kūdikio priežiūra. Naujagimių ir kūdikių burnos higienos ypatumai.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6.2. Žindymo taisyklės,  motinos pieno ištraukimas ir laikymas, motinos pieno pakaitalai.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6.3. Naujagimio ir kūdikio raida. Normalus kūdikio elgesys ir vystymasis, įskaitant verkimą, miegą ir augimą.</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6.4. Sužalojimų rizika pagal vaiko amžiaus tarpsnį. Tinkama suaugusiųjų priežiūra, pritaikyta aplinka. Kūdikių staigios mirties sindromas. Sukrėsto vaiko sindromas.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6.5. Diskusijos grupėse (mokymų dalyvių grupę skaidant į mažesnes grupeles po 2–4 asmenis), grupinis konsultavimas, užduočių sprendimas.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6.6. Praktiniai naujagimio burnos priežiūros ypatumai.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6.7. Kūdikio vystymas, rengimas, sauskelnių keitimas (pvz. naudojant lėlę).</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6.8. Taisyklingas žindymas, pieno ištraukimas rankomis, pientraukiu.</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6.9. Mokoma analizuoti ir apibūdinti pavojingas ir rizikingas situacijas, kurios gali būti traumos priežastis (saulės smūgis, hipotermija, elektros traumos, nudegimas, nušalimas ir kt.).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8</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Trumpi vaizdo įrašai (arba animacija) (taisyklingas žindymas, naujagymio burnos priežiūra, pirma pagalba, aplinkos pritaikymas ir kt.).</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7.</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Užkrečiamųjų ligų prevencija</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7.1. Nėščiųjų imunoprofilaktika. Skiepų nauda, saugumas, galimos nepageidaujamos reakcijos.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7.2. Antimikrobinis atsparumas.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7.3. Asmens ir rankų higiena.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7.4. Maisto gaminimo higiena.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7.5. Patalpų valymas ir vėdinimas.</w:t>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7.6. Diskusijos grupėse</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7.7. Taisyklingas rankų plovimas.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7.8. Čiaudėjimo ir kosėjimo etiketas.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1,5</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p>
            <w:pPr>
              <w:pStyle w:val="Normal"/>
              <w:spacing w:lineRule="auto" w:line="240" w:before="0" w:after="0"/>
              <w:ind w:hanging="3" w:left="37" w:right="-108"/>
              <w:jc w:val="center"/>
              <w:rPr>
                <w:rFonts w:ascii="Times New Roman" w:hAnsi="Times New Roman" w:eastAsia="Times New Roman" w:cs="Times New Roman"/>
              </w:rPr>
            </w:pPr>
            <w:r>
              <w:rPr>
                <w:rFonts w:eastAsia="Times New Roman" w:cs="Times New Roman" w:ascii="Times New Roman" w:hAnsi="Times New Roman"/>
              </w:rPr>
            </w:r>
          </w:p>
        </w:tc>
      </w:tr>
      <w:tr>
        <w:trPr>
          <w:trHeight w:val="300" w:hRule="atLeast"/>
        </w:trPr>
        <w:tc>
          <w:tcPr>
            <w:tcW w:w="13809" w:type="dxa"/>
            <w:gridSpan w:val="6"/>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b/>
                <w:bCs/>
              </w:rPr>
              <w:t>TIKSLINĖ GRUPĖ: ŠEIMOS, AUGINANČIOS 0–3 METŲ AMŽIAUS VAIKUS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1.</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Sveikatai palanki mityba</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1.1. Sveika mityba: samprata ir pagrindiniai principai. Pagrindiniai lėtinių neinfekcinių ligų rizikos veiksniai ir jų įtaka vaikų sveikatai.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1.2. Naujagimių, kūdikių, 1-3 metų vaikų mitybos ypatumai.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1.3. Žindymo skatinimas, motinos pieno savybės, žindymo privalumai, motinos pieno pakaitalai.  Maisto produktų įvedimas. Papildai.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1.4. Žindymo taisyklės, motinos pieno ištraukimas ir laikymas.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1.5. Žindyvių mitybos ypatumai. Maistinės medžiagos ir jų svarba organizmui žindymo laikotarpiu. Papildai. Rekomenduojamos energijos ir maistinių medžiagų paros normos.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1.6. Diskusijos grupėse (mokymų dalyvių grupę skaidant į mažesnes grupeles po 2–4 asmenis), konsultavimas, užduočių sprendimas.</w:t>
            </w:r>
          </w:p>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1.7. Dalyviai užrašo ir įvertina savo mitybos įpročius bei faktinę mitybą praėjusią parą, pažymi sveikatai palankius, nepalankius bei koreguotinus elgsenos veiksnius.</w:t>
            </w:r>
          </w:p>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1.8. Pateikiamos užduotys dalyviams atlikti namuose, pvz.: pildyti asmeninius mitybos dienoraščius, juose pažymėti sveikatai palankius bei koreguotinus elgsenos veiksmus.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1.9. Idėjos, kaip estetiškai, patraukliai vaikui patiekti patiekalus.</w:t>
            </w:r>
          </w:p>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1.10. Organizuojami sveikatai palankaus maisto gaminimo praktiniai užsiėmimai.</w:t>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6</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color w:themeColor="text1" w:val="000000"/>
              </w:rPr>
            </w:pPr>
            <w:r>
              <w:rPr>
                <w:rFonts w:eastAsia="Times New Roman" w:cs="Times New Roman" w:ascii="Times New Roman" w:hAnsi="Times New Roman"/>
              </w:rPr>
              <w:t xml:space="preserve">Trumpi vaizdo įrašai (arba animacija) </w:t>
            </w:r>
            <w:r>
              <w:rPr>
                <w:rStyle w:val="Normaltextrun"/>
                <w:rFonts w:eastAsia="Times New Roman" w:cs="Times New Roman" w:ascii="Times New Roman" w:hAnsi="Times New Roman"/>
                <w:color w:themeColor="text1" w:val="000000"/>
                <w:sz w:val="24"/>
                <w:szCs w:val="24"/>
              </w:rPr>
              <w:t>(pvz. kaip turėtų atrodyti sveika lėkštė).</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2.</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Fizinio aktyvumo reikšmė motinos ir kūdikio sveikatai</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2.1. Bendrosios rekomendacijos. Fizinio aktyvumo reikšmė lėtinių neinfekcinių ligų profilaktikai.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2.2. Fizinio aktyvumo  rekomendacijos po gimdymo. Rekomenduojama fizinės veiklos trukmė kasdien, per savaitę.</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2.3. Naujagimių / kūdikių mankštos ypatumai.</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2.4. Fizinio aktyvumo svarba ir rekomendacijos 1-3 metų  vaikams. Rekomenduojama fizinės veiklos trukmė kasdien, per savaitę.</w:t>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2.4. Dalyviai mokomi įsivertinti savo fizinio aktyvumo atitiktį rekomendacijoms.</w:t>
            </w:r>
          </w:p>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2.5. Dalyviai mokomi teisingos fizinių pratimų technikos.</w:t>
            </w:r>
          </w:p>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2.6. Skiriamos užduotys dalyviams atlikti namuose, pvz., daryti mankštas, kas dieną nueitų žingsnių kiekį matuoti žingsniamačiu arba spec. programėle ir pildyti fizinio aktyvumo dienoraštį.</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2.7. Vedami parodomieji naujagimių / kūdikių / vaikų mankštos užsiėmimai.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2.8. Organizuojami praktiniai fizinio aktyvumo užsiėmimai**.</w:t>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6</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 Trumpi vaizdo įrašai (pvz. pavyzdiniai kūdikių, vaikų mankštos pratimai).</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3.</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Psichoaktyviųjų medžiagų vartojimo žala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3.1. Elektroninės cigaretės. Pasyvaus rūkymo žala.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3.2. Tėvų priklausomybių įtaka vaiko pasirinkimui rūkyti, vartoti alkoholį, psichotropines medžiagas.</w:t>
            </w:r>
          </w:p>
          <w:p>
            <w:pPr>
              <w:pStyle w:val="Normal"/>
              <w:keepNext w:val="true"/>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3.3. Pasyvaus rūkymo žala.</w:t>
            </w:r>
          </w:p>
          <w:p>
            <w:pPr>
              <w:pStyle w:val="Normal"/>
              <w:keepNext w:val="true"/>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p>
            <w:pPr>
              <w:pStyle w:val="Normal"/>
              <w:keepNext w:val="true"/>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3.4. Demonstraciniai rūkymo, alkoholio, narkotinių medžiagų vartojimo pasekmių modeliai ir kita vaizdinė medžiaga.</w:t>
            </w:r>
          </w:p>
          <w:p>
            <w:pPr>
              <w:pStyle w:val="Normal"/>
              <w:spacing w:lineRule="auto" w:line="240" w:before="0" w:after="0"/>
              <w:ind w:left="35"/>
              <w:rPr>
                <w:rFonts w:ascii="Times New Roman" w:hAnsi="Times New Roman" w:eastAsia="Times New Roman" w:cs="Times New Roman"/>
              </w:rPr>
            </w:pPr>
            <w:r>
              <w:rPr>
                <w:rFonts w:eastAsia="Times New Roman" w:cs="Times New Roman" w:ascii="Times New Roman" w:hAnsi="Times New Roman"/>
              </w:rPr>
              <w:t>3.5. Diskusijos grupėse (mokymų dalyvių grupę skaidant į mažesnes grupeles po 2–4 asmenis), grupinis konsultavimas, užduočių sprendimas.</w:t>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1</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hanging="3" w:left="37" w:right="-108"/>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4.</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Psichikos sveikatos stiprinimas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4.1. Psichikos sveikata pogimdyminiu laikotarpiu. Motinos būklės po gimdymo ypatumai.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4.2. Pogimdyminė depresija. Priežastys, požymiai, pagalba.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4.3. Nerimo, streso priežastys. Streso valdymas.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4.4. Motinos, vaiko miego ir poilsio režimas. Pasirengimo miegui rutina.</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4.5. Naujagimių ir kūdikių raidos ypatumai.</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4.6. Vaiko elgesio ir emocijų sunkumai.</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4.7. Ryšio su vaiku stiprinimas, kartu praleisto kokybiško laiko svarba.</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t>4.8. Emocijų valdymas, konfliktų sprendimas. Pozityvus vaiko auklėjimas</w:t>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left="9"/>
              <w:rPr>
                <w:rFonts w:ascii="Times New Roman" w:hAnsi="Times New Roman" w:eastAsia="Times New Roman" w:cs="Times New Roman"/>
              </w:rPr>
            </w:pPr>
            <w:r>
              <w:rPr>
                <w:rFonts w:eastAsia="Times New Roman" w:cs="Times New Roman" w:ascii="Times New Roman" w:hAnsi="Times New Roman"/>
              </w:rPr>
              <w:t>4.9. Diskusijos grupėse (mokymų dalyvių grupę skaidant į mažesnes grupeles po 2–4 asmenis), grupinis konsultavimas, užduočių sprendimas.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4.10. Mokoma emocijų atpažinimo ir valdymo technikų.</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4.11. Mokoma atpažinti pogimdyminės depresijos požymius.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4.12. Mokoma atsipalaidavimo pratimų (kvėpavimo, raumenų įtempimo ir atpalaidavimo, autogeninės treniruotės).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4.13. Vaizdinė medžiaga.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9</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Trumpi vaizdo įrašai (pvz. atsipalaidavimo pratimai, kvėpavimo, raumenų įtempimo ir atpalaidavimo, autogeninės treniruotės).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5.</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Moters sveikata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5.1. Kūno pokyčiai po gimdymo.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5.2. Kontracepcija, seksualinė sveikata. Ankstyvas, nepageidaujamas nėštumas po gimdymo.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5.3. Saugus seksas ir lytiniu keliu plintančios infekcijos, įskaitant ŽIV.</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5.5. Diskusijos grupėse, konsultavimas, pasidalijimas patirtimi.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5.6. Vaizdinė medžiaga.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2</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hanging="3" w:left="37" w:right="-108"/>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6.</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Vaikų sveikata</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6.1. Naujagimio ir kūdikio priežiūra.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6.2. 0–3 metų vaiko raida.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6.3. Normalus kūdikio elgesys ir vystymasis, įskaitant verkimą, miegą ir augimą.</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7.4. Bendravimas ir žaidimas su 1–3 metų vaiku, auklėjimo ypatumai.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6.5. Vaikų sužalojimai: transporto įvykiai, nukritimai, negyvų mechaninių jėgų poveikis, atsitiktinis paskendimas,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nudegimai, nušalimai.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6.6. Kūdikių staigios mirties sindromas. Sukrėsto vaiko sindromas.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6.7. Vaiko aplinkos pritaikymas.</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6.8. Diskusijos grupėse (mokymų dalyvių grupę skaidant į mažesnes grupeles po 2–4 asmenis), grupinis konsultavimas, užduočių sprendimas.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6.9. Kūdikio ir mažų vaikų burnos priežiūra.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6.10. Kūdikio vystymas, rengimas, sauskelnių keitimas (pvz. naudojant lėlę).</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6.11. Taisyklingas žindymas, pieno ištraukimas rankomis, pientraukiu, burnos higiena.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6.12. Mokoma analizuoti ir apibūdinti pavojingas ir rizikingas situacijas, kurios gali būti traumos priežastis (saulės smūgis, hipotermija, elektros traumos, nudegimas, nušalimas ir kt.).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8</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Trumpi vaizdo įrašai (arba animacija) (taisyklingas žindymas, naujagimio burnos priežiūra, pirma pagalba, aplinkos pritaikymas ir kt.).</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r>
        <w:trPr>
          <w:trHeight w:val="300" w:hRule="atLeast"/>
        </w:trPr>
        <w:tc>
          <w:tcPr>
            <w:tcW w:w="54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ind w:right="-89"/>
              <w:jc w:val="center"/>
              <w:rPr>
                <w:rFonts w:ascii="Times New Roman" w:hAnsi="Times New Roman" w:eastAsia="Times New Roman" w:cs="Times New Roman"/>
              </w:rPr>
            </w:pPr>
            <w:r>
              <w:rPr>
                <w:rFonts w:eastAsia="Times New Roman" w:cs="Times New Roman" w:ascii="Times New Roman" w:hAnsi="Times New Roman"/>
              </w:rPr>
              <w:t>7.</w:t>
            </w:r>
          </w:p>
        </w:tc>
        <w:tc>
          <w:tcPr>
            <w:tcW w:w="18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rPr>
              <w:t>Užkrečiamųjų ligų prevencija</w:t>
            </w:r>
          </w:p>
        </w:tc>
        <w:tc>
          <w:tcPr>
            <w:tcW w:w="321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7.1. Dažniausios naujagimių ir kūdikių infekcinės ligos.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7.2. Žindyvių, naujagimių ir vaikų iki  metų imunoprofilaktika. Skiepų nauda, saugumas, galimos nepageidaujamos reakcijos.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7.3. Asmens ir rankų higiena.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7.4. Maisto gaminimo higiena.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7.5. Patalpų valymas ir vėdinimas.</w:t>
            </w:r>
          </w:p>
          <w:p>
            <w:pPr>
              <w:pStyle w:val="Normal"/>
              <w:spacing w:lineRule="auto" w:line="240" w:before="0" w:after="0"/>
              <w:ind w:right="-108"/>
              <w:rPr>
                <w:rFonts w:ascii="Times New Roman" w:hAnsi="Times New Roman" w:eastAsia="Times New Roman" w:cs="Times New Roman"/>
              </w:rPr>
            </w:pPr>
            <w:r>
              <w:rPr>
                <w:rFonts w:eastAsia="Times New Roman" w:cs="Times New Roman" w:ascii="Times New Roman" w:hAnsi="Times New Roman"/>
              </w:rPr>
            </w:r>
          </w:p>
        </w:tc>
        <w:tc>
          <w:tcPr>
            <w:tcW w:w="3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7.6. Diskusijos grupėse.</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7.7. Taisyklingas rankų plovimas.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7.8. Čiaudėjimo ir kosėjimo etiketas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c>
          <w:tcPr>
            <w:tcW w:w="1505"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rPr>
              <w:t>1,5</w:t>
            </w:r>
          </w:p>
        </w:tc>
        <w:tc>
          <w:tcPr>
            <w:tcW w:w="3208"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hanging="3" w:left="37" w:right="-108"/>
              <w:rPr>
                <w:rFonts w:ascii="Times New Roman" w:hAnsi="Times New Roman" w:eastAsia="Times New Roman" w:cs="Times New Roman"/>
              </w:rPr>
            </w:pPr>
            <w:r>
              <w:rPr>
                <w:rFonts w:eastAsia="Times New Roman" w:cs="Times New Roman" w:ascii="Times New Roman" w:hAnsi="Times New Roman"/>
              </w:rPr>
              <w:t>Teorinės medžiagos santrauka su  vizualinėmis schemomis, praktinėmis užduotimis ir pavyzdžiais.</w:t>
            </w:r>
          </w:p>
          <w:p>
            <w:pPr>
              <w:pStyle w:val="Normal"/>
              <w:spacing w:lineRule="auto" w:line="240" w:before="0" w:after="0"/>
              <w:ind w:hanging="3" w:left="37" w:right="-108"/>
              <w:rPr>
                <w:rFonts w:ascii="Times New Roman" w:hAnsi="Times New Roman" w:eastAsia="Times New Roman" w:cs="Times New Roman"/>
                <w:color w:themeColor="text1" w:val="000000"/>
              </w:rPr>
            </w:pPr>
            <w:r>
              <w:rPr>
                <w:rStyle w:val="Normaltextrun"/>
                <w:rFonts w:eastAsia="Times New Roman" w:cs="Times New Roman" w:ascii="Times New Roman" w:hAnsi="Times New Roman"/>
                <w:color w:themeColor="text1" w:val="000000"/>
                <w:sz w:val="24"/>
                <w:szCs w:val="24"/>
              </w:rPr>
              <w:t>Dalomoji medžiaga užsiėmimų dalyviams.</w:t>
            </w:r>
          </w:p>
        </w:tc>
      </w:tr>
    </w:tbl>
    <w:p>
      <w:pPr>
        <w:pStyle w:val="Normal"/>
        <w:spacing w:lineRule="auto" w:line="240" w:before="0" w:after="0"/>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before="0" w:after="0"/>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Metodinės medžiagos turinio rengėjų kvalifikacija:</w:t>
      </w:r>
    </w:p>
    <w:p>
      <w:pPr>
        <w:pStyle w:val="Normal"/>
        <w:spacing w:lineRule="auto" w:line="240" w:before="0" w:after="0"/>
        <w:ind w:firstLine="706"/>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xml:space="preserve">1 – visuomenės sveikatos specialistas, turintis teisę vykdyti visuomenės sveikatos stiprinimą pagal Lietuvos Respublikos sveikatos apsaugos ministro 2007 m. lapkričio 15 d. įsakymą Nr. V-918; </w:t>
      </w:r>
    </w:p>
    <w:p>
      <w:pPr>
        <w:pStyle w:val="Normal"/>
        <w:tabs>
          <w:tab w:val="clear" w:pos="1296"/>
          <w:tab w:val="left" w:pos="426" w:leader="none"/>
        </w:tabs>
        <w:spacing w:lineRule="auto" w:line="259"/>
        <w:ind w:left="706"/>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xml:space="preserve">2 – burnos higienistas, turintis teisę verstis burnos higienisto praktika pagal Lietuvos medicinos normą MN 35:2012; odontologas, turintis teisę verstis odontologo praktika pagal Lietuvos medicinos normą MN 42:2023; </w:t>
      </w:r>
    </w:p>
    <w:p>
      <w:pPr>
        <w:pStyle w:val="Normal"/>
        <w:tabs>
          <w:tab w:val="clear" w:pos="1296"/>
          <w:tab w:val="left" w:pos="426" w:leader="none"/>
        </w:tabs>
        <w:spacing w:lineRule="auto" w:line="240" w:before="0" w:after="0"/>
        <w:ind w:firstLine="706"/>
        <w:contextualSpacing/>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xml:space="preserve">3 – dietistas, turintis teisę verstis dietisto praktika pagal Lietuvos medicinos normą MN MN 32:2015; gydytojas dietologas, turintis teisę verstis gydytojo dietologo praktika pagal Lietuvos medicinos normą </w:t>
      </w:r>
      <w:r>
        <w:rPr>
          <w:rFonts w:eastAsia="Times New Roman" w:cs="Times New Roman" w:ascii="Times New Roman" w:hAnsi="Times New Roman"/>
          <w:caps/>
          <w:color w:themeColor="text1" w:val="000000"/>
          <w:lang w:val="lt-LT"/>
        </w:rPr>
        <w:t>MN</w:t>
      </w:r>
      <w:r>
        <w:rPr>
          <w:rFonts w:eastAsia="Times New Roman" w:cs="Times New Roman" w:ascii="Times New Roman" w:hAnsi="Times New Roman"/>
          <w:caps/>
          <w:color w:themeColor="text1" w:val="000000"/>
        </w:rPr>
        <w:t xml:space="preserve"> </w:t>
      </w:r>
      <w:r>
        <w:rPr>
          <w:rFonts w:eastAsia="Times New Roman" w:cs="Times New Roman" w:ascii="Times New Roman" w:hAnsi="Times New Roman"/>
          <w:caps/>
          <w:color w:themeColor="text1" w:val="000000"/>
          <w:lang w:val="lt-LT"/>
        </w:rPr>
        <w:t>31:2022</w:t>
      </w:r>
      <w:r>
        <w:rPr>
          <w:rFonts w:eastAsia="Times New Roman" w:cs="Times New Roman" w:ascii="Times New Roman" w:hAnsi="Times New Roman"/>
          <w:caps/>
          <w:color w:themeColor="text1" w:val="000000"/>
        </w:rPr>
        <w:t xml:space="preserve">; </w:t>
      </w:r>
    </w:p>
    <w:p>
      <w:pPr>
        <w:pStyle w:val="Normal"/>
        <w:tabs>
          <w:tab w:val="clear" w:pos="1296"/>
          <w:tab w:val="left" w:pos="426" w:leader="none"/>
        </w:tabs>
        <w:spacing w:lineRule="auto" w:line="259"/>
        <w:ind w:firstLine="706"/>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xml:space="preserve">4 – psichologas, turintis psichologijos bakalauro ir psichologijos magistro kvalifikacinius laipsnius arba psichologo kvalifikaciją (specialybę), įgytą baigus studijas pagal vienos pakopos aukštojo mokslo programas; gydytojas psichiatras, turintis teisę verstis gydytojo psichiatro praktika pagal Lietuvos medicinos normą </w:t>
      </w:r>
      <w:r>
        <w:rPr>
          <w:rFonts w:eastAsia="Times New Roman" w:cs="Times New Roman" w:ascii="Times New Roman" w:hAnsi="Times New Roman"/>
          <w:color w:themeColor="text1" w:val="000000"/>
          <w:lang w:val="lt-LT"/>
        </w:rPr>
        <w:t>MN 53:2019</w:t>
      </w:r>
      <w:r>
        <w:rPr>
          <w:rFonts w:eastAsia="Times New Roman" w:cs="Times New Roman" w:ascii="Times New Roman" w:hAnsi="Times New Roman"/>
          <w:color w:themeColor="text1" w:val="000000"/>
        </w:rPr>
        <w:t xml:space="preserve">; medicinos psichologas, turintis teisę verstis medicinos psichologo praktika pagal Lietuvos medicinos normą </w:t>
      </w:r>
      <w:r>
        <w:rPr>
          <w:rFonts w:eastAsia="Times New Roman" w:cs="Times New Roman" w:ascii="Times New Roman" w:hAnsi="Times New Roman"/>
          <w:color w:themeColor="text1" w:val="000000"/>
          <w:lang w:val="lt-LT"/>
        </w:rPr>
        <w:t>MN 162:2018</w:t>
      </w:r>
      <w:r>
        <w:rPr>
          <w:rFonts w:eastAsia="Times New Roman" w:cs="Times New Roman" w:ascii="Times New Roman" w:hAnsi="Times New Roman"/>
          <w:color w:themeColor="text1" w:val="000000"/>
        </w:rPr>
        <w:t>;</w:t>
      </w:r>
    </w:p>
    <w:p>
      <w:pPr>
        <w:pStyle w:val="Normal"/>
        <w:tabs>
          <w:tab w:val="clear" w:pos="1296"/>
          <w:tab w:val="left" w:pos="426" w:leader="none"/>
        </w:tabs>
        <w:spacing w:lineRule="auto" w:line="240" w:before="0" w:after="0"/>
        <w:ind w:firstLine="706"/>
        <w:contextualSpacing/>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xml:space="preserve">5 – kineziterapeutas, turintis teisę verstis kineziterapeuto praktika pagal Lietuvos medicinos normą </w:t>
      </w:r>
      <w:r>
        <w:rPr>
          <w:rFonts w:eastAsia="Times New Roman" w:cs="Times New Roman" w:ascii="Times New Roman" w:hAnsi="Times New Roman"/>
          <w:caps/>
          <w:color w:themeColor="text1" w:val="000000"/>
          <w:lang w:val="lt-LT"/>
        </w:rPr>
        <w:t>MN 124:2023</w:t>
      </w:r>
      <w:r>
        <w:rPr>
          <w:rFonts w:eastAsia="Times New Roman" w:cs="Times New Roman" w:ascii="Times New Roman" w:hAnsi="Times New Roman"/>
          <w:caps/>
          <w:color w:themeColor="text1" w:val="000000"/>
        </w:rPr>
        <w:t xml:space="preserve">, </w:t>
      </w:r>
      <w:r>
        <w:rPr>
          <w:rFonts w:eastAsia="Times New Roman" w:cs="Times New Roman" w:ascii="Times New Roman" w:hAnsi="Times New Roman"/>
          <w:color w:themeColor="text1" w:val="000000"/>
        </w:rPr>
        <w:t>arba asmuo, turintis specialųjį fizinio ugdymo ir sporto išsilavinimą (sporto krypties aukštąjį išsilavinimą) patvirtinančius dokumentus;</w:t>
      </w:r>
    </w:p>
    <w:p>
      <w:pPr>
        <w:pStyle w:val="Normal"/>
        <w:tabs>
          <w:tab w:val="clear" w:pos="1296"/>
          <w:tab w:val="left" w:pos="426" w:leader="none"/>
        </w:tabs>
        <w:spacing w:lineRule="auto" w:line="240" w:before="0" w:after="0"/>
        <w:ind w:firstLine="706"/>
        <w:contextualSpacing/>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6 – šeimos gydytojas,  turintis teisę verstis šeimos gydytojo praktika pagal Lietuvos medicinos normą MN 14:2019; vaikų ligų gydytojas, turintis teisę verstis vaikų ligų gydytojo praktika pagal Lietuvos medicinos normą MN 66:2018; infekcinių ligų gydytojas, turintis teisę verstis infekcinių ligų gydytojo praktika pagal Lietuvos medicinos normą MN 117:2019; bendrosios praktikos slaugytojas; bendruomenės slaugytojas; išplėstinės praktikos slaugytojas;</w:t>
      </w:r>
    </w:p>
    <w:p>
      <w:pPr>
        <w:pStyle w:val="Normal"/>
        <w:tabs>
          <w:tab w:val="clear" w:pos="1296"/>
          <w:tab w:val="left" w:pos="426" w:leader="none"/>
        </w:tabs>
        <w:spacing w:lineRule="auto" w:line="240" w:before="0" w:after="0"/>
        <w:ind w:firstLine="706"/>
        <w:contextualSpacing/>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7 – akušeris, turintis teisę verstis akušerio praktika pagal Lietuvos medicinos normą MN 40:2021; gydytojas ginekologas, turintis teisę verstis akušerio praktika pagal Lietuvos medicinos normą MN MN 64:2018;</w:t>
      </w:r>
    </w:p>
    <w:p>
      <w:pPr>
        <w:pStyle w:val="Normal"/>
        <w:tabs>
          <w:tab w:val="clear" w:pos="1296"/>
          <w:tab w:val="left" w:pos="426" w:leader="none"/>
        </w:tabs>
        <w:spacing w:lineRule="auto" w:line="240" w:before="0" w:after="0"/>
        <w:ind w:firstLine="706"/>
        <w:contextualSpacing/>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8 – gyvensenos specialistas</w:t>
      </w:r>
      <w:r>
        <w:rPr>
          <w:rFonts w:eastAsia="Times New Roman" w:cs="Times New Roman" w:ascii="Times New Roman" w:hAnsi="Times New Roman"/>
          <w:color w:themeColor="text1" w:val="000000"/>
          <w:lang w:val="pt-PT"/>
        </w:rPr>
        <w:t xml:space="preserve">, turintis teisę </w:t>
      </w:r>
      <w:r>
        <w:rPr>
          <w:rFonts w:eastAsia="Times New Roman" w:cs="Times New Roman" w:ascii="Times New Roman" w:hAnsi="Times New Roman"/>
          <w:color w:themeColor="text1" w:val="000000"/>
        </w:rPr>
        <w:t xml:space="preserve">verstis gyvensenos medicinos specialisto veikla pagal LR sveikatos apsaugos ministro </w:t>
      </w:r>
      <w:r>
        <w:rPr>
          <w:rFonts w:eastAsia="Times New Roman" w:cs="Times New Roman" w:ascii="Times New Roman" w:hAnsi="Times New Roman"/>
          <w:color w:themeColor="text1" w:val="000000"/>
          <w:lang w:val="lt-LT"/>
        </w:rPr>
        <w:t>2018 m. kovo 19 d.</w:t>
      </w:r>
      <w:r>
        <w:rPr>
          <w:rFonts w:eastAsia="Times New Roman" w:cs="Times New Roman" w:ascii="Times New Roman" w:hAnsi="Times New Roman"/>
          <w:color w:themeColor="text1" w:val="000000"/>
        </w:rPr>
        <w:t xml:space="preserve"> įsakymą </w:t>
      </w:r>
      <w:r>
        <w:rPr>
          <w:rFonts w:eastAsia="Times New Roman" w:cs="Times New Roman" w:ascii="Times New Roman" w:hAnsi="Times New Roman"/>
          <w:color w:themeColor="text1" w:val="000000"/>
          <w:lang w:val="lt-LT"/>
        </w:rPr>
        <w:t>Nr. V-308</w:t>
      </w:r>
      <w:r>
        <w:rPr>
          <w:rFonts w:eastAsia="Times New Roman" w:cs="Times New Roman" w:ascii="Times New Roman" w:hAnsi="Times New Roman"/>
          <w:color w:themeColor="text1" w:val="000000"/>
        </w:rPr>
        <w:t>.</w:t>
      </w:r>
    </w:p>
    <w:p>
      <w:pPr>
        <w:pStyle w:val="Normal"/>
        <w:tabs>
          <w:tab w:val="clear" w:pos="1296"/>
          <w:tab w:val="left" w:pos="426" w:leader="none"/>
        </w:tabs>
        <w:spacing w:lineRule="auto" w:line="240" w:before="0" w:after="160"/>
        <w:ind w:left="709" w:right="-108"/>
        <w:contextualSpacing/>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tabs>
          <w:tab w:val="clear" w:pos="1296"/>
          <w:tab w:val="left" w:pos="426" w:leader="none"/>
        </w:tabs>
        <w:spacing w:lineRule="auto" w:line="259" w:before="0" w:after="160"/>
        <w:ind w:left="709" w:right="-108"/>
        <w:contextualSpacing/>
        <w:jc w:val="both"/>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lineRule="auto" w:line="240"/>
        <w:ind w:firstLine="705"/>
        <w:jc w:val="center"/>
        <w:rPr>
          <w:rFonts w:ascii="Times New Roman" w:hAnsi="Times New Roman" w:eastAsia="Times New Roman" w:cs="Times New Roman"/>
          <w:b/>
          <w:bCs/>
          <w:caps/>
          <w:lang w:val="lt-LT"/>
        </w:rPr>
      </w:pPr>
      <w:r>
        <w:rPr>
          <w:rFonts w:eastAsia="Times New Roman" w:cs="Times New Roman" w:ascii="Times New Roman" w:hAnsi="Times New Roman"/>
          <w:b/>
          <w:bCs/>
          <w:lang w:val="lt-LT"/>
        </w:rPr>
        <w:t>ONKOLOGINIŲ LIGŲ PREVENCIJOS BENDRUOMENĖJE MODELIO APRAŠO TEMŲ TURINYS (2 Priedas)</w:t>
      </w:r>
    </w:p>
    <w:p>
      <w:pPr>
        <w:pStyle w:val="Normal"/>
        <w:spacing w:lineRule="auto" w:line="240"/>
        <w:ind w:firstLine="705"/>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pt-BR"/>
        </w:rPr>
        <w:t> </w:t>
      </w:r>
    </w:p>
    <w:tbl>
      <w:tblPr>
        <w:tblW w:w="13606" w:type="dxa"/>
        <w:jc w:val="left"/>
        <w:tblInd w:w="420" w:type="dxa"/>
        <w:tblLayout w:type="fixed"/>
        <w:tblCellMar>
          <w:top w:w="0" w:type="dxa"/>
          <w:left w:w="108" w:type="dxa"/>
          <w:bottom w:w="0" w:type="dxa"/>
          <w:right w:w="108" w:type="dxa"/>
        </w:tblCellMar>
        <w:tblLook w:firstRow="1" w:noVBand="1" w:lastRow="0" w:firstColumn="1" w:lastColumn="0" w:noHBand="0" w:val="04a0"/>
      </w:tblPr>
      <w:tblGrid>
        <w:gridCol w:w="628"/>
        <w:gridCol w:w="1871"/>
        <w:gridCol w:w="3090"/>
        <w:gridCol w:w="2887"/>
        <w:gridCol w:w="1474"/>
        <w:gridCol w:w="3655"/>
      </w:tblGrid>
      <w:tr>
        <w:trPr>
          <w:trHeight w:val="1635" w:hRule="atLeast"/>
        </w:trPr>
        <w:tc>
          <w:tcPr>
            <w:tcW w:w="6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b/>
                <w:bCs/>
              </w:rPr>
              <w:t>Eil.</w:t>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Nr.</w:t>
            </w:r>
          </w:p>
        </w:tc>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Tema</w:t>
            </w:r>
          </w:p>
        </w:tc>
        <w:tc>
          <w:tcPr>
            <w:tcW w:w="30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Teoriniai užsiėmimai</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Praktiniai užsiėmimai</w:t>
            </w:r>
          </w:p>
        </w:tc>
        <w:tc>
          <w:tcPr>
            <w:tcW w:w="14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b/>
                <w:bCs/>
              </w:rPr>
              <w:t>Trukmė,</w:t>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akad. val.</w:t>
            </w:r>
          </w:p>
        </w:tc>
        <w:tc>
          <w:tcPr>
            <w:tcW w:w="3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jc w:val="center"/>
              <w:rPr>
                <w:rFonts w:ascii="Times New Roman" w:hAnsi="Times New Roman" w:eastAsia="Times New Roman" w:cs="Times New Roman"/>
                <w:lang w:val="en-US"/>
              </w:rPr>
            </w:pPr>
            <w:r>
              <w:rPr>
                <w:rFonts w:eastAsia="Times New Roman" w:cs="Times New Roman" w:ascii="Times New Roman" w:hAnsi="Times New Roman"/>
                <w:lang w:val="en-US"/>
              </w:rPr>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Metodinės medžiagos formatas</w:t>
            </w:r>
          </w:p>
        </w:tc>
      </w:tr>
      <w:tr>
        <w:trPr>
          <w:trHeight w:val="135" w:hRule="atLeast"/>
        </w:trPr>
        <w:tc>
          <w:tcPr>
            <w:tcW w:w="13605"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160"/>
              <w:jc w:val="center"/>
              <w:rPr>
                <w:rFonts w:ascii="Times New Roman" w:hAnsi="Times New Roman" w:eastAsia="Times New Roman" w:cs="Times New Roman"/>
                <w:color w:themeColor="text1" w:val="000000"/>
                <w:lang w:val="pt-BR"/>
              </w:rPr>
            </w:pPr>
            <w:r>
              <w:rPr>
                <w:rFonts w:eastAsia="Times New Roman" w:cs="Times New Roman" w:ascii="Times New Roman" w:hAnsi="Times New Roman"/>
                <w:b/>
                <w:bCs/>
                <w:color w:themeColor="text1" w:val="000000"/>
                <w:lang w:val="pt-BR"/>
              </w:rPr>
              <w:t>TIKSLINĖ GRUPĖ: ONKOLOGINIŲ LIGŲ PREVENCINĖS GRUPĖS SUAUGĘ ASMENYS</w:t>
            </w:r>
          </w:p>
        </w:tc>
      </w:tr>
      <w:tr>
        <w:trPr>
          <w:trHeight w:val="3030"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1.</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b/>
                <w:bCs/>
              </w:rPr>
              <w:t>Onkologinių ligų rizikos veiksniai ir profilaktika</w:t>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1.1. Bendrieji lėtinių neinfekcinių ligų rizikos veiksniai ir jų įtaka sveikatai.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1.2. Genetiniai, fiziniai, cheminiai ir biologiniai onkologinių ligų rizikos veiksniai ir jų įtaka onkologinių ligų išsivystymui.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1.3. Lėtinių uždegiminių procesų organizme svarba onkologinių ligų išsivystymui.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1.4. Savistabos reikšmė onkologinių ligų profilaktikai, ankstyvieji onkologinių ligų simptomai.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1.5. Onkologinių ligų (gimdos kaklelio vėžio, krūties vėžio, prostatos vėžio, storosios žarnos vėžio) ankstyvosios diagnostikos programų įgyvendinimas Lietuvoje.</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1.6. Vakcinacijos ŽPV vakcina reikšmė gimdos kaklelio vėžio profilaktikai</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1.6. Diskusijos grupėse (mokymų dalyvių grupę skaidant į mažesnes grupeles po 2–4 asmenis), grupinis konsultavimas, užduočių sprendimas.</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3</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pritaikant sensorinę negalią turintiems asmenims.</w:t>
            </w:r>
          </w:p>
        </w:tc>
      </w:tr>
      <w:tr>
        <w:trPr>
          <w:trHeight w:val="2100"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2.</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b/>
                <w:bCs/>
              </w:rPr>
              <w:t>Sveikos mitybos reikšmė onkologinių ligų profilaktika</w:t>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 Sveikos mitybos reikšmė onkologinių ligų išsivystymui, sveikos mitybos samprata ir pagrindiniai principai.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2.2. Kūno svorio reikšmė onkologinių ligų išsivystymui. Kūno masės indeksas ir jo reikšmė.</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2.3. Kenksmingų cheminių medžiagų maiste poveikis sveikatai (policikliniai aromatiniai angliavandeniliai, N-nitrozaminai, nitratai, nitritai, aflatoksinai).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2.4. Polifenoliai, jų rūšys ir reikšmė sveikatai. Maisto produktai, kuriuose gausu polifenolių.</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2.5. Sveikos mikrobiotos sąsajos su onkologinių ligų išsivystymo rizika. Kaip palaikyti sveiką mikrobiotą organizme.</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2.6. Maisto produktų ženklinimo „Rakto skylutės“ simboliu esmė ir tikslai.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2.7. Maisto produktų etiketėse pateikiamos informacijos supratimas.</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2.8. Sveikatai palankaus maisto gaminimo ypatumai, maistines savybes tausojantys patiekalų gamybos būdai ir technologiniai sprendimai.</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2.9. Diskusijos grupėse (mokymų dalyvių grupę skaidant į mažesnes grupeles po 2–4 asmenis), konsultavimas, užduočių sprendimas.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2.10. Dalyviai užrašo ir įvertina savo mitybos įpročius bei faktinę mitybą praėjusią parą, pažymi sveikatai palankius, nepalankius bei koreguotinus elgsenos veiksnius.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2.11. Atliekamos maisto produktų etiketėse teikiamos informacijos supratimo užduotys.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2.12. Pateikiamos užduotys, kurias dalyviai turės atlikti namuose, pvz.:</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2.12.1. pildyti asmeninius mitybos dienoraščius, juose pažymėti sveikatai palankius bei koreguotinus elgsenos veiksmus;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2.12.2. sudaryti prekyboje esančių pagrindinėms maisto produktų grupėms priklausančių produktų, turinčių mažiausiai cukrų, druskos ir sočiųjų riebalų, sąrašą;</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2.12.3. rasti „Rakto skylutės“ simboliu pažymėtus produktus vietinėje rinkoje;</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2.12.4. rasti rinkoje „Rakto skylutės“ žymėjimo kriterijams artimus produktus, kurie galėtų pretenduoti į šį simbolį.</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2.13. Atliekamas gautų duomenų aptarimas, koreguotinos elgsenos nustatymas ir rekomendacijų teikimas.</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2.14. Organizuojami sveikatai palankaus maisto gaminimo praktiniai užsiėmimai; pagal galimybes pateikiami sveikatai palankaus maisto receptai</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7</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kaip turėtų atrodyti sveika lėkštė), pritaikant sensorinę negalią turintiems asmenims.</w:t>
            </w:r>
          </w:p>
        </w:tc>
      </w:tr>
      <w:tr>
        <w:trPr>
          <w:trHeight w:val="3945"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3.</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b/>
                <w:bCs/>
              </w:rPr>
              <w:t>Sveikatinamasis fizinis aktyvumas onkologinių ligų profilaktikai</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3.1. Fizinio aktyvumo reikšmė onkologinių ligų profilaktikai, fizinio aktyvumo rekomendacijos.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3.2. Fizinio aktyvumo integravimo į kasdienę rutiną galimybės namuose, darbe, laisvalaikiu bei vykstant iš vienos vietos į kitą.</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3.3. Motyvacijos fiziniam aktyvumui palaikymas</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3.4. Dalyviai mokomi įvertinti savo fizinio aktyvumo atitiktį rekomendacijoms.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3.5. Dalyviai mokomi teisingos fizinių pratimų technikos.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3.6. Skiriamos užduotys, kurias dalyviai turės atlikti namuose, pvz., daryti mankštas, kas dieną nueitų žingsnių kiekį matuoti žingsniamačiu arba spec. programėle ir pildyti fizinio aktyvumo dienoraštį.</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3.7. Organizuojami praktiniai fizinio aktyvumo užsiėmimai</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8</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pavyzdiniai mankštos pratimai),pritaikant sensorinę negalią turintiems asmenims.</w:t>
            </w:r>
          </w:p>
        </w:tc>
      </w:tr>
      <w:tr>
        <w:trPr>
          <w:trHeight w:val="135"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4.</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b/>
                <w:bCs/>
              </w:rPr>
              <w:t>Streso valdymas ir emocinė pusiausvyra</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4.1. Streso samprata, reikšmė sveikatai.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4.2. Emocinės pusiausvyros palaikymas.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4.3. Darbo ir poilsio režimo įtaka streso valdymui ir emocinės sveikatos palaikymui. Darbo ir poilsio planavimo svarba.</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4.4. Emocinės, psichologinės pagalbos ir savipagalbos galimybės</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4.5. Mokoma emocijų atpažinimo ir valdymo technikų.</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4.6. Mokoma atsipalaidavimo pratimų (kvėpavimo, raumenų įtempimo ir atpalaidavimo, autogeninės treniruotės).</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4.7. Organizuojami atsipalaidavimo terapijos (šviesos, muzikos, filmų, judesio, spalvų, kvapų, knygų, molio lipdymo, dailės ir kt.) užsiėmimai.</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7</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pritaikant sensorinę negalią turintiems asmenims.</w:t>
            </w:r>
          </w:p>
        </w:tc>
      </w:tr>
      <w:tr>
        <w:trPr>
          <w:trHeight w:val="2940"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5.</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b/>
                <w:bCs/>
              </w:rPr>
              <w:t>Miego reikšmė sveikatai</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5.1. Miego reikšmė sveikatai.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5.2. Žmogaus biologinio laikrodžio reikšmė ir svarba sveikatai. Miego ir poilsio režimas.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5.3. Miego trikdžiai.</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5.4. Kaip pasirengimo miegui rutina gali padėti kokybiškiau miegoti.</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5.5. Pateikiamos užduotys, kurias dalyviai turės atlikti namuose:</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5.5.1. pildyti asmeninį miego ir poilsio režimo dienoraštį, jame pažymėti sveikatai palankius bei koreguotinus elgsenos veiksmus;</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5.5.2. suplanuoti pasirengimo miegui rutiną</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3</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pritaikant sensorinę negalią turintiems asmenims.</w:t>
            </w:r>
          </w:p>
        </w:tc>
      </w:tr>
      <w:tr>
        <w:trPr>
          <w:trHeight w:val="4140"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6.</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b/>
                <w:bCs/>
              </w:rPr>
              <w:t>Psichoaktyviųjų medžiagų vartojimo reikšmė onkologinių ligų išsivystymui</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6.1. Tabako vartojimo poveikis onkologinių ligų išsivystymui.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6.2. Alkoholio vartojimo poveikis sveikatai.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6.3. Narkotikų vartojimo poveikis sveikatai.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6.4. Kitų psichoaktyviųjų medžiagų (vaistų, energinių gėrimų) vartojimo poveikis sveikatai.</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6.5. Metimo vartoti priklausomybę sukeliančias medžiagas nauda sveikatai.</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6.6. Pagalbos galimybės norintiems atsisakyti priklausomybę sukeliančių medžiagų vartojimo.</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6.7. Diskusijos grupėse (mokymų dalyvių grupę skaidant į mažesnes grupeles po 2–4 asmenis), grupinis konsultavimas, užduočių sprendimas.</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3</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pritaikant sensorinę negalią turintiems asmenims.</w:t>
            </w:r>
          </w:p>
        </w:tc>
      </w:tr>
      <w:tr>
        <w:trPr>
          <w:trHeight w:val="645" w:hRule="atLeast"/>
        </w:trPr>
        <w:tc>
          <w:tcPr>
            <w:tcW w:w="13605" w:type="dxa"/>
            <w:gridSpan w:val="6"/>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firstLine="705" w:right="-120"/>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b/>
                <w:bCs/>
                <w:color w:themeColor="text1" w:val="000000"/>
              </w:rPr>
              <w:t>TIKSLINĖ GRUPĖ: SUAUGUĘ ASMENYS, KURIEMS BUVO ARBA YRA DIAGNOZUOTA ONKOLOGINĖ LIGA, IR JŲ ARTIMIEJI</w:t>
            </w:r>
          </w:p>
        </w:tc>
      </w:tr>
      <w:tr>
        <w:trPr>
          <w:trHeight w:val="645"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hanging="7" w:right="-120"/>
              <w:jc w:val="center"/>
              <w:rPr>
                <w:rFonts w:ascii="Times New Roman" w:hAnsi="Times New Roman" w:eastAsia="Times New Roman" w:cs="Times New Roman"/>
              </w:rPr>
            </w:pPr>
            <w:r>
              <w:rPr>
                <w:rFonts w:eastAsia="Times New Roman" w:cs="Times New Roman" w:ascii="Times New Roman" w:hAnsi="Times New Roman"/>
              </w:rPr>
              <w:t>7.</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hanging="1" w:right="-120"/>
              <w:rPr>
                <w:rFonts w:ascii="Times New Roman" w:hAnsi="Times New Roman" w:eastAsia="Times New Roman" w:cs="Times New Roman"/>
              </w:rPr>
            </w:pPr>
            <w:r>
              <w:rPr>
                <w:rFonts w:eastAsia="Times New Roman" w:cs="Times New Roman" w:ascii="Times New Roman" w:hAnsi="Times New Roman"/>
                <w:b/>
                <w:bCs/>
              </w:rPr>
              <w:t>Sveikos mitybos reikšmė susirgus onkologine liga</w:t>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1.1. Sveikos mitybos reikšmė onkologinių ligų išsivystymui.</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1.2. Polifenoliai, jų rūšys ir reikšmė sveikatai. Maisto produktai, kuriuose gausu polifenolių.</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1.3. Kaip palaikyti sveiką mikrobiotą organizme. Probiotikų vartojimas sergant onkologine liga.</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 Maitinimosi rekomendacijos sergant onkologine liga:</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1.4.1. dietos tikslai sergant onkologine liga;</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1.4.2. bendros maitinimosi rekomendacijos sergant onkologine liga;</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1.4.3. maitinimosi rekomendacijos mažėjant svoriui arba esant mitybos nepakankamumui;</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1.4.4. maitinimosi rekomendacijos esant blogam apetitui;</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1.4.5. maitinimosi rekomendacijos, jei burnos gleivinės pažeista, yra rijimo sutrikimų;</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1.4.6. maitinimosi rekomendacijos, jei vargina pykinimas ir vėmimas;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1.4.7. maitinimosi rekomendacijos viduriuojant;</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1.4.8. maitinimosi rekomendacijos, jei vargina užkietėję viduriai;</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1.4.9. maitinimosi rekomendacijos, jei didėja svoris.</w:t>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1.5. Sveikatai palankaus maisto gaminimo ypatumai sergant onkologine liga, maistines savybes tausojantys patiekalų gamybos būdai ir technologiniai sprendimai.</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1.6. Diskusijos grupėse (mokymų dalyvių grupę skaidant į mažesnes grupeles po 2–4 asmenis), konsultavimas, užduočių sprendimas.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1.7. Dalyviai užrašo ir įvertina savo mitybos įpročius bei faktinę mitybą praėjusią parą, pažymi sveikatai palankius, nepalankius bei koreguotinus elgsenos veiksnius.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1.8. Pateikiamos užduotys, kurias dalyviai turės atlikti namuose, pvz.: pildyti asmeninius mitybos dienoraščius, juose pažymėti sveikatai palankius bei koreguotinus elgsenos veiksmus.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1.9. Organizuojami sveikatai palankaus maisto gaminimo praktiniai užsiėmimai.</w:t>
            </w:r>
          </w:p>
          <w:p>
            <w:pPr>
              <w:pStyle w:val="Normal"/>
              <w:spacing w:lineRule="auto" w:line="240" w:before="0" w:after="160"/>
              <w:ind w:firstLine="705" w:right="-120"/>
              <w:rPr>
                <w:rFonts w:ascii="Times New Roman" w:hAnsi="Times New Roman" w:eastAsia="Times New Roman" w:cs="Times New Roman"/>
              </w:rPr>
            </w:pPr>
            <w:r>
              <w:rPr>
                <w:rFonts w:eastAsia="Times New Roman" w:cs="Times New Roman" w:ascii="Times New Roman" w:hAnsi="Times New Roman"/>
              </w:rPr>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right="-120"/>
              <w:jc w:val="center"/>
              <w:rPr>
                <w:rFonts w:ascii="Times New Roman" w:hAnsi="Times New Roman" w:eastAsia="Times New Roman" w:cs="Times New Roman"/>
              </w:rPr>
            </w:pPr>
            <w:r>
              <w:rPr>
                <w:rFonts w:eastAsia="Times New Roman" w:cs="Times New Roman" w:ascii="Times New Roman" w:hAnsi="Times New Roman"/>
              </w:rPr>
              <w:t>9</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kaip turėtų atrodyti sveika lėkštė),  pritaikant sensorinę negalią turintiems asmenims.</w:t>
            </w:r>
          </w:p>
        </w:tc>
      </w:tr>
      <w:tr>
        <w:trPr>
          <w:trHeight w:val="645"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hanging="7" w:right="-120"/>
              <w:jc w:val="center"/>
              <w:rPr>
                <w:rFonts w:ascii="Times New Roman" w:hAnsi="Times New Roman" w:eastAsia="Times New Roman" w:cs="Times New Roman"/>
              </w:rPr>
            </w:pPr>
            <w:r>
              <w:rPr>
                <w:rFonts w:eastAsia="Times New Roman" w:cs="Times New Roman" w:ascii="Times New Roman" w:hAnsi="Times New Roman"/>
              </w:rPr>
              <w:t>8.</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b/>
                <w:bCs/>
              </w:rPr>
              <w:t>Sveikatinamasis fizinis aktyvumas susirgus onkologine liga</w:t>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ind w:firstLine="32" w:right="-120"/>
              <w:rPr>
                <w:rFonts w:ascii="Times New Roman" w:hAnsi="Times New Roman" w:eastAsia="Times New Roman" w:cs="Times New Roman"/>
              </w:rPr>
            </w:pPr>
            <w:r>
              <w:rPr>
                <w:rFonts w:eastAsia="Times New Roman" w:cs="Times New Roman" w:ascii="Times New Roman" w:hAnsi="Times New Roman"/>
              </w:rPr>
              <w:t>2.1. Fizinio aktyvumo ypatumai susirgus onkologine liga.</w:t>
            </w:r>
          </w:p>
          <w:p>
            <w:pPr>
              <w:pStyle w:val="Normal"/>
              <w:spacing w:lineRule="auto" w:line="240"/>
              <w:ind w:firstLine="32" w:right="-120"/>
              <w:rPr>
                <w:rFonts w:ascii="Times New Roman" w:hAnsi="Times New Roman" w:eastAsia="Times New Roman" w:cs="Times New Roman"/>
              </w:rPr>
            </w:pPr>
            <w:r>
              <w:rPr>
                <w:rFonts w:eastAsia="Times New Roman" w:cs="Times New Roman" w:ascii="Times New Roman" w:hAnsi="Times New Roman"/>
              </w:rPr>
              <w:t>2.2. Fizinio aktyvumo integravimo į kasdienę rutiną galimybės namuose, darbe, laisvalaikiu bei vykstant iš vienos vietos į kitą.</w:t>
            </w:r>
          </w:p>
          <w:p>
            <w:pPr>
              <w:pStyle w:val="Normal"/>
              <w:spacing w:lineRule="auto" w:line="240"/>
              <w:ind w:firstLine="32" w:right="-120"/>
              <w:rPr>
                <w:rFonts w:ascii="Times New Roman" w:hAnsi="Times New Roman" w:eastAsia="Times New Roman" w:cs="Times New Roman"/>
              </w:rPr>
            </w:pPr>
            <w:r>
              <w:rPr>
                <w:rFonts w:eastAsia="Times New Roman" w:cs="Times New Roman" w:ascii="Times New Roman" w:hAnsi="Times New Roman"/>
              </w:rPr>
              <w:t>2.3. Fizinės veiklos apribojimai sergant vėžiu.</w:t>
            </w:r>
          </w:p>
          <w:p>
            <w:pPr>
              <w:pStyle w:val="Normal"/>
              <w:spacing w:lineRule="auto" w:line="240"/>
              <w:ind w:firstLine="32" w:right="-120"/>
              <w:rPr>
                <w:rFonts w:ascii="Times New Roman" w:hAnsi="Times New Roman" w:eastAsia="Times New Roman" w:cs="Times New Roman"/>
              </w:rPr>
            </w:pPr>
            <w:r>
              <w:rPr>
                <w:rFonts w:eastAsia="Times New Roman" w:cs="Times New Roman" w:ascii="Times New Roman" w:hAnsi="Times New Roman"/>
              </w:rPr>
              <w:t>2.4. Kaip išlaikyti motyvaciją fiziniam aktyvumui susirgus onkologine liga.</w:t>
            </w:r>
          </w:p>
          <w:p>
            <w:pPr>
              <w:pStyle w:val="Normal"/>
              <w:spacing w:lineRule="auto" w:line="240" w:before="0" w:after="160"/>
              <w:ind w:firstLine="32" w:right="-120"/>
              <w:rPr>
                <w:rFonts w:ascii="Times New Roman" w:hAnsi="Times New Roman" w:eastAsia="Times New Roman" w:cs="Times New Roman"/>
              </w:rPr>
            </w:pPr>
            <w:r>
              <w:rPr>
                <w:rFonts w:eastAsia="Times New Roman" w:cs="Times New Roman" w:ascii="Times New Roman" w:hAnsi="Times New Roman"/>
              </w:rPr>
              <w:t>2.5. Fizinių pratimų nauda atsigaunant po operacijos.</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2.6. Dalyviai mokomi įvertinti savo fizinio aktyvumo atitiktį rekomendacijoms.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2.7. Dalyviai mokomi teisingos fizinių pratimų technikos.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2.8. Skiriamos užduotys, kurias dalyviai turės atlikti namuose, pvz., daryti mankštas, žingsniamačiu arba spec. programėle matuoti kas dieną nueitų žingsnių kiekį ir pildyti fizinio aktyvumo dienoraštį.</w:t>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2.9. Organizuojami praktiniai fizinio aktyvumo užsiėmimai asmenims, kuriems diagnozuota onkologinė liga.</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right="-120"/>
              <w:jc w:val="center"/>
              <w:rPr>
                <w:rFonts w:ascii="Times New Roman" w:hAnsi="Times New Roman" w:eastAsia="Times New Roman" w:cs="Times New Roman"/>
              </w:rPr>
            </w:pPr>
            <w:r>
              <w:rPr>
                <w:rFonts w:eastAsia="Times New Roman" w:cs="Times New Roman" w:ascii="Times New Roman" w:hAnsi="Times New Roman"/>
              </w:rPr>
              <w:t>8</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pavyzdiniai mankštos pratimai), pritaikant sensorinę negalią turintiems asmenims.</w:t>
            </w:r>
          </w:p>
        </w:tc>
      </w:tr>
      <w:tr>
        <w:trPr>
          <w:trHeight w:val="645"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hanging="7" w:right="-120"/>
              <w:jc w:val="center"/>
              <w:rPr>
                <w:rFonts w:ascii="Times New Roman" w:hAnsi="Times New Roman" w:eastAsia="Times New Roman" w:cs="Times New Roman"/>
              </w:rPr>
            </w:pPr>
            <w:r>
              <w:rPr>
                <w:rFonts w:eastAsia="Times New Roman" w:cs="Times New Roman" w:ascii="Times New Roman" w:hAnsi="Times New Roman"/>
              </w:rPr>
              <w:t>9.</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b/>
                <w:bCs/>
              </w:rPr>
              <w:t>Streso valdymas ir emocinė pusiausvyra</w:t>
            </w:r>
          </w:p>
          <w:p>
            <w:pPr>
              <w:pStyle w:val="Normal"/>
              <w:spacing w:lineRule="auto" w:line="240" w:before="0" w:after="160"/>
              <w:ind w:firstLine="705" w:right="-120"/>
              <w:rPr>
                <w:rFonts w:ascii="Times New Roman" w:hAnsi="Times New Roman" w:eastAsia="Times New Roman" w:cs="Times New Roman"/>
              </w:rPr>
            </w:pPr>
            <w:r>
              <w:rPr>
                <w:rFonts w:eastAsia="Times New Roman" w:cs="Times New Roman" w:ascii="Times New Roman" w:hAnsi="Times New Roman"/>
              </w:rPr>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3.1. Kaip vėžys gali paveikti šeimos gyvenimą?</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3.2. Susirgusio onkologine liga bendravimo apie šią ligą aspektai su šeima ir draugais.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3.3. Kaip apie artimiesiems diagnozuotą onkologinę ligą pranešti paaugliams ir vaikams?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3.4. Bendravimo su sergančiuoju onkologine liga aspektai.</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3.5. Streso ir nerimo samprata,</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įveikimo būdai, emocinės pusiausvyros palaikymas.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3.6. Emocinės, psichologinės pagalbos galimybės susirgusiems onkologine liga ir jų artimiesiems.</w:t>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3.7. Naujos realybės (gyvenimo su liga) priėmimas ir integravimas į savo gyvenimą (psichologinė ir fizinė pagalba sau).</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3.8. Diskusijos grupėse (mokymų dalyvių grupę skaidant į mažesnes grupeles po 2–4 asmenis), grupinis konsultavimas, užduočių sprendimas.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3.9. Mokoma emocijų atpažinimo ir valdymo technikų.</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3.10. Mokoma atsipalaidavimo pratimų (kvėpavimo, raumenų įtempimo ir atpalaidavimo, autogeninės treniruotės).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3.11. Organizuojami atsipalaidavimo terapijos (šviesos, muzikos, filmų, judesio, spalvų, kvapų, knygų, molio lipdymo, dailės ir kt.) užsiėmimai.</w:t>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3.12. Organizuojamos emocinės paramos grupės sergantiems onkologine liga ir jų artimiesiems</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right="-120"/>
              <w:jc w:val="center"/>
              <w:rPr>
                <w:rFonts w:ascii="Times New Roman" w:hAnsi="Times New Roman" w:eastAsia="Times New Roman" w:cs="Times New Roman"/>
              </w:rPr>
            </w:pPr>
            <w:r>
              <w:rPr>
                <w:rFonts w:eastAsia="Times New Roman" w:cs="Times New Roman" w:ascii="Times New Roman" w:hAnsi="Times New Roman"/>
              </w:rPr>
              <w:t>11</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ind w:hanging="25" w:right="-12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pritaikant sensorinę negalią turintiems asmenims.</w:t>
            </w:r>
          </w:p>
        </w:tc>
      </w:tr>
      <w:tr>
        <w:trPr>
          <w:trHeight w:val="645" w:hRule="atLeast"/>
        </w:trPr>
        <w:tc>
          <w:tcPr>
            <w:tcW w:w="628"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right="-120"/>
              <w:jc w:val="center"/>
              <w:rPr>
                <w:rFonts w:ascii="Times New Roman" w:hAnsi="Times New Roman" w:eastAsia="Times New Roman" w:cs="Times New Roman"/>
              </w:rPr>
            </w:pPr>
            <w:r>
              <w:rPr>
                <w:rFonts w:eastAsia="Times New Roman" w:cs="Times New Roman" w:ascii="Times New Roman" w:hAnsi="Times New Roman"/>
              </w:rPr>
              <w:t>10.</w:t>
            </w:r>
          </w:p>
        </w:tc>
        <w:tc>
          <w:tcPr>
            <w:tcW w:w="1871"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b/>
                <w:bCs/>
              </w:rPr>
              <w:t>Miego reikšmė sveikatai</w:t>
            </w:r>
          </w:p>
          <w:p>
            <w:pPr>
              <w:pStyle w:val="Normal"/>
              <w:spacing w:lineRule="auto" w:line="240" w:before="0" w:after="160"/>
              <w:ind w:firstLine="705" w:right="-120"/>
              <w:rPr>
                <w:rFonts w:ascii="Times New Roman" w:hAnsi="Times New Roman" w:eastAsia="Times New Roman" w:cs="Times New Roman"/>
              </w:rPr>
            </w:pPr>
            <w:r>
              <w:rPr>
                <w:rFonts w:eastAsia="Times New Roman" w:cs="Times New Roman" w:ascii="Times New Roman" w:hAnsi="Times New Roman"/>
              </w:rPr>
            </w:r>
          </w:p>
        </w:tc>
        <w:tc>
          <w:tcPr>
            <w:tcW w:w="3090"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4.1. Miego reikšmė sveikatai.</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4.2. Žmogaus biologinio laikrodžio reikšmė ir svarba sveikatai. Miego ir poilsio režimas.</w:t>
            </w:r>
          </w:p>
          <w:p>
            <w:pPr>
              <w:pStyle w:val="Normal"/>
              <w:spacing w:lineRule="auto" w:line="240"/>
              <w:ind w:right="-120"/>
              <w:rPr>
                <w:rFonts w:ascii="Times New Roman" w:hAnsi="Times New Roman" w:eastAsia="Times New Roman" w:cs="Times New Roman"/>
              </w:rPr>
            </w:pPr>
            <w:r>
              <w:rPr>
                <w:rFonts w:eastAsia="Times New Roman" w:cs="Times New Roman" w:ascii="Times New Roman" w:hAnsi="Times New Roman"/>
              </w:rPr>
              <w:t>4.3. Miego trikdžiai.</w:t>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4.4. Kaip pasirengimo miegui rutina gali padėti kokybiškiau miegoti..</w:t>
            </w:r>
          </w:p>
        </w:tc>
        <w:tc>
          <w:tcPr>
            <w:tcW w:w="2887" w:type="dxa"/>
            <w:tcBorders>
              <w:top w:val="single" w:sz="6" w:space="0" w:color="000000"/>
              <w:left w:val="single" w:sz="6" w:space="0" w:color="000000"/>
              <w:bottom w:val="single" w:sz="6" w:space="0" w:color="000000"/>
              <w:right w:val="single" w:sz="6" w:space="0" w:color="000000"/>
            </w:tcBorders>
          </w:tcPr>
          <w:p>
            <w:pPr>
              <w:pStyle w:val="Normal"/>
              <w:spacing w:lineRule="auto" w:line="240"/>
              <w:ind w:firstLine="4" w:right="-120"/>
              <w:rPr>
                <w:rFonts w:ascii="Times New Roman" w:hAnsi="Times New Roman" w:eastAsia="Times New Roman" w:cs="Times New Roman"/>
              </w:rPr>
            </w:pPr>
            <w:r>
              <w:rPr>
                <w:rFonts w:eastAsia="Times New Roman" w:cs="Times New Roman" w:ascii="Times New Roman" w:hAnsi="Times New Roman"/>
              </w:rPr>
              <w:t>4.5. Pateikiamos užduotys, kurias dalyviai turės atlikti namuose:</w:t>
            </w:r>
          </w:p>
          <w:p>
            <w:pPr>
              <w:pStyle w:val="Normal"/>
              <w:spacing w:lineRule="auto" w:line="240"/>
              <w:ind w:firstLine="4" w:right="-120"/>
              <w:rPr>
                <w:rFonts w:ascii="Times New Roman" w:hAnsi="Times New Roman" w:eastAsia="Times New Roman" w:cs="Times New Roman"/>
              </w:rPr>
            </w:pPr>
            <w:r>
              <w:rPr>
                <w:rFonts w:eastAsia="Times New Roman" w:cs="Times New Roman" w:ascii="Times New Roman" w:hAnsi="Times New Roman"/>
              </w:rPr>
              <w:t>4.5.1. pildyti asmeninį miego ir poilsio režimo dienoraštį, jame pažymėti sveikatai palankius bei koreguotinus elgsenos veiksmus;</w:t>
            </w:r>
          </w:p>
          <w:p>
            <w:pPr>
              <w:pStyle w:val="Normal"/>
              <w:spacing w:lineRule="auto" w:line="240" w:before="0" w:after="160"/>
              <w:ind w:firstLine="4" w:right="-120"/>
              <w:rPr>
                <w:rFonts w:ascii="Times New Roman" w:hAnsi="Times New Roman" w:eastAsia="Times New Roman" w:cs="Times New Roman"/>
              </w:rPr>
            </w:pPr>
            <w:r>
              <w:rPr>
                <w:rFonts w:eastAsia="Times New Roman" w:cs="Times New Roman" w:ascii="Times New Roman" w:hAnsi="Times New Roman"/>
              </w:rPr>
              <w:t>4.5.2. suplanuoti pasirengimo miegui rutiną.</w:t>
            </w:r>
          </w:p>
        </w:tc>
        <w:tc>
          <w:tcPr>
            <w:tcW w:w="147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ind w:right="-120"/>
              <w:jc w:val="center"/>
              <w:rPr>
                <w:rFonts w:ascii="Times New Roman" w:hAnsi="Times New Roman" w:eastAsia="Times New Roman" w:cs="Times New Roman"/>
              </w:rPr>
            </w:pPr>
            <w:r>
              <w:rPr>
                <w:rFonts w:eastAsia="Times New Roman" w:cs="Times New Roman" w:ascii="Times New Roman" w:hAnsi="Times New Roman"/>
              </w:rPr>
              <w:t>3</w:t>
            </w:r>
          </w:p>
        </w:tc>
        <w:tc>
          <w:tcPr>
            <w:tcW w:w="3655" w:type="dxa"/>
            <w:tcBorders>
              <w:top w:val="single" w:sz="6" w:space="0" w:color="000000"/>
              <w:left w:val="single" w:sz="6" w:space="0" w:color="000000"/>
              <w:bottom w:val="single" w:sz="6" w:space="0" w:color="000000"/>
              <w:right w:val="single" w:sz="6" w:space="0" w:color="000000"/>
            </w:tcBorders>
          </w:tcPr>
          <w:p>
            <w:pPr>
              <w:pStyle w:val="Normal"/>
              <w:spacing w:lineRule="auto" w:line="240"/>
              <w:ind w:right="-12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ind w:right="-120"/>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pritaikant sensorinę negalią turintiems asmenims.</w:t>
            </w:r>
          </w:p>
        </w:tc>
      </w:tr>
    </w:tbl>
    <w:p>
      <w:pPr>
        <w:pStyle w:val="Normal"/>
        <w:spacing w:lineRule="auto" w:line="240"/>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w:t>
      </w:r>
    </w:p>
    <w:p>
      <w:pPr>
        <w:pStyle w:val="Normal"/>
        <w:spacing w:lineRule="auto" w:line="240"/>
        <w:ind w:firstLine="705"/>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Metodinės medžiagos turinio rengėjų kvalifikacija:</w:t>
      </w:r>
      <w:r>
        <w:rPr>
          <w:rFonts w:eastAsia="Times New Roman" w:cs="Times New Roman" w:ascii="Times New Roman" w:hAnsi="Times New Roman"/>
          <w:color w:themeColor="text1" w:val="000000"/>
          <w:lang w:val="lt-LT"/>
        </w:rPr>
        <w:t> </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1 – visuomenės sveikatos specialistas, turintis teisę vykdyti visuomenės sveikatos stiprinimą pagal LR sveikatos apsaugos ministro 2007 m. lapkričio 15 d. įsakymą Nr. V-918;</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2 – dietistas, turintis teisę verstis dietisto praktika pagal Lietuvos medicinos normą MN MN 32:2015; gydytojas dietologas, turintis teisę verstis gydytojo dietologo praktika pagal Lietuvos medicinos normą MN 31:2022;</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3 – kineziterapeutas, turintis teisę verstis kineziterapeuto praktika pagal Lietuvos medicinos normą MN 124:2023, arba asmuo, turintis specialųjį kūno kultūros ir sporto išsilavinimą (sporto krypties aukštąjį išsilavinimą) patvirtinančius dokumentus;</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4 – šeimos gydytojas,  turintis teisę verstis šeimos gydytojo praktika pagal Lietuvos medicinos normą MN 14:2019, gydytojas onkologas, turintis teisę verstis gydytojo onkologo praktika pagal Lietuvos medicinos normą MN 121: 2007; vidaus ligų gydytojas, turintis teisę verstis vidaus ligų gydytojo praktika pagal Lietuvos medicinos normą MN 76:2021; gyvensenos specialistas, turintis teisę verstis gyvensenos medicinos specialisto veikla pagal LR sveikatos apsaugos ministro 2018 m. kovo 19 d. įsakymą Nr. V-308; bendrosios praktikos slaugytojas, bendruomenės slaugytojas, išplėstinės praktikos slaugytojas;</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5 – psichologas, gydytojas psichiatras, turintis teisę verstis gydytojo psichiatro praktika pagal Lietuvos medicinos normą MN 53:2019; medicinos psichologas, turintis teisę verstis medicinos psichologo praktika pagal Lietuvos medicinos normą MN 162:2018;</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6 – NVO, teikiančių paslaugas onkologiniams pacientams, atstovai;</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7 – gyvensenos specialistas, turintis teisę verstis gyvensenos medicinos specialisto veikla pagal LR sveikatos apsaugos ministro 2018 m. kovo 19 d. įsakymą Nr. V-308.</w:t>
      </w:r>
    </w:p>
    <w:p>
      <w:pPr>
        <w:pStyle w:val="Normal"/>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_____________________________</w:t>
      </w:r>
    </w:p>
    <w:p>
      <w:pPr>
        <w:pStyle w:val="Normal"/>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hd w:val="clear" w:color="auto" w:fill="FFFFFF" w:themeFill="background1"/>
        <w:tabs>
          <w:tab w:val="clear" w:pos="1296"/>
          <w:tab w:val="left" w:pos="284" w:leader="none"/>
          <w:tab w:val="left" w:pos="426" w:leader="none"/>
          <w:tab w:val="left" w:pos="851" w:leader="none"/>
          <w:tab w:val="left" w:pos="909" w:leader="none"/>
          <w:tab w:val="left" w:pos="993" w:leader="none"/>
          <w:tab w:val="left" w:pos="1193" w:leader="none"/>
        </w:tabs>
        <w:ind w:right="-1"/>
        <w:jc w:val="center"/>
        <w:rPr>
          <w:rFonts w:ascii="Times New Roman" w:hAnsi="Times New Roman" w:eastAsia="Times New Roman" w:cs="Times New Roman"/>
          <w:b/>
          <w:bCs/>
          <w:color w:themeColor="text1" w:val="000000"/>
          <w:lang w:val="lt-LT"/>
        </w:rPr>
      </w:pPr>
      <w:r>
        <w:rPr>
          <w:rFonts w:eastAsia="Times New Roman" w:cs="Times New Roman" w:ascii="Times New Roman" w:hAnsi="Times New Roman"/>
          <w:b/>
          <w:bCs/>
          <w:color w:themeColor="text1" w:val="000000"/>
          <w:lang w:val="lt-LT"/>
        </w:rPr>
        <w:t>ASMENŲ 65+ SVEIKATOS STIPRINIMO BENDRUOMENĖJE MODELIO APRAŠO TEMŲ TURINYS</w:t>
      </w:r>
      <w:r>
        <w:rPr>
          <w:rFonts w:eastAsia="Times New Roman" w:cs="Times New Roman" w:ascii="Times New Roman" w:hAnsi="Times New Roman"/>
          <w:b/>
          <w:bCs/>
          <w:color w:themeColor="text1" w:val="000000"/>
          <w:lang w:val="pt-BR"/>
        </w:rPr>
        <w:t> (3 PRIEDAS)</w:t>
      </w:r>
    </w:p>
    <w:p>
      <w:pPr>
        <w:pStyle w:val="Normal"/>
        <w:spacing w:lineRule="auto" w:line="240"/>
        <w:ind w:left="106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pt-BR"/>
        </w:rPr>
        <w:t> </w:t>
      </w:r>
    </w:p>
    <w:tbl>
      <w:tblPr>
        <w:tblW w:w="13376" w:type="dxa"/>
        <w:jc w:val="left"/>
        <w:tblInd w:w="420" w:type="dxa"/>
        <w:tblLayout w:type="fixed"/>
        <w:tblCellMar>
          <w:top w:w="0" w:type="dxa"/>
          <w:left w:w="108" w:type="dxa"/>
          <w:bottom w:w="0" w:type="dxa"/>
          <w:right w:w="108" w:type="dxa"/>
        </w:tblCellMar>
        <w:tblLook w:firstRow="1" w:noVBand="1" w:lastRow="0" w:firstColumn="1" w:lastColumn="0" w:noHBand="0" w:val="04a0"/>
      </w:tblPr>
      <w:tblGrid>
        <w:gridCol w:w="630"/>
        <w:gridCol w:w="1451"/>
        <w:gridCol w:w="3179"/>
        <w:gridCol w:w="3252"/>
        <w:gridCol w:w="1676"/>
        <w:gridCol w:w="3187"/>
      </w:tblGrid>
      <w:tr>
        <w:trPr>
          <w:trHeight w:val="135" w:hRule="atLeast"/>
        </w:trPr>
        <w:tc>
          <w:tcPr>
            <w:tcW w:w="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b/>
                <w:bCs/>
              </w:rPr>
              <w:t>Eil.</w:t>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Nr.</w:t>
            </w:r>
          </w:p>
        </w:tc>
        <w:tc>
          <w:tcPr>
            <w:tcW w:w="145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Tema</w:t>
            </w:r>
          </w:p>
        </w:tc>
        <w:tc>
          <w:tcPr>
            <w:tcW w:w="31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ind w:left="-111"/>
              <w:jc w:val="center"/>
              <w:rPr>
                <w:rFonts w:ascii="Times New Roman" w:hAnsi="Times New Roman" w:eastAsia="Times New Roman" w:cs="Times New Roman"/>
                <w:lang w:val="en-US"/>
              </w:rPr>
            </w:pPr>
            <w:r>
              <w:rPr>
                <w:rFonts w:eastAsia="Times New Roman" w:cs="Times New Roman" w:ascii="Times New Roman" w:hAnsi="Times New Roman"/>
                <w:b/>
                <w:bCs/>
                <w:color w:themeColor="text1" w:val="000000"/>
              </w:rPr>
              <w:t>Teorinių užsiėmimų turinys</w:t>
            </w:r>
          </w:p>
        </w:tc>
        <w:tc>
          <w:tcPr>
            <w:tcW w:w="325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center"/>
              <w:rPr>
                <w:rFonts w:ascii="Times New Roman" w:hAnsi="Times New Roman" w:eastAsia="Times New Roman" w:cs="Times New Roman"/>
                <w:lang w:val="en-US"/>
              </w:rPr>
            </w:pPr>
            <w:r>
              <w:rPr>
                <w:rFonts w:eastAsia="Times New Roman" w:cs="Times New Roman" w:ascii="Times New Roman" w:hAnsi="Times New Roman"/>
                <w:b/>
                <w:bCs/>
                <w:color w:themeColor="text1" w:val="000000"/>
              </w:rPr>
              <w:t>Praktinių užsiėmimų turinys</w:t>
            </w:r>
          </w:p>
        </w:tc>
        <w:tc>
          <w:tcPr>
            <w:tcW w:w="167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b/>
                <w:bCs/>
              </w:rPr>
              <w:t>Trukmė,</w:t>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akad. val.</w:t>
            </w:r>
          </w:p>
        </w:tc>
        <w:tc>
          <w:tcPr>
            <w:tcW w:w="318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ind w:hanging="3" w:left="8" w:right="-108"/>
              <w:jc w:val="center"/>
              <w:rPr>
                <w:rFonts w:ascii="Times New Roman" w:hAnsi="Times New Roman" w:eastAsia="Times New Roman" w:cs="Times New Roman"/>
                <w:b/>
                <w:bCs/>
                <w:color w:themeColor="text1" w:val="000000"/>
              </w:rPr>
            </w:pPr>
            <w:r>
              <w:rPr>
                <w:rFonts w:eastAsia="Times New Roman" w:cs="Times New Roman" w:ascii="Times New Roman" w:hAnsi="Times New Roman"/>
                <w:b/>
                <w:bCs/>
                <w:color w:themeColor="text1" w:val="000000"/>
              </w:rPr>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b/>
                <w:bCs/>
              </w:rPr>
              <w:t>Metodinės medžiagos formatas</w:t>
            </w:r>
          </w:p>
        </w:tc>
      </w:tr>
      <w:tr>
        <w:trPr>
          <w:trHeight w:val="3030" w:hRule="atLeast"/>
        </w:trPr>
        <w:tc>
          <w:tcPr>
            <w:tcW w:w="630"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1.</w:t>
            </w:r>
          </w:p>
        </w:tc>
        <w:tc>
          <w:tcPr>
            <w:tcW w:w="145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b/>
                <w:bCs/>
              </w:rPr>
              <w:t>Sveika mityba vyresniame amžiaus tarpsnyje</w:t>
            </w:r>
          </w:p>
        </w:tc>
        <w:tc>
          <w:tcPr>
            <w:tcW w:w="3179"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1.1. Kaip ir kodėl keičiasi mitybos įpročiai vyresniame amžiaus tarpsnyje</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1.2. Metabolizmo pokyčiai vyresniame amžiaus tarpsnyje. Rekomenduojamos energijos ir maistinių medžiagų paros normos vyresniems asmenims</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1.3. Kūno masės indeksas ir jo reikšmė sveikatai. Kaip mityba lemia kūno svorį</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1.4. Burnos sveikatos ir mitybos ryšys vyresniame amžiaus tarpsnyje. Kodėl svarbu palaikyti burnos sveikatą</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1.5. Mitybos rekomendacijos asmenims nuo 65 m. amžiaus</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1.6. Maisto papildų pasirinkimo ir vartojimo ypatumai vyresniame amžiaus tarpsnyje</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1.7. Kaip maitintis sveikai vyresniame amžiaus tarpsnyje neišleidžiant daug pinigų</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1.8. Sveikatai palankaus maisto gaminimo ypatumai vyresniems asmenims, maistines savybes tausojantys patiekalų gamybos būdai ir techniniai sprendimai</w:t>
            </w:r>
            <w:r>
              <w:rPr>
                <w:rFonts w:eastAsia="Times New Roman" w:cs="Times New Roman" w:ascii="Times New Roman" w:hAnsi="Times New Roman"/>
                <w:vertAlign w:val="superscript"/>
              </w:rPr>
              <w:t>**</w:t>
            </w:r>
            <w:r>
              <w:rPr>
                <w:rFonts w:eastAsia="Times New Roman" w:cs="Times New Roman" w:ascii="Times New Roman" w:hAnsi="Times New Roman"/>
              </w:rPr>
              <w:t>.</w:t>
            </w:r>
          </w:p>
        </w:tc>
        <w:tc>
          <w:tcPr>
            <w:tcW w:w="3252"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1.9. Diskusijos grupėse (dalyvių grupę skaidant į mažesnes grupeles po 2–4 asmenis), grupinis konsultavimas, užduočių sprendimas.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1.10. Dalyviai užrašo ir įvertina savo mitybos įpročius bei faktinę mitybą praėjusią parą, pažymi sveikatai palankius, nepalankius bei koreguotinus elgsenos veiksnius.</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1.11. Organizuojami sveikatai palankaus maisto, skirto vyresnio amžiaus asmenims, gaminimo mokymai, į procesą ir diskusijas įtraukiant dalyvius.</w:t>
            </w:r>
          </w:p>
        </w:tc>
        <w:tc>
          <w:tcPr>
            <w:tcW w:w="167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8</w:t>
            </w:r>
          </w:p>
        </w:tc>
        <w:tc>
          <w:tcPr>
            <w:tcW w:w="3187"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kaip turėtų atrodyti sveika lėkštė).</w:t>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M</w:t>
            </w:r>
            <w:r>
              <w:rPr>
                <w:rFonts w:eastAsia="Times New Roman" w:cs="Times New Roman" w:ascii="Times New Roman" w:hAnsi="Times New Roman"/>
                <w:lang w:val="lt-LT"/>
              </w:rPr>
              <w:t>etodinė medžiaga turi būti pritaikyti sensorinę negalią turintiems asmenims.</w:t>
            </w:r>
          </w:p>
        </w:tc>
      </w:tr>
      <w:tr>
        <w:trPr>
          <w:trHeight w:val="4140" w:hRule="atLeast"/>
        </w:trPr>
        <w:tc>
          <w:tcPr>
            <w:tcW w:w="630"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2.</w:t>
            </w:r>
          </w:p>
        </w:tc>
        <w:tc>
          <w:tcPr>
            <w:tcW w:w="145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b/>
                <w:bCs/>
              </w:rPr>
              <w:t>Fizinis aktyvumas vyresniame amžiaus tarpsnyje</w:t>
            </w:r>
          </w:p>
        </w:tc>
        <w:tc>
          <w:tcPr>
            <w:tcW w:w="3179"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 Organizmo pokyčiai senstant</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2.2. Fizinio aktyvumo mažėjimo priežastys senstant</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2.2. Fizinio aktyvumo reikšmė sveikam senėjimui</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2.3. Lėtinės neinfekcinės ligos ir pagyvenusių žmonių fizinio aktyvumo ypatumai</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2.4. Vyresnio amžiaus asmenų fizinio aktyvumo rekomendacijos (formos, intensyvumas, periodiškumas, dažnis)</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2.5. Fizinio aktyvumo integravimas į kasdienę veiklą vyresniame amžiaus tarpsnyje</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2.6. Širdies susitraukimo dažnio apskaičiavimas ir matavimas prieš, per ir po fizinio krūvio</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2.7. Savikontrolės priemonės fiziniam aktyvumui matuoti</w:t>
            </w:r>
            <w:r>
              <w:rPr>
                <w:rFonts w:eastAsia="Times New Roman" w:cs="Times New Roman" w:ascii="Times New Roman" w:hAnsi="Times New Roman"/>
                <w:vertAlign w:val="superscript"/>
              </w:rPr>
              <w:t>**</w:t>
            </w:r>
            <w:r>
              <w:rPr>
                <w:rFonts w:eastAsia="Times New Roman" w:cs="Times New Roman" w:ascii="Times New Roman" w:hAnsi="Times New Roman"/>
              </w:rPr>
              <w:t>.</w:t>
            </w:r>
          </w:p>
        </w:tc>
        <w:tc>
          <w:tcPr>
            <w:tcW w:w="3252"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2.8. Organizuojami grupiniai fizinio aktyvumo užsiėmimai atliekant jėgos, neuromotorinius ir lankstumo pratimus.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2.9. Organizuojami grupiniai vaikščiojimo užsiėmimai (žygiai, šiaurietiškas vaikščiojimas, futbolas vaikštant ir kt.).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2.10. Dalyviai mokomi taikyti savikontrolės priemones fiziniam aktyvumui matuoti, apskaičiuoti ir išmatuoti širdies susitraukimo dažnį prieš, per ir po fizinio krūvio.</w:t>
            </w:r>
          </w:p>
          <w:p>
            <w:pPr>
              <w:pStyle w:val="Normal"/>
              <w:spacing w:lineRule="auto" w:line="240" w:before="0" w:after="160"/>
              <w:rPr>
                <w:rFonts w:ascii="Times New Roman" w:hAnsi="Times New Roman" w:eastAsia="Times New Roman" w:cs="Times New Roman"/>
              </w:rPr>
            </w:pPr>
            <w:r>
              <w:rPr/>
            </w:r>
          </w:p>
        </w:tc>
        <w:tc>
          <w:tcPr>
            <w:tcW w:w="167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14</w:t>
            </w:r>
          </w:p>
        </w:tc>
        <w:tc>
          <w:tcPr>
            <w:tcW w:w="3187"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pavyzdiniai mankštos pratimai).</w:t>
            </w:r>
          </w:p>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t>M</w:t>
            </w:r>
            <w:r>
              <w:rPr>
                <w:rFonts w:eastAsia="Times New Roman" w:cs="Times New Roman" w:ascii="Times New Roman" w:hAnsi="Times New Roman"/>
                <w:lang w:val="lt-LT"/>
              </w:rPr>
              <w:t>etodinė medžiaga turi būti pritaikyti sensorinę negalią turintiems asmenims.</w:t>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r>
          </w:p>
        </w:tc>
      </w:tr>
      <w:tr>
        <w:trPr>
          <w:trHeight w:val="135" w:hRule="atLeast"/>
        </w:trPr>
        <w:tc>
          <w:tcPr>
            <w:tcW w:w="630"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3.</w:t>
            </w:r>
          </w:p>
        </w:tc>
        <w:tc>
          <w:tcPr>
            <w:tcW w:w="145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b/>
                <w:bCs/>
              </w:rPr>
              <w:t>Griuvimų prevencijos galimybės</w:t>
            </w:r>
          </w:p>
        </w:tc>
        <w:tc>
          <w:tcPr>
            <w:tcW w:w="3179"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3.1. Griuvimus lemiantys biologiniai, elgesio ir aplinkos rizikos veiksniai</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3.2. Fizinės ir psichosocialinės griuvimų pasekmės</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3.3. Gyvenamosios aplinkos pritaikymo galimybės siekiant išvengti griuvimų</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3.4. Paslydimų prevencija</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3.5. Reaktyvios pusiausvyros (automatinės kūno reakcijos į netikėtą pusiausvyros praradimą) treniravimo galimybės griuvimų prevencijai</w:t>
            </w:r>
            <w:r>
              <w:rPr>
                <w:rFonts w:eastAsia="Times New Roman" w:cs="Times New Roman" w:ascii="Times New Roman" w:hAnsi="Times New Roman"/>
                <w:vertAlign w:val="superscript"/>
              </w:rPr>
              <w:t>**</w:t>
            </w:r>
            <w:r>
              <w:rPr>
                <w:rFonts w:eastAsia="Times New Roman" w:cs="Times New Roman" w:ascii="Times New Roman" w:hAnsi="Times New Roman"/>
              </w:rPr>
              <w:t>.</w:t>
            </w:r>
          </w:p>
        </w:tc>
        <w:tc>
          <w:tcPr>
            <w:tcW w:w="3252"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3.6. Organizuojamos grupinės griuvimo prevencijos mankštos.</w:t>
            </w:r>
          </w:p>
          <w:p>
            <w:pPr>
              <w:pStyle w:val="Normal"/>
              <w:spacing w:lineRule="auto" w:line="240" w:before="0" w:after="160"/>
              <w:rPr>
                <w:rFonts w:ascii="Times New Roman" w:hAnsi="Times New Roman" w:eastAsia="Times New Roman" w:cs="Times New Roman"/>
              </w:rPr>
            </w:pPr>
            <w:r>
              <w:rPr/>
            </w:r>
          </w:p>
        </w:tc>
        <w:tc>
          <w:tcPr>
            <w:tcW w:w="167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6</w:t>
            </w:r>
          </w:p>
        </w:tc>
        <w:tc>
          <w:tcPr>
            <w:tcW w:w="3187"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pavyzdiniai pusiausvyros  pratimai, aplinkos pritaikymas siekiant išvengti griuvimų). M</w:t>
            </w:r>
            <w:r>
              <w:rPr>
                <w:rFonts w:eastAsia="Times New Roman" w:cs="Times New Roman" w:ascii="Times New Roman" w:hAnsi="Times New Roman"/>
                <w:lang w:val="lt-LT"/>
              </w:rPr>
              <w:t>etodinė medžiaga turi būti pritaikyti sensorinę negalią turintiems asmenims.</w:t>
            </w:r>
          </w:p>
        </w:tc>
      </w:tr>
      <w:tr>
        <w:trPr>
          <w:trHeight w:val="4140" w:hRule="atLeast"/>
        </w:trPr>
        <w:tc>
          <w:tcPr>
            <w:tcW w:w="630"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4.</w:t>
            </w:r>
          </w:p>
        </w:tc>
        <w:tc>
          <w:tcPr>
            <w:tcW w:w="145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b/>
                <w:bCs/>
              </w:rPr>
              <w:t>Psichikos sveikatos stiprinimas vyresniame amžiaus tarpsnyje</w:t>
            </w:r>
          </w:p>
        </w:tc>
        <w:tc>
          <w:tcPr>
            <w:tcW w:w="3179"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4.1. Psichikos pokyčiai ir iššūkiai amžėjant</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4.2. Emocijos ir jų atpažinimas</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4.3. Streso samprata ir jo reikšmė sveikatai</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4.4. Streso valdymo ir nerimo įveikos būdai emocinės pusiausvyros palaikymui</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4.5. Miego reikšmė sveikatai. Miego ir poilsio režimas. Miego trikdžiai</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4.6. Kaip pasirengimo miegui rutina gali padėti kokybiškiau miegoti</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4.7. Nemiga vyresniame amžiuje. Kaip pagerinti miego kokybę</w:t>
            </w:r>
            <w:r>
              <w:rPr>
                <w:rFonts w:eastAsia="Times New Roman" w:cs="Times New Roman" w:ascii="Times New Roman" w:hAnsi="Times New Roman"/>
                <w:vertAlign w:val="superscript"/>
              </w:rPr>
              <w:t>**</w:t>
            </w:r>
            <w:r>
              <w:rPr>
                <w:rFonts w:eastAsia="Times New Roman" w:cs="Times New Roman" w:ascii="Times New Roman" w:hAnsi="Times New Roman"/>
              </w:rPr>
              <w:t>.</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4.8. Žalingi įpročiai ir sveikata. Pagalbos norintiems atsisakyti priklausomybę sukeliančių medžiagų vartojimo galimybės</w:t>
            </w:r>
            <w:r>
              <w:rPr>
                <w:rFonts w:eastAsia="Times New Roman" w:cs="Times New Roman" w:ascii="Times New Roman" w:hAnsi="Times New Roman"/>
                <w:vertAlign w:val="superscript"/>
              </w:rPr>
              <w:t>**</w:t>
            </w:r>
            <w:r>
              <w:rPr>
                <w:rFonts w:eastAsia="Times New Roman" w:cs="Times New Roman" w:ascii="Times New Roman" w:hAnsi="Times New Roman"/>
              </w:rPr>
              <w:t>.</w:t>
            </w:r>
          </w:p>
        </w:tc>
        <w:tc>
          <w:tcPr>
            <w:tcW w:w="3252" w:type="dxa"/>
            <w:tcBorders>
              <w:top w:val="single" w:sz="6" w:space="0" w:color="000000"/>
              <w:left w:val="single" w:sz="6" w:space="0" w:color="000000"/>
              <w:bottom w:val="single" w:sz="6" w:space="0" w:color="000000"/>
              <w:right w:val="single" w:sz="6" w:space="0" w:color="000000"/>
            </w:tcBorders>
          </w:tcPr>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4.9. Organizuojamos grupinės diskusijos ir keitimasis patirtimi, užduočių sprendimas.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4.10. Mokoma streso ir nerimo atpažinimo ir valdymo technikų.</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4.11. Mokoma, kaip atpažinti pyktį, bei pykčio, įskaitant ir sunkiai kontroliuojamą pyktį, valdymo technikų.</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4.12. Mokoma atsipalaidavimo pratimų (kvėpavimo, raumenų įtempimo ir atpalaidavimo, autogeninės treniruotės).</w:t>
            </w:r>
          </w:p>
          <w:p>
            <w:pPr>
              <w:pStyle w:val="Normal"/>
              <w:spacing w:lineRule="auto" w:line="240"/>
              <w:rPr>
                <w:rFonts w:ascii="Times New Roman" w:hAnsi="Times New Roman" w:eastAsia="Times New Roman" w:cs="Times New Roman"/>
              </w:rPr>
            </w:pPr>
            <w:r>
              <w:rPr>
                <w:rFonts w:eastAsia="Times New Roman" w:cs="Times New Roman" w:ascii="Times New Roman" w:hAnsi="Times New Roman"/>
              </w:rPr>
              <w:t>4.13. Organizuojami atsipalaidavimo terapijos (šviesos, muzikos, filmų, judesio, spalvų, kvapų, knygų, molio lipdymo) užsiėmimai.</w:t>
            </w:r>
          </w:p>
          <w:p>
            <w:pPr>
              <w:pStyle w:val="Normal"/>
              <w:spacing w:lineRule="auto" w:line="240" w:before="0" w:after="160"/>
              <w:rPr>
                <w:rFonts w:ascii="Times New Roman" w:hAnsi="Times New Roman" w:eastAsia="Times New Roman" w:cs="Times New Roman"/>
              </w:rPr>
            </w:pPr>
            <w:r>
              <w:rPr>
                <w:rFonts w:eastAsia="Times New Roman" w:cs="Times New Roman" w:ascii="Times New Roman" w:hAnsi="Times New Roman"/>
              </w:rPr>
              <w:t>4.14. Organizuojamos senjorų bendravimo (emocinės paramos) grupės.</w:t>
            </w:r>
          </w:p>
        </w:tc>
        <w:tc>
          <w:tcPr>
            <w:tcW w:w="167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t>9</w:t>
            </w:r>
          </w:p>
        </w:tc>
        <w:tc>
          <w:tcPr>
            <w:tcW w:w="3187" w:type="dxa"/>
            <w:tcBorders>
              <w:top w:val="single" w:sz="6" w:space="0" w:color="000000"/>
              <w:left w:val="single" w:sz="6" w:space="0" w:color="000000"/>
              <w:bottom w:val="single" w:sz="6" w:space="0" w:color="000000"/>
              <w:right w:val="single" w:sz="6" w:space="0" w:color="000000"/>
            </w:tcBorders>
          </w:tcPr>
          <w:p>
            <w:pPr>
              <w:pStyle w:val="Normal"/>
              <w:spacing w:lineRule="auto" w:line="240"/>
              <w:jc w:val="center"/>
              <w:rPr>
                <w:rFonts w:ascii="Times New Roman" w:hAnsi="Times New Roman" w:eastAsia="Times New Roman" w:cs="Times New Roman"/>
              </w:rPr>
            </w:pPr>
            <w:r>
              <w:rPr/>
            </w:r>
          </w:p>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t>Rekomendacijos su teorinės medžiagos santraukomis, vizualinėmis schemomis, praktinėmis užduotimis ir pavyzdžiais, trumpais vaizdo įrašais (pvz. kvėpavimo pratimai, streso mažinimo pratimai).</w:t>
            </w:r>
          </w:p>
          <w:p>
            <w:pPr>
              <w:pStyle w:val="Normal"/>
              <w:spacing w:lineRule="auto" w:line="240"/>
              <w:jc w:val="center"/>
              <w:rPr>
                <w:rFonts w:ascii="Times New Roman" w:hAnsi="Times New Roman" w:eastAsia="Times New Roman" w:cs="Times New Roman"/>
              </w:rPr>
            </w:pPr>
            <w:r>
              <w:rPr>
                <w:rFonts w:eastAsia="Times New Roman" w:cs="Times New Roman" w:ascii="Times New Roman" w:hAnsi="Times New Roman"/>
              </w:rPr>
              <w:t>M</w:t>
            </w:r>
            <w:r>
              <w:rPr>
                <w:rFonts w:eastAsia="Times New Roman" w:cs="Times New Roman" w:ascii="Times New Roman" w:hAnsi="Times New Roman"/>
                <w:lang w:val="lt-LT"/>
              </w:rPr>
              <w:t>etodinė medžiaga turi būti pritaikyti sensorinę negalią turintiems asmenims.</w:t>
            </w:r>
          </w:p>
          <w:p>
            <w:pPr>
              <w:pStyle w:val="Normal"/>
              <w:spacing w:lineRule="auto" w:line="240" w:before="0" w:after="160"/>
              <w:jc w:val="center"/>
              <w:rPr>
                <w:rFonts w:ascii="Times New Roman" w:hAnsi="Times New Roman" w:eastAsia="Times New Roman" w:cs="Times New Roman"/>
              </w:rPr>
            </w:pPr>
            <w:r>
              <w:rPr>
                <w:rFonts w:eastAsia="Times New Roman" w:cs="Times New Roman" w:ascii="Times New Roman" w:hAnsi="Times New Roman"/>
              </w:rPr>
            </w:r>
          </w:p>
        </w:tc>
      </w:tr>
    </w:tbl>
    <w:p>
      <w:pPr>
        <w:pStyle w:val="Normal"/>
        <w:spacing w:lineRule="auto" w:line="240"/>
        <w:jc w:val="center"/>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en-US"/>
        </w:rPr>
        <w:t> </w:t>
      </w:r>
    </w:p>
    <w:p>
      <w:pPr>
        <w:pStyle w:val="Normal"/>
        <w:spacing w:lineRule="auto" w:line="240" w:before="0" w:after="0"/>
        <w:jc w:val="both"/>
        <w:rPr>
          <w:rFonts w:ascii="Times New Roman" w:hAnsi="Times New Roman" w:eastAsia="Times New Roman" w:cs="Times New Roman"/>
          <w:lang w:val="en-US"/>
        </w:rPr>
      </w:pPr>
      <w:r>
        <w:rPr>
          <w:rFonts w:eastAsia="Times New Roman" w:cs="Times New Roman" w:ascii="Times New Roman" w:hAnsi="Times New Roman"/>
          <w:color w:themeColor="text1" w:val="000000"/>
        </w:rPr>
        <w:t xml:space="preserve">    </w:t>
      </w:r>
      <w:r>
        <w:rPr>
          <w:rFonts w:eastAsia="Times New Roman" w:cs="Times New Roman" w:ascii="Times New Roman" w:hAnsi="Times New Roman"/>
          <w:color w:themeColor="text1" w:val="000000"/>
        </w:rPr>
        <w:t>* Metodinės medžiagos turinio rengėjų kvalifikacija:</w:t>
      </w:r>
    </w:p>
    <w:p>
      <w:pPr>
        <w:pStyle w:val="Normal"/>
        <w:spacing w:lineRule="auto" w:line="240" w:before="0" w:after="0"/>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ind w:left="106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1 – visuomenės sveikatos specialistas, turintis teisę vykdyti visuomenės sveikatos stiprinimą pagal LR sveikatos apsaugos ministro 2007 m. lapkričio 15 d. įsakymą Nr. V-918; </w:t>
      </w:r>
    </w:p>
    <w:p>
      <w:pPr>
        <w:pStyle w:val="Normal"/>
        <w:spacing w:lineRule="auto" w:line="240"/>
        <w:ind w:left="1065"/>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2 – dietistas, turintis teisę verstis dietisto praktika pagal Lietuvos medicinos normą MN 32:2015; gydytojas dietologas, turintis teisę verstis gydytojo dietologo praktika pagal Lietuvos medicinos normą MN 31:2022; </w:t>
      </w:r>
    </w:p>
    <w:p>
      <w:pPr>
        <w:pStyle w:val="Normal"/>
        <w:spacing w:lineRule="auto" w:line="240"/>
        <w:ind w:left="106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3 – kineziterapeutas, turintis teisę verstis kineziterapeuto praktika pagal Lietuvos medicinos normą MN 124:2023, arba asmuo, turintis specialųjį kūno kultūros ir sporto išsilavinimą (sporto krypties aukštąjį išsilavinimą) patvirtinančius dokumentus; </w:t>
      </w:r>
    </w:p>
    <w:p>
      <w:pPr>
        <w:pStyle w:val="Normal"/>
        <w:spacing w:lineRule="auto" w:line="240"/>
        <w:ind w:left="106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4 – šeimos gydytojas, vidaus ligų gydytojas, bendrosios praktikos slaugytojas, bendruomenės slaugytojas, išplėstinės praktikos slaugytojas; </w:t>
      </w:r>
    </w:p>
    <w:p>
      <w:pPr>
        <w:pStyle w:val="Normal"/>
        <w:spacing w:lineRule="auto" w:line="240"/>
        <w:ind w:left="106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5 – psichologas, gydytojas psichiatras, turintis teisę verstis gydytojo psichiatro praktika pagal Lietuvos medicinos normą MN 53:2019; medicinos psichologas, turintis teisę verstis medicinos psichologo praktika pagal Lietuvos medicinos normą MN 162:2018. </w:t>
      </w:r>
    </w:p>
    <w:p>
      <w:pPr>
        <w:pStyle w:val="Normal"/>
        <w:spacing w:lineRule="auto" w:line="240"/>
        <w:ind w:left="106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6 – gyvensenos specialistas, turintis teisę verstis gyvensenos medicinos specialisto veikla pagal LR sveikatos apsaugos ministro 2018 m. kovo 19 d. įsakymą Nr. V-308. </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 </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**Pažymimos užsiėmimų temos, skirtos šeimos nariams ar globėjams, prižiūrintiems 65 m. ir vyresnius artimuosius.  </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rPr>
        <w:t>Užsiėmimai 65 m. ir vyresniems asmenims įgyvendinami visa apimtimi. </w:t>
      </w:r>
    </w:p>
    <w:p>
      <w:pPr>
        <w:pStyle w:val="Normal"/>
        <w:spacing w:lineRule="auto" w:line="240"/>
        <w:ind w:firstLine="705" w:right="-120"/>
        <w:rPr>
          <w:rFonts w:ascii="Times New Roman" w:hAnsi="Times New Roman" w:eastAsia="Times New Roman" w:cs="Times New Roman"/>
          <w:color w:themeColor="text1" w:val="000000"/>
          <w:lang w:val="lt-LT"/>
        </w:rPr>
      </w:pPr>
      <w:r>
        <w:rPr>
          <w:rFonts w:eastAsia="Times New Roman" w:cs="Times New Roman" w:ascii="Times New Roman" w:hAnsi="Times New Roman"/>
          <w:color w:themeColor="text1" w:val="000000"/>
          <w:lang w:val="lt-LT"/>
        </w:rPr>
      </w:r>
    </w:p>
    <w:p>
      <w:pPr>
        <w:pStyle w:val="Normal"/>
        <w:spacing w:lineRule="auto" w:line="276" w:before="0" w:after="0"/>
        <w:jc w:val="both"/>
        <w:rPr>
          <w:rFonts w:ascii="Times New Roman" w:hAnsi="Times New Roman" w:eastAsia="Times New Roman" w:cs="Times New Roman"/>
          <w:lang w:val="lt-LT"/>
        </w:rPr>
      </w:pPr>
      <w:r>
        <w:rPr>
          <w:rFonts w:eastAsia="Times New Roman" w:cs="Times New Roman" w:ascii="Times New Roman" w:hAnsi="Times New Roman"/>
          <w:lang w:val="lt-LT"/>
        </w:rPr>
      </w:r>
    </w:p>
    <w:p>
      <w:pPr>
        <w:pStyle w:val="Normal"/>
        <w:spacing w:before="0" w:after="160"/>
        <w:rPr/>
      </w:pPr>
      <w:r>
        <w:rPr/>
      </w:r>
    </w:p>
    <w:sectPr>
      <w:type w:val="nextPage"/>
      <w:pgSz w:orient="landscape" w:w="16838" w:h="11906"/>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1296"/>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4"/>
        <w:szCs w:val="24"/>
        <w:lang w:val="lt-L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0"/>
      <w:sz w:val="24"/>
      <w:szCs w:val="24"/>
      <w:lang w:val="lt-LT" w:eastAsia="en-US" w:bidi="ar-SA"/>
    </w:rPr>
  </w:style>
  <w:style w:type="paragraph" w:styleId="Heading1">
    <w:name w:val="Heading 1"/>
    <w:basedOn w:val="Normal"/>
    <w:next w:val="Normal"/>
    <w:uiPriority w:val="9"/>
    <w:qFormat/>
    <w:rsid w:val="4200bb13"/>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uiPriority w:val="9"/>
    <w:unhideWhenUsed/>
    <w:qFormat/>
    <w:rsid w:val="4200bb13"/>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uiPriority w:val="9"/>
    <w:unhideWhenUsed/>
    <w:qFormat/>
    <w:rsid w:val="4200bb13"/>
    <w:pPr>
      <w:keepNext w:val="true"/>
      <w:keepLines/>
      <w:spacing w:before="160" w:after="80"/>
      <w:outlineLvl w:val="2"/>
    </w:pPr>
    <w:rPr>
      <w:rFonts w:eastAsia="" w:cs="" w:cstheme="majorBidi" w:eastAsiaTheme="majorEastAsia"/>
      <w:color w:themeColor="accent1" w:themeShade="bf" w:val="0F4761"/>
      <w:sz w:val="28"/>
      <w:szCs w:val="28"/>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4200bb13"/>
    <w:rPr>
      <w:color w:val="467886"/>
      <w:u w:val="single"/>
    </w:rPr>
  </w:style>
  <w:style w:type="character" w:styleId="Normaltextrun" w:customStyle="1">
    <w:name w:val="normaltextrun"/>
    <w:basedOn w:val="DefaultParagraphFont"/>
    <w:uiPriority w:val="1"/>
    <w:qFormat/>
    <w:rsid w:val="4200bb13"/>
    <w:rPr>
      <w:rFonts w:ascii="Aptos" w:hAnsi="Aptos" w:eastAsia="" w:cs="" w:asciiTheme="minorHAnsi" w:cstheme="minorBidi" w:eastAsiaTheme="minorEastAsia" w:hAnsiTheme="minorHAnsi"/>
      <w:sz w:val="22"/>
      <w:szCs w:val="22"/>
    </w:rPr>
  </w:style>
  <w:style w:type="character" w:styleId="KomentarotekstasDiagrama" w:customStyle="1">
    <w:name w:val="Komentaro tekstas Diagrama"/>
    <w:basedOn w:val="DefaultParagraphFont"/>
    <w:link w:val="Annotationtext"/>
    <w:uiPriority w:val="99"/>
    <w:semiHidden/>
    <w:qFormat/>
    <w:rPr>
      <w:sz w:val="20"/>
      <w:szCs w:val="20"/>
    </w:rPr>
  </w:style>
  <w:style w:type="character" w:styleId="Annotationreference">
    <w:name w:val="annotation reference"/>
    <w:basedOn w:val="DefaultParagraphFont"/>
    <w:uiPriority w:val="99"/>
    <w:semiHidden/>
    <w:unhideWhenUsed/>
    <w:qFormat/>
    <w:rPr>
      <w:sz w:val="16"/>
      <w:szCs w:val="16"/>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4200bb13"/>
    <w:pPr>
      <w:spacing w:before="0" w:after="160"/>
      <w:ind w:left="720"/>
      <w:contextualSpacing/>
    </w:pPr>
    <w:rPr/>
  </w:style>
  <w:style w:type="paragraph" w:styleId="Annotationtext">
    <w:name w:val="annotation text"/>
    <w:basedOn w:val="Normal"/>
    <w:link w:val="KomentarotekstasDiagrama"/>
    <w:uiPriority w:val="99"/>
    <w:semiHidden/>
    <w:unhideWhenUsed/>
    <w:qFormat/>
    <w:pPr>
      <w:spacing w:lineRule="auto" w:line="240"/>
    </w:pPr>
    <w:rPr>
      <w:sz w:val="20"/>
      <w:szCs w:val="20"/>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vdai.lrv.lt/" TargetMode="External"/><Relationship Id="rId3" Type="http://schemas.openxmlformats.org/officeDocument/2006/relationships/hyperlink" Target="mailto:institutas@hi.lt" TargetMode="External"/><Relationship Id="rId4" Type="http://schemas.openxmlformats.org/officeDocument/2006/relationships/hyperlink" Target="mailto:info@adaekspertai.lt" TargetMode="External"/><Relationship Id="rId5" Type="http://schemas.openxmlformats.org/officeDocument/2006/relationships/hyperlink" Target="https://www.hi.lt/asmens-duomenu-apsauga/"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7ABF564FFD792D40AB5826539A82D0FE" ma:contentTypeVersion="3" ma:contentTypeDescription="Kurkite naują dokumentą." ma:contentTypeScope="" ma:versionID="c397384f7d84ff41a77ce45bfa90d433">
  <xsd:schema xmlns:xsd="http://www.w3.org/2001/XMLSchema" xmlns:xs="http://www.w3.org/2001/XMLSchema" xmlns:p="http://schemas.microsoft.com/office/2006/metadata/properties" xmlns:ns2="017f7626-0b50-48a0-9797-5f4bcbb0b993" targetNamespace="http://schemas.microsoft.com/office/2006/metadata/properties" ma:root="true" ma:fieldsID="0d527f34e883fea5c5f1d38b129859ec" ns2:_="">
    <xsd:import namespace="017f7626-0b50-48a0-9797-5f4bcbb0b99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f7626-0b50-48a0-9797-5f4bcbb0b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A4F706-D342-49C0-AA2D-DD4E17831B09}">
  <ds:schemaRefs>
    <ds:schemaRef ds:uri="http://schemas.microsoft.com/sharepoint/v3/contenttype/forms"/>
  </ds:schemaRefs>
</ds:datastoreItem>
</file>

<file path=customXml/itemProps2.xml><?xml version="1.0" encoding="utf-8"?>
<ds:datastoreItem xmlns:ds="http://schemas.openxmlformats.org/officeDocument/2006/customXml" ds:itemID="{CF137D88-41B3-4E85-BED6-523AF814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f7626-0b50-48a0-9797-5f4bcbb0b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09031-9A60-49E4-A7F2-20AF96100D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LibreOffice/7.6.4.1$Windows_X86_64 LibreOffice_project/e19e193f88cd6c0525a17fb7a176ed8e6a3e2aa1</Application>
  <AppVersion>15.0000</AppVersion>
  <Pages>28</Pages>
  <Words>7279</Words>
  <Characters>53026</Characters>
  <CharactersWithSpaces>59814</CharactersWithSpaces>
  <Paragraphs>597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2026-06-19T11:38:00Z</dcterms:created>
  <dc:creator>Aušrinė Smaleckaitė</dc:creator>
  <dc:description/>
  <dc:language>en-US</dc:language>
  <cp:lastModifiedBy/>
  <dcterms:modified xsi:type="dcterms:W3CDTF">2026-07-23T23:54:42Z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0x0101007ABF564FFD792D40AB5826539A82D0FE</vt:lpwstr>
  </property>
</Properties>
</file>