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F44B1" w14:textId="77777777" w:rsidR="001B5DD8" w:rsidRPr="006003FC" w:rsidRDefault="007F1AEA" w:rsidP="00FB3A0A">
      <w:pPr>
        <w:pStyle w:val="Caption"/>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56C37C7C"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529A2F0F" w:rsidR="007F1AEA" w:rsidRPr="000528AA" w:rsidRDefault="007F1AEA" w:rsidP="000528AA">
      <w:pPr>
        <w:tabs>
          <w:tab w:val="left" w:pos="709"/>
          <w:tab w:val="left" w:pos="851"/>
          <w:tab w:val="left" w:pos="993"/>
        </w:tabs>
        <w:jc w:val="center"/>
        <w:rPr>
          <w:b/>
          <w:bCs/>
        </w:rPr>
      </w:pPr>
      <w:r>
        <w:rPr>
          <w:b/>
        </w:rPr>
        <w:t xml:space="preserve">DĖL </w:t>
      </w:r>
      <w:r w:rsidR="00F01F2D" w:rsidRPr="00F01F2D">
        <w:rPr>
          <w:b/>
          <w:bCs/>
        </w:rPr>
        <w:t>GRINDŲ PLOVIMO MAŠINOS</w:t>
      </w:r>
    </w:p>
    <w:p w14:paraId="7DE09889" w14:textId="37320929" w:rsidR="007F1AEA" w:rsidRDefault="007F1AEA">
      <w:pPr>
        <w:spacing w:after="0" w:line="240" w:lineRule="auto"/>
        <w:ind w:left="3888" w:right="-178"/>
      </w:pPr>
      <w:r>
        <w:rPr>
          <w:rFonts w:eastAsia="Times New Roman"/>
        </w:rPr>
        <w:t xml:space="preserve">       </w:t>
      </w:r>
      <w:r>
        <w:t>20</w:t>
      </w:r>
      <w:r w:rsidR="006003FC">
        <w:t>2</w:t>
      </w:r>
      <w:r w:rsidR="00096803">
        <w:t>5</w:t>
      </w:r>
      <w:r w:rsidRPr="0017136D">
        <w:rPr>
          <w:color w:val="000000" w:themeColor="text1"/>
        </w:rPr>
        <w:t>-</w:t>
      </w:r>
      <w:bookmarkStart w:id="0" w:name="_GoBack"/>
      <w:bookmarkEnd w:id="0"/>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FootnoteReference"/>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64F57A0C" w:rsidR="00137C71" w:rsidRPr="00B16212" w:rsidRDefault="00F01F2D" w:rsidP="00CD3498">
            <w:pPr>
              <w:spacing w:after="0" w:line="240" w:lineRule="auto"/>
              <w:rPr>
                <w:rFonts w:eastAsia="Times New Roman"/>
                <w:szCs w:val="24"/>
                <w:lang w:eastAsia="lt-LT"/>
              </w:rPr>
            </w:pPr>
            <w:r>
              <w:t>Grindų plovimo mašina</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3DA0332" w:rsidR="00137C71" w:rsidRPr="00B16212" w:rsidRDefault="005B4BA6" w:rsidP="00095D44">
            <w:pPr>
              <w:spacing w:after="0" w:line="240" w:lineRule="auto"/>
              <w:jc w:val="center"/>
              <w:rPr>
                <w:rFonts w:eastAsia="Times New Roman"/>
                <w:szCs w:val="24"/>
                <w:lang w:eastAsia="lt-LT"/>
              </w:rPr>
            </w:pPr>
            <w:r>
              <w:rPr>
                <w:rFonts w:eastAsia="Times New Roman"/>
                <w:szCs w:val="24"/>
                <w:lang w:eastAsia="lt-LT"/>
              </w:rPr>
              <w:t>4</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6F9C03C7" w14:textId="77777777"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1"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EF9CE6F" w14:textId="6594782E" w:rsidR="006E14C7" w:rsidRPr="006E14C7" w:rsidRDefault="006E14C7" w:rsidP="006E14C7">
      <w:pPr>
        <w:spacing w:after="0"/>
        <w:jc w:val="both"/>
        <w:rPr>
          <w:bCs/>
          <w:i/>
          <w:iCs/>
          <w:color w:val="000000" w:themeColor="text1"/>
        </w:rPr>
      </w:pPr>
      <w:r w:rsidRPr="006C6E29">
        <w:rPr>
          <w:bCs/>
          <w:i/>
          <w:iCs/>
        </w:rPr>
        <w:t xml:space="preserve">Po pasiūlymo pateikimo, </w:t>
      </w:r>
      <w:r>
        <w:rPr>
          <w:bCs/>
          <w:i/>
          <w:iCs/>
        </w:rPr>
        <w:t xml:space="preserve">nauji </w:t>
      </w:r>
      <w:r w:rsidRPr="006C6E29">
        <w:rPr>
          <w:bCs/>
          <w:i/>
          <w:iCs/>
        </w:rPr>
        <w:t>dokumentai</w:t>
      </w:r>
      <w:r>
        <w:rPr>
          <w:bCs/>
          <w:i/>
          <w:iCs/>
        </w:rPr>
        <w:t>,</w:t>
      </w:r>
      <w:r w:rsidRPr="006C6E29">
        <w:rPr>
          <w:bCs/>
          <w:i/>
          <w:iCs/>
        </w:rPr>
        <w:t xml:space="preserve"> įrodantys tiekėjo siūlomų parametrų reikšmių atitikimą reikalaujamiems, </w:t>
      </w:r>
      <w:r w:rsidRPr="006C6E29">
        <w:rPr>
          <w:b/>
          <w:bCs/>
          <w:i/>
          <w:iCs/>
        </w:rPr>
        <w:t>negalės būti p</w:t>
      </w:r>
      <w:r>
        <w:rPr>
          <w:b/>
          <w:bCs/>
          <w:i/>
          <w:iCs/>
        </w:rPr>
        <w:t>ri</w:t>
      </w:r>
      <w:r w:rsidRPr="006C6E29">
        <w:rPr>
          <w:b/>
          <w:bCs/>
          <w:i/>
          <w:iCs/>
        </w:rPr>
        <w:t>i</w:t>
      </w:r>
      <w:r>
        <w:rPr>
          <w:b/>
          <w:bCs/>
          <w:i/>
          <w:iCs/>
        </w:rPr>
        <w:t>mami</w:t>
      </w:r>
      <w:r w:rsidRPr="006C6E29">
        <w:rPr>
          <w:bCs/>
          <w:i/>
          <w:iCs/>
        </w:rPr>
        <w:t>, pasiūlymai negal</w:t>
      </w:r>
      <w:r>
        <w:rPr>
          <w:bCs/>
          <w:i/>
          <w:iCs/>
        </w:rPr>
        <w:t>ės</w:t>
      </w:r>
      <w:r w:rsidRPr="006C6E29">
        <w:rPr>
          <w:bCs/>
          <w:i/>
          <w:iCs/>
        </w:rPr>
        <w:t xml:space="preserve"> būti tikslinami pateikiant naujus dokumentus. Tiekėjo, kuris nepateiks visų siūlomų parametrų reikšmes įrodančių dokumentų ir/ar </w:t>
      </w:r>
      <w:r>
        <w:rPr>
          <w:bCs/>
          <w:i/>
          <w:iCs/>
        </w:rPr>
        <w:t>perkančioji organizacija</w:t>
      </w:r>
      <w:r w:rsidRPr="006C6E29">
        <w:rPr>
          <w:bCs/>
          <w:i/>
          <w:iCs/>
        </w:rPr>
        <w:t xml:space="preserve"> negalės iš gautos medžiagos nustatyti pasiūlymo atitikimo </w:t>
      </w:r>
      <w:r w:rsidRPr="006E14C7">
        <w:rPr>
          <w:bCs/>
          <w:i/>
          <w:iCs/>
          <w:color w:val="000000" w:themeColor="text1"/>
        </w:rPr>
        <w:t>reikalavimams - pasiūlymas bus atmestas.</w:t>
      </w:r>
    </w:p>
    <w:bookmarkEnd w:id="1"/>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lastRenderedPageBreak/>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TableGrid"/>
        <w:tblW w:w="0" w:type="auto"/>
        <w:tblLook w:val="04A0" w:firstRow="1" w:lastRow="0" w:firstColumn="1" w:lastColumn="0" w:noHBand="0" w:noVBand="1"/>
      </w:tblPr>
      <w:tblGrid>
        <w:gridCol w:w="7149"/>
        <w:gridCol w:w="2195"/>
      </w:tblGrid>
      <w:tr w:rsidR="00F01F2D"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E71CDB">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F01F2D" w14:paraId="724EAF7F" w14:textId="77777777" w:rsidTr="00A27FD1">
        <w:tc>
          <w:tcPr>
            <w:tcW w:w="0" w:type="auto"/>
            <w:vAlign w:val="center"/>
          </w:tcPr>
          <w:p w14:paraId="53C948DE" w14:textId="7F1089DD" w:rsidR="00F01F2D" w:rsidRPr="00AA1A15" w:rsidRDefault="00F01F2D" w:rsidP="00F01F2D">
            <w:pPr>
              <w:tabs>
                <w:tab w:val="left" w:pos="1380"/>
              </w:tabs>
              <w:spacing w:after="0" w:line="240" w:lineRule="auto"/>
              <w:ind w:right="28"/>
              <w:rPr>
                <w:b/>
              </w:rPr>
            </w:pPr>
            <w:r>
              <w:t xml:space="preserve">Valandinis našumas  - </w:t>
            </w:r>
            <w:r w:rsidRPr="000A3FE2">
              <w:t>5950÷6100 m</w:t>
            </w:r>
            <w:r w:rsidRPr="000A3FE2">
              <w:rPr>
                <w:vertAlign w:val="superscript"/>
              </w:rPr>
              <w:t>2</w:t>
            </w:r>
            <w:r w:rsidRPr="000A3FE2">
              <w:t>/val.</w:t>
            </w: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F01F2D" w14:paraId="23CA5528" w14:textId="77777777" w:rsidTr="00A27FD1">
        <w:tc>
          <w:tcPr>
            <w:tcW w:w="0" w:type="auto"/>
            <w:vAlign w:val="center"/>
          </w:tcPr>
          <w:p w14:paraId="3B9E99BD" w14:textId="2395CEE4" w:rsidR="00F01F2D" w:rsidRPr="00AA1A15" w:rsidRDefault="00F01F2D" w:rsidP="00F01F2D">
            <w:pPr>
              <w:tabs>
                <w:tab w:val="left" w:pos="1380"/>
              </w:tabs>
              <w:spacing w:after="0" w:line="240" w:lineRule="auto"/>
              <w:ind w:right="28"/>
              <w:rPr>
                <w:b/>
              </w:rPr>
            </w:pPr>
            <w:r>
              <w:t xml:space="preserve">Plovimo plotis - </w:t>
            </w:r>
            <w:r w:rsidRPr="000A3FE2">
              <w:t>800÷850 mm</w:t>
            </w: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F01F2D" w14:paraId="169F0F8F" w14:textId="77777777" w:rsidTr="00A27FD1">
        <w:tc>
          <w:tcPr>
            <w:tcW w:w="0" w:type="auto"/>
            <w:vAlign w:val="center"/>
          </w:tcPr>
          <w:p w14:paraId="5E94D3BA" w14:textId="3DFD5A28" w:rsidR="00F01F2D" w:rsidRPr="00AA1A15" w:rsidRDefault="00F01F2D" w:rsidP="00F01F2D">
            <w:pPr>
              <w:tabs>
                <w:tab w:val="left" w:pos="1380"/>
              </w:tabs>
              <w:spacing w:after="0" w:line="240" w:lineRule="auto"/>
              <w:ind w:right="28"/>
              <w:rPr>
                <w:b/>
              </w:rPr>
            </w:pPr>
            <w:r>
              <w:t xml:space="preserve">Nusausinimo plotis - </w:t>
            </w:r>
            <w:r w:rsidRPr="000A3FE2">
              <w:t>950÷980 mm</w:t>
            </w: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F01F2D" w14:paraId="134D98D0" w14:textId="77777777" w:rsidTr="00A27FD1">
        <w:tc>
          <w:tcPr>
            <w:tcW w:w="0" w:type="auto"/>
            <w:vAlign w:val="center"/>
          </w:tcPr>
          <w:p w14:paraId="2B359F74" w14:textId="38FB3234" w:rsidR="00F01F2D" w:rsidRPr="005B4BA6" w:rsidRDefault="00F01F2D" w:rsidP="00F01F2D">
            <w:pPr>
              <w:suppressAutoHyphens w:val="0"/>
              <w:spacing w:after="0"/>
              <w:rPr>
                <w:szCs w:val="24"/>
              </w:rPr>
            </w:pPr>
            <w:r>
              <w:t xml:space="preserve">Plovimo skysčio talpa - </w:t>
            </w:r>
            <w:r w:rsidRPr="000A3FE2">
              <w:t>1</w:t>
            </w:r>
            <w:r>
              <w:t>2</w:t>
            </w:r>
            <w:r w:rsidRPr="000A3FE2">
              <w:t xml:space="preserve">0÷130 </w:t>
            </w:r>
            <w:proofErr w:type="spellStart"/>
            <w:r w:rsidRPr="000A3FE2">
              <w:t>ltr</w:t>
            </w:r>
            <w:proofErr w:type="spellEnd"/>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F01F2D" w14:paraId="72CB32A7" w14:textId="77777777" w:rsidTr="00A27FD1">
        <w:tc>
          <w:tcPr>
            <w:tcW w:w="0" w:type="auto"/>
            <w:vAlign w:val="center"/>
          </w:tcPr>
          <w:p w14:paraId="2E71D083" w14:textId="45E82C05" w:rsidR="00F01F2D" w:rsidRPr="005A2520" w:rsidRDefault="00F01F2D" w:rsidP="00F01F2D">
            <w:pPr>
              <w:suppressAutoHyphens w:val="0"/>
              <w:spacing w:after="0"/>
              <w:jc w:val="both"/>
            </w:pPr>
            <w:r>
              <w:t xml:space="preserve">Utilizavimo skysčio talpa - </w:t>
            </w:r>
            <w:r w:rsidRPr="000A3FE2">
              <w:t xml:space="preserve">120÷140 </w:t>
            </w:r>
            <w:proofErr w:type="spellStart"/>
            <w:r w:rsidRPr="000A3FE2">
              <w:t>ltr</w:t>
            </w:r>
            <w:proofErr w:type="spellEnd"/>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F01F2D" w14:paraId="6452DBB9" w14:textId="77777777" w:rsidTr="00A27FD1">
        <w:tc>
          <w:tcPr>
            <w:tcW w:w="0" w:type="auto"/>
            <w:vAlign w:val="center"/>
          </w:tcPr>
          <w:p w14:paraId="177A2969" w14:textId="549B57C7" w:rsidR="00F01F2D" w:rsidRPr="000528AA" w:rsidRDefault="00F01F2D" w:rsidP="00F01F2D">
            <w:pPr>
              <w:suppressAutoHyphens w:val="0"/>
              <w:spacing w:after="0"/>
              <w:jc w:val="both"/>
            </w:pPr>
            <w:r>
              <w:t xml:space="preserve">Vakuuminė siurblio galia - </w:t>
            </w:r>
            <w:r w:rsidRPr="000A3FE2">
              <w:t>1100÷1300 mm/H</w:t>
            </w:r>
            <w:r w:rsidRPr="000A3FE2">
              <w:rPr>
                <w:vertAlign w:val="subscript"/>
              </w:rPr>
              <w:t>2</w:t>
            </w:r>
            <w:r w:rsidRPr="000A3FE2">
              <w:t>O</w:t>
            </w: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F01F2D" w14:paraId="0C7CEC10" w14:textId="77777777" w:rsidTr="00A27FD1">
        <w:tc>
          <w:tcPr>
            <w:tcW w:w="0" w:type="auto"/>
            <w:vAlign w:val="center"/>
          </w:tcPr>
          <w:p w14:paraId="666F5D8D" w14:textId="03F3C81C" w:rsidR="00F01F2D" w:rsidRPr="000528AA" w:rsidRDefault="00F01F2D" w:rsidP="00F01F2D">
            <w:pPr>
              <w:suppressAutoHyphens w:val="0"/>
              <w:spacing w:after="0"/>
              <w:jc w:val="both"/>
            </w:pPr>
            <w:r>
              <w:t xml:space="preserve">Maitinimas - </w:t>
            </w:r>
            <w:r w:rsidRPr="000A3FE2">
              <w:t>24 V</w:t>
            </w:r>
          </w:p>
        </w:tc>
        <w:tc>
          <w:tcPr>
            <w:tcW w:w="0" w:type="auto"/>
          </w:tcPr>
          <w:p w14:paraId="5964D645" w14:textId="71A7DFC2" w:rsidR="00F01F2D" w:rsidRPr="00A71F25" w:rsidRDefault="00F01F2D" w:rsidP="00F01F2D">
            <w:pPr>
              <w:tabs>
                <w:tab w:val="left" w:pos="1380"/>
              </w:tabs>
              <w:spacing w:after="0" w:line="240" w:lineRule="auto"/>
              <w:ind w:right="28"/>
              <w:jc w:val="center"/>
            </w:pPr>
          </w:p>
        </w:tc>
      </w:tr>
      <w:tr w:rsidR="00F01F2D" w14:paraId="59772D16" w14:textId="77777777" w:rsidTr="00A27FD1">
        <w:tc>
          <w:tcPr>
            <w:tcW w:w="0" w:type="auto"/>
            <w:vAlign w:val="center"/>
          </w:tcPr>
          <w:p w14:paraId="7F6ED013" w14:textId="5FFFA1E4" w:rsidR="00F01F2D" w:rsidRPr="00F01F2D" w:rsidRDefault="00F01F2D" w:rsidP="00F01F2D">
            <w:pPr>
              <w:suppressAutoHyphens w:val="0"/>
              <w:spacing w:after="0"/>
              <w:jc w:val="both"/>
              <w:rPr>
                <w:b/>
              </w:rPr>
            </w:pPr>
            <w:r>
              <w:t xml:space="preserve">Bendra galia - </w:t>
            </w:r>
            <w:r w:rsidRPr="000A3FE2">
              <w:t>2300÷2450 W</w:t>
            </w: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F01F2D" w14:paraId="2637FEB3" w14:textId="77777777" w:rsidTr="00A27FD1">
        <w:tc>
          <w:tcPr>
            <w:tcW w:w="0" w:type="auto"/>
            <w:vAlign w:val="center"/>
          </w:tcPr>
          <w:p w14:paraId="6FFB7113" w14:textId="53EB88CB" w:rsidR="00F01F2D" w:rsidRPr="000528AA" w:rsidRDefault="00F01F2D" w:rsidP="00F01F2D">
            <w:pPr>
              <w:suppressAutoHyphens w:val="0"/>
              <w:spacing w:after="0"/>
              <w:jc w:val="both"/>
            </w:pPr>
            <w:r w:rsidRPr="000A3FE2">
              <w:t>Triukšmo lygis</w:t>
            </w:r>
            <w:r>
              <w:t xml:space="preserve"> - </w:t>
            </w:r>
            <w:r w:rsidRPr="00951485">
              <w:rPr>
                <w:color w:val="000000"/>
              </w:rPr>
              <w:t xml:space="preserve">55÷66 </w:t>
            </w:r>
            <w:proofErr w:type="spellStart"/>
            <w:r w:rsidRPr="00951485">
              <w:rPr>
                <w:color w:val="000000"/>
              </w:rPr>
              <w:t>dBa</w:t>
            </w:r>
            <w:proofErr w:type="spellEnd"/>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F01F2D" w14:paraId="6B51D58E" w14:textId="77777777" w:rsidTr="00A27FD1">
        <w:trPr>
          <w:trHeight w:val="284"/>
        </w:trPr>
        <w:tc>
          <w:tcPr>
            <w:tcW w:w="0" w:type="auto"/>
            <w:vAlign w:val="center"/>
          </w:tcPr>
          <w:p w14:paraId="102A0907" w14:textId="6D121756" w:rsidR="00F01F2D" w:rsidRPr="000528AA" w:rsidRDefault="00F01F2D" w:rsidP="00F01F2D">
            <w:pPr>
              <w:spacing w:after="0"/>
              <w:jc w:val="both"/>
            </w:pPr>
            <w:r>
              <w:t xml:space="preserve">Plovimo šepečių kiekis - </w:t>
            </w:r>
            <w:r w:rsidRPr="000A3FE2">
              <w:t xml:space="preserve">2 vnt., </w:t>
            </w:r>
            <w:r w:rsidRPr="000A3FE2">
              <w:rPr>
                <w:sz w:val="28"/>
                <w:szCs w:val="28"/>
              </w:rPr>
              <w:t>ø</w:t>
            </w:r>
            <w:r w:rsidRPr="000A3FE2">
              <w:t xml:space="preserve"> 400÷420 mm</w:t>
            </w: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F01F2D" w14:paraId="2DBE4676" w14:textId="77777777" w:rsidTr="00A27FD1">
        <w:tc>
          <w:tcPr>
            <w:tcW w:w="0" w:type="auto"/>
            <w:vAlign w:val="center"/>
          </w:tcPr>
          <w:p w14:paraId="6A2F1639" w14:textId="54F63D91" w:rsidR="00F01F2D" w:rsidRPr="005A2520" w:rsidRDefault="00F01F2D" w:rsidP="00F01F2D">
            <w:pPr>
              <w:pStyle w:val="ListParagraph"/>
              <w:tabs>
                <w:tab w:val="left" w:pos="1276"/>
              </w:tabs>
              <w:spacing w:after="0"/>
              <w:ind w:left="0"/>
              <w:jc w:val="both"/>
            </w:pPr>
            <w:r>
              <w:t xml:space="preserve">Šepečio variklio galia - </w:t>
            </w:r>
            <w:r w:rsidRPr="000A3FE2">
              <w:t>2 vnt., 24 V – 490÷550 W</w:t>
            </w:r>
          </w:p>
        </w:tc>
        <w:tc>
          <w:tcPr>
            <w:tcW w:w="0" w:type="auto"/>
          </w:tcPr>
          <w:p w14:paraId="2B747521" w14:textId="35FE9300" w:rsidR="00F01F2D" w:rsidRPr="005A2520" w:rsidRDefault="00F01F2D" w:rsidP="00F01F2D">
            <w:pPr>
              <w:tabs>
                <w:tab w:val="left" w:pos="1380"/>
              </w:tabs>
              <w:spacing w:after="0" w:line="240" w:lineRule="auto"/>
              <w:ind w:right="28"/>
              <w:jc w:val="center"/>
            </w:pPr>
          </w:p>
        </w:tc>
      </w:tr>
      <w:tr w:rsidR="00F01F2D" w14:paraId="0FAFECE8" w14:textId="77777777" w:rsidTr="00A27FD1">
        <w:tc>
          <w:tcPr>
            <w:tcW w:w="0" w:type="auto"/>
            <w:vAlign w:val="center"/>
          </w:tcPr>
          <w:p w14:paraId="23970B5C" w14:textId="2C5CBBEE" w:rsidR="00F01F2D" w:rsidRPr="008443DF" w:rsidRDefault="00F01F2D" w:rsidP="00F01F2D">
            <w:pPr>
              <w:pStyle w:val="ListParagraph"/>
              <w:tabs>
                <w:tab w:val="left" w:pos="1276"/>
              </w:tabs>
              <w:spacing w:after="0"/>
              <w:ind w:left="0"/>
              <w:jc w:val="both"/>
            </w:pPr>
            <w:r>
              <w:t xml:space="preserve">Šepečių sūkiai - </w:t>
            </w:r>
            <w:r w:rsidRPr="000A3FE2">
              <w:t>160÷190 aps./min</w:t>
            </w:r>
          </w:p>
        </w:tc>
        <w:tc>
          <w:tcPr>
            <w:tcW w:w="0" w:type="auto"/>
          </w:tcPr>
          <w:p w14:paraId="749B94FF" w14:textId="4E083DBF" w:rsidR="00F01F2D" w:rsidRPr="005A2520" w:rsidRDefault="00F01F2D" w:rsidP="00F01F2D">
            <w:pPr>
              <w:tabs>
                <w:tab w:val="left" w:pos="1380"/>
              </w:tabs>
              <w:spacing w:after="0" w:line="240" w:lineRule="auto"/>
              <w:ind w:right="28"/>
              <w:jc w:val="center"/>
            </w:pPr>
          </w:p>
        </w:tc>
      </w:tr>
      <w:tr w:rsidR="00F01F2D" w14:paraId="361437BA" w14:textId="77777777" w:rsidTr="00A27FD1">
        <w:tc>
          <w:tcPr>
            <w:tcW w:w="0" w:type="auto"/>
            <w:vAlign w:val="center"/>
          </w:tcPr>
          <w:p w14:paraId="7BD8576F" w14:textId="32D90B55" w:rsidR="00F01F2D" w:rsidRPr="008443DF" w:rsidRDefault="00F01F2D" w:rsidP="00F01F2D">
            <w:pPr>
              <w:pStyle w:val="ListParagraph"/>
              <w:tabs>
                <w:tab w:val="left" w:pos="1276"/>
              </w:tabs>
              <w:spacing w:after="0"/>
              <w:ind w:left="0"/>
              <w:jc w:val="both"/>
            </w:pPr>
            <w:r>
              <w:t xml:space="preserve">Akumuliatorius - </w:t>
            </w:r>
            <w:r w:rsidRPr="000A3FE2">
              <w:t xml:space="preserve">4 </w:t>
            </w:r>
            <w:proofErr w:type="spellStart"/>
            <w:r w:rsidRPr="000A3FE2">
              <w:t>vnt</w:t>
            </w:r>
            <w:proofErr w:type="spellEnd"/>
            <w:r w:rsidRPr="000A3FE2">
              <w:t>: 6V-200÷210 Ah</w:t>
            </w: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F01F2D" w14:paraId="7FA51D60" w14:textId="77777777" w:rsidTr="00A27FD1">
        <w:tc>
          <w:tcPr>
            <w:tcW w:w="0" w:type="auto"/>
            <w:vAlign w:val="center"/>
          </w:tcPr>
          <w:p w14:paraId="26C911B6" w14:textId="74B8BC43" w:rsidR="00F01F2D" w:rsidRPr="008443DF" w:rsidRDefault="00F01F2D" w:rsidP="00F01F2D">
            <w:pPr>
              <w:pStyle w:val="ListParagraph"/>
              <w:tabs>
                <w:tab w:val="left" w:pos="1276"/>
              </w:tabs>
              <w:spacing w:after="0"/>
              <w:ind w:left="0"/>
              <w:jc w:val="both"/>
            </w:pPr>
            <w:r>
              <w:t xml:space="preserve">Įkroviklis - </w:t>
            </w:r>
            <w:r w:rsidRPr="000A3FE2">
              <w:t>24V 25Ah</w:t>
            </w: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F01F2D" w14:paraId="07EAC9A4" w14:textId="77777777" w:rsidTr="00A27FD1">
        <w:tc>
          <w:tcPr>
            <w:tcW w:w="0" w:type="auto"/>
            <w:vAlign w:val="center"/>
          </w:tcPr>
          <w:p w14:paraId="3D37CC0A" w14:textId="497D6976" w:rsidR="00F01F2D" w:rsidRPr="008443DF" w:rsidRDefault="00F01F2D" w:rsidP="00F01F2D">
            <w:pPr>
              <w:pStyle w:val="ListParagraph"/>
              <w:tabs>
                <w:tab w:val="left" w:pos="1276"/>
              </w:tabs>
              <w:spacing w:after="0"/>
              <w:ind w:left="0"/>
              <w:jc w:val="both"/>
            </w:pPr>
            <w:r>
              <w:t xml:space="preserve">Autonomija - </w:t>
            </w:r>
            <w:r w:rsidRPr="000A3FE2">
              <w:t>5÷6 val.</w:t>
            </w:r>
          </w:p>
        </w:tc>
        <w:tc>
          <w:tcPr>
            <w:tcW w:w="0" w:type="auto"/>
          </w:tcPr>
          <w:p w14:paraId="209B7BD8" w14:textId="045C43F6" w:rsidR="00F01F2D" w:rsidRPr="005A2520" w:rsidRDefault="00F01F2D" w:rsidP="00F01F2D">
            <w:pPr>
              <w:tabs>
                <w:tab w:val="left" w:pos="1380"/>
              </w:tabs>
              <w:spacing w:after="0" w:line="240" w:lineRule="auto"/>
              <w:ind w:right="28"/>
              <w:jc w:val="center"/>
            </w:pPr>
          </w:p>
        </w:tc>
      </w:tr>
      <w:tr w:rsidR="00F01F2D" w14:paraId="43C1F38B" w14:textId="77777777" w:rsidTr="00A27FD1">
        <w:tc>
          <w:tcPr>
            <w:tcW w:w="0" w:type="auto"/>
            <w:vAlign w:val="center"/>
          </w:tcPr>
          <w:p w14:paraId="309C9CEA" w14:textId="656DB9D3" w:rsidR="00F01F2D" w:rsidRPr="008443DF" w:rsidRDefault="00F01F2D" w:rsidP="00F01F2D">
            <w:pPr>
              <w:pStyle w:val="ListParagraph"/>
              <w:tabs>
                <w:tab w:val="left" w:pos="1276"/>
              </w:tabs>
              <w:spacing w:after="0"/>
              <w:ind w:left="0"/>
              <w:jc w:val="both"/>
            </w:pPr>
            <w:r>
              <w:t xml:space="preserve">Eigos variklis - </w:t>
            </w:r>
            <w:r w:rsidRPr="000A3FE2">
              <w:t>24 V – 700÷800 W</w:t>
            </w: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F01F2D" w14:paraId="69F362D3" w14:textId="77777777" w:rsidTr="00A27FD1">
        <w:tc>
          <w:tcPr>
            <w:tcW w:w="0" w:type="auto"/>
            <w:vAlign w:val="center"/>
          </w:tcPr>
          <w:p w14:paraId="0E6D0824" w14:textId="306CDA3A" w:rsidR="00F01F2D" w:rsidRPr="008443DF" w:rsidRDefault="00F01F2D" w:rsidP="00F01F2D">
            <w:pPr>
              <w:pStyle w:val="ListParagraph"/>
              <w:tabs>
                <w:tab w:val="left" w:pos="1276"/>
              </w:tabs>
              <w:spacing w:after="0"/>
              <w:ind w:left="0"/>
              <w:jc w:val="both"/>
            </w:pPr>
            <w:r>
              <w:t xml:space="preserve">Vakuuminis variklis - </w:t>
            </w:r>
            <w:r w:rsidRPr="000A3FE2">
              <w:t>36 V – 550÷650 W</w:t>
            </w: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F01F2D" w14:paraId="4DE656C9" w14:textId="77777777" w:rsidTr="00A27FD1">
        <w:tc>
          <w:tcPr>
            <w:tcW w:w="0" w:type="auto"/>
            <w:vAlign w:val="center"/>
          </w:tcPr>
          <w:p w14:paraId="115F83B6" w14:textId="3A5DA522" w:rsidR="00F01F2D" w:rsidRPr="008443DF" w:rsidRDefault="00F01F2D" w:rsidP="00F01F2D">
            <w:pPr>
              <w:pStyle w:val="ListParagraph"/>
              <w:tabs>
                <w:tab w:val="left" w:pos="1276"/>
              </w:tabs>
              <w:spacing w:after="0"/>
              <w:ind w:left="0"/>
              <w:jc w:val="both"/>
            </w:pPr>
            <w:r>
              <w:t xml:space="preserve">Matmenys - </w:t>
            </w:r>
            <w:r w:rsidRPr="000A3FE2">
              <w:t>1500x840x1350 ÷ 1550x860x1450 mm</w:t>
            </w: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F01F2D" w14:paraId="2209DA5B" w14:textId="77777777" w:rsidTr="00A27FD1">
        <w:tc>
          <w:tcPr>
            <w:tcW w:w="0" w:type="auto"/>
            <w:vAlign w:val="center"/>
          </w:tcPr>
          <w:p w14:paraId="6564C924" w14:textId="69E5F758" w:rsidR="00F01F2D" w:rsidRPr="008443DF" w:rsidRDefault="00F01F2D" w:rsidP="00F01F2D">
            <w:pPr>
              <w:pStyle w:val="ListParagraph"/>
              <w:tabs>
                <w:tab w:val="left" w:pos="1276"/>
              </w:tabs>
              <w:spacing w:after="0"/>
              <w:ind w:left="0"/>
              <w:jc w:val="both"/>
            </w:pPr>
            <w:r>
              <w:t xml:space="preserve">Mažiausias apsisukimo diametras - </w:t>
            </w:r>
            <w:r w:rsidRPr="000A3FE2">
              <w:t>1900÷2000 mm</w:t>
            </w: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F01F2D" w14:paraId="272055DE" w14:textId="77777777" w:rsidTr="00A27FD1">
        <w:tc>
          <w:tcPr>
            <w:tcW w:w="0" w:type="auto"/>
            <w:vAlign w:val="center"/>
          </w:tcPr>
          <w:p w14:paraId="0BDA8F9B" w14:textId="642D51F6" w:rsidR="00F01F2D" w:rsidRPr="008443DF" w:rsidRDefault="00F01F2D" w:rsidP="00F01F2D">
            <w:pPr>
              <w:pStyle w:val="ListParagraph"/>
              <w:tabs>
                <w:tab w:val="left" w:pos="1276"/>
              </w:tabs>
              <w:spacing w:after="0"/>
              <w:ind w:left="0"/>
              <w:jc w:val="both"/>
            </w:pPr>
            <w:r>
              <w:t xml:space="preserve">Svoris (su akumuliatoriais) - </w:t>
            </w:r>
            <w:r w:rsidRPr="000A3FE2">
              <w:t>350÷400 kg</w:t>
            </w: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F01F2D" w14:paraId="1A64921D" w14:textId="77777777" w:rsidTr="00A27FD1">
        <w:tc>
          <w:tcPr>
            <w:tcW w:w="0" w:type="auto"/>
            <w:vAlign w:val="center"/>
          </w:tcPr>
          <w:p w14:paraId="127CCC29" w14:textId="56C0A4FF" w:rsidR="00F01F2D" w:rsidRPr="008443DF" w:rsidRDefault="00F01F2D" w:rsidP="00F01F2D">
            <w:pPr>
              <w:pStyle w:val="ListParagraph"/>
              <w:tabs>
                <w:tab w:val="left" w:pos="1276"/>
              </w:tabs>
              <w:spacing w:after="0"/>
              <w:ind w:left="0"/>
              <w:jc w:val="both"/>
            </w:pPr>
            <w:r w:rsidRPr="00485BD2">
              <w:t>Maksimalus darbinis greitis</w:t>
            </w:r>
            <w:r>
              <w:t xml:space="preserve"> - </w:t>
            </w:r>
            <w:r w:rsidRPr="000A3FE2">
              <w:t>7÷8 km/</w:t>
            </w:r>
            <w:proofErr w:type="spellStart"/>
            <w:r w:rsidRPr="000A3FE2">
              <w:t>val</w:t>
            </w:r>
            <w:proofErr w:type="spellEnd"/>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F01F2D" w14:paraId="24925EEC" w14:textId="77777777" w:rsidTr="00A27FD1">
        <w:tc>
          <w:tcPr>
            <w:tcW w:w="0" w:type="auto"/>
            <w:vAlign w:val="center"/>
          </w:tcPr>
          <w:p w14:paraId="14BE447E" w14:textId="1821DDD6" w:rsidR="00F01F2D" w:rsidRPr="008443DF" w:rsidRDefault="00F01F2D" w:rsidP="00F01F2D">
            <w:pPr>
              <w:pStyle w:val="ListParagraph"/>
              <w:tabs>
                <w:tab w:val="left" w:pos="1276"/>
              </w:tabs>
              <w:spacing w:after="0"/>
              <w:ind w:left="0"/>
              <w:jc w:val="both"/>
            </w:pPr>
            <w:r>
              <w:t xml:space="preserve">Maksimali įkalnė - </w:t>
            </w:r>
            <w:r w:rsidRPr="000A3FE2">
              <w:t>17÷20 %</w:t>
            </w: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F01F2D" w14:paraId="41860184" w14:textId="77777777" w:rsidTr="00A27FD1">
        <w:trPr>
          <w:trHeight w:val="216"/>
        </w:trPr>
        <w:tc>
          <w:tcPr>
            <w:tcW w:w="0" w:type="auto"/>
            <w:vAlign w:val="center"/>
          </w:tcPr>
          <w:p w14:paraId="17E1756D" w14:textId="1CB99087" w:rsidR="00F01F2D" w:rsidRPr="008443DF" w:rsidRDefault="00F01F2D" w:rsidP="00F01F2D">
            <w:pPr>
              <w:pStyle w:val="ListParagraph"/>
              <w:tabs>
                <w:tab w:val="left" w:pos="1276"/>
              </w:tabs>
              <w:spacing w:after="0"/>
              <w:ind w:left="0"/>
              <w:jc w:val="both"/>
            </w:pPr>
            <w:r>
              <w:t xml:space="preserve">Pavara - </w:t>
            </w:r>
            <w:r w:rsidRPr="00F01F2D">
              <w:rPr>
                <w:i/>
              </w:rPr>
              <w:t>Elektroninė</w:t>
            </w: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F01F2D" w14:paraId="39A7048B" w14:textId="77777777" w:rsidTr="00A27FD1">
        <w:tc>
          <w:tcPr>
            <w:tcW w:w="0" w:type="auto"/>
            <w:vAlign w:val="center"/>
          </w:tcPr>
          <w:p w14:paraId="3EE26022" w14:textId="1B99C23E" w:rsidR="00F01F2D" w:rsidRPr="008443DF" w:rsidRDefault="00F01F2D" w:rsidP="00F01F2D">
            <w:pPr>
              <w:pStyle w:val="ListParagraph"/>
              <w:tabs>
                <w:tab w:val="left" w:pos="1276"/>
              </w:tabs>
              <w:spacing w:after="0"/>
              <w:ind w:left="0"/>
              <w:jc w:val="both"/>
            </w:pPr>
            <w:r>
              <w:t xml:space="preserve">Ratai - </w:t>
            </w:r>
            <w:proofErr w:type="spellStart"/>
            <w:r w:rsidRPr="000A3FE2">
              <w:t>Poliuretaniniai</w:t>
            </w:r>
            <w:proofErr w:type="spellEnd"/>
            <w:r w:rsidRPr="000A3FE2">
              <w:t>, ø300÷320mm</w:t>
            </w: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F01F2D" w14:paraId="3796440B" w14:textId="77777777" w:rsidTr="00A27FD1">
        <w:tc>
          <w:tcPr>
            <w:tcW w:w="0" w:type="auto"/>
            <w:vAlign w:val="center"/>
          </w:tcPr>
          <w:p w14:paraId="4B900021" w14:textId="117674D1" w:rsidR="00F01F2D" w:rsidRPr="008443DF" w:rsidRDefault="00F01F2D" w:rsidP="00F01F2D">
            <w:pPr>
              <w:pStyle w:val="ListParagraph"/>
              <w:tabs>
                <w:tab w:val="left" w:pos="1276"/>
              </w:tabs>
              <w:spacing w:after="0"/>
              <w:ind w:left="0"/>
              <w:jc w:val="both"/>
            </w:pPr>
            <w:r>
              <w:t>Operatoriaus vieta - Sėdynė reguliuojama</w:t>
            </w:r>
          </w:p>
        </w:tc>
        <w:tc>
          <w:tcPr>
            <w:tcW w:w="0" w:type="auto"/>
          </w:tcPr>
          <w:p w14:paraId="6E61C382" w14:textId="282EEC30" w:rsidR="00F01F2D" w:rsidRPr="005A2520" w:rsidRDefault="00F01F2D" w:rsidP="00F01F2D">
            <w:pPr>
              <w:tabs>
                <w:tab w:val="left" w:pos="1380"/>
              </w:tabs>
              <w:spacing w:after="0" w:line="240" w:lineRule="auto"/>
              <w:ind w:right="28"/>
              <w:jc w:val="center"/>
            </w:pPr>
          </w:p>
        </w:tc>
      </w:tr>
      <w:tr w:rsidR="00F01F2D" w14:paraId="1188EBF7" w14:textId="77777777" w:rsidTr="005B4BA6">
        <w:tc>
          <w:tcPr>
            <w:tcW w:w="0" w:type="auto"/>
            <w:vAlign w:val="center"/>
          </w:tcPr>
          <w:p w14:paraId="27321FED" w14:textId="4B2827C4" w:rsidR="00F01F2D" w:rsidRPr="008443DF" w:rsidRDefault="00F01F2D" w:rsidP="00F01F2D">
            <w:pPr>
              <w:pStyle w:val="ListParagraph"/>
              <w:tabs>
                <w:tab w:val="left" w:pos="1276"/>
              </w:tabs>
              <w:spacing w:after="0"/>
              <w:ind w:left="0"/>
            </w:pPr>
            <w:r>
              <w:t xml:space="preserve">Ekranas su įmontuota diagnostikos sistema; </w:t>
            </w:r>
            <w:r>
              <w:br/>
              <w:t xml:space="preserve">priekinis darbinis žibintas; įjungimo jungiklis; </w:t>
            </w:r>
            <w:r>
              <w:br/>
            </w:r>
            <w:r>
              <w:lastRenderedPageBreak/>
              <w:t>galinių ratų</w:t>
            </w:r>
            <w:r w:rsidRPr="002751AF">
              <w:t xml:space="preserve"> </w:t>
            </w:r>
            <w:r>
              <w:t>darbinis stabdis ir parkavimo el. stabdžiai; signalinis šviestuvas; šiukšlių surinkimo dėklas; dulkių filtras; H</w:t>
            </w:r>
            <w:r w:rsidRPr="002751AF">
              <w:rPr>
                <w:vertAlign w:val="subscript"/>
              </w:rPr>
              <w:t>2</w:t>
            </w:r>
            <w:r>
              <w:t>O filtras; H</w:t>
            </w:r>
            <w:r w:rsidRPr="002751AF">
              <w:rPr>
                <w:vertAlign w:val="subscript"/>
              </w:rPr>
              <w:t>2</w:t>
            </w:r>
            <w:r>
              <w:t>O elektrinis vožtuvas; H</w:t>
            </w:r>
            <w:r w:rsidRPr="002751AF">
              <w:rPr>
                <w:vertAlign w:val="subscript"/>
              </w:rPr>
              <w:t>2</w:t>
            </w:r>
            <w:r>
              <w:t xml:space="preserve">O pompa; </w:t>
            </w:r>
            <w:r>
              <w:br/>
              <w:t xml:space="preserve">automatinis valytuvo pakėlimas atbulinėje eigoje, USB jungtis; </w:t>
            </w:r>
            <w:r>
              <w:br/>
            </w:r>
            <w:r w:rsidRPr="00F211E7">
              <w:rPr>
                <w:b/>
              </w:rPr>
              <w:t>Mygtukai</w:t>
            </w:r>
            <w:r>
              <w:t>: šepečio valdymo; šepečio slėgio valdymo; vakuuminės sistemos valdymo; H</w:t>
            </w:r>
            <w:r w:rsidRPr="00006652">
              <w:rPr>
                <w:vertAlign w:val="subscript"/>
              </w:rPr>
              <w:t>2</w:t>
            </w:r>
            <w:r>
              <w:t xml:space="preserve">O srauto reguliavimo; ploviklio ir energijos taupymo; operatoriaus funkcijų nustatymo įsiminimo; greičio reguliavimo; atbulinės eigos valdymo; šepečių / vakuuminių sistemų vienu metu valdymo; </w:t>
            </w:r>
            <w:r>
              <w:br/>
              <w:t>garsinio signalo valdymo.</w:t>
            </w: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F01F2D" w14:paraId="11E52039" w14:textId="77777777" w:rsidTr="005B4BA6">
        <w:tc>
          <w:tcPr>
            <w:tcW w:w="0" w:type="auto"/>
            <w:vAlign w:val="center"/>
          </w:tcPr>
          <w:p w14:paraId="26FCD2D6" w14:textId="49FDE037" w:rsidR="00F01F2D" w:rsidRPr="008443DF" w:rsidRDefault="00F01F2D" w:rsidP="00F01F2D">
            <w:pPr>
              <w:pStyle w:val="ListParagraph"/>
              <w:tabs>
                <w:tab w:val="left" w:pos="1276"/>
              </w:tabs>
              <w:spacing w:after="0"/>
              <w:ind w:left="0"/>
            </w:pPr>
            <w:r>
              <w:rPr>
                <w:b/>
              </w:rPr>
              <w:t>Komplektacija:</w:t>
            </w:r>
            <w:r>
              <w:t xml:space="preserve">  akumuliatoriai </w:t>
            </w:r>
            <w:r w:rsidRPr="002751AF">
              <w:t>4 vnt</w:t>
            </w:r>
            <w:r>
              <w:t>.</w:t>
            </w:r>
            <w:r w:rsidRPr="002751AF">
              <w:t>: 6V-200÷210 Ah</w:t>
            </w:r>
            <w:r>
              <w:t xml:space="preserve">; akumuliatoriaus įkroviklis </w:t>
            </w:r>
            <w:r w:rsidRPr="002751AF">
              <w:t>24V 25Ah</w:t>
            </w:r>
            <w:r>
              <w:t>; šepečių komplektas; nusausinimo gumos.</w:t>
            </w: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F01F2D" w14:paraId="4A87280E" w14:textId="77777777" w:rsidTr="005B4BA6">
        <w:tc>
          <w:tcPr>
            <w:tcW w:w="0" w:type="auto"/>
            <w:vAlign w:val="center"/>
          </w:tcPr>
          <w:p w14:paraId="76988C4E" w14:textId="4D2799F8" w:rsidR="00F01F2D" w:rsidRPr="008443DF" w:rsidRDefault="00F01F2D" w:rsidP="00F01F2D">
            <w:pPr>
              <w:pStyle w:val="ListParagraph"/>
              <w:tabs>
                <w:tab w:val="left" w:pos="1276"/>
              </w:tabs>
              <w:spacing w:after="0"/>
              <w:ind w:left="0"/>
            </w:pPr>
            <w:r w:rsidRPr="009C3973">
              <w:rPr>
                <w:b/>
              </w:rPr>
              <w:t>Papildomi reikalavimai TIEKĖJUI</w:t>
            </w:r>
            <w:r>
              <w:t>: Savaeigė akumuliatorinė grindų plovimo mašina su nusausinimu turi būti pagaminta iš korozijai atsparios medžiagos, atitikti visus Europos Sąjungos keliamus saugumo ir kokybės reikalavimus. Ji turi būti su lietuviška vartojimo instrukcija, visiškai sukomplektuota.</w:t>
            </w: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F01F2D" w14:paraId="5E160E74" w14:textId="77777777" w:rsidTr="005B4BA6">
        <w:tc>
          <w:tcPr>
            <w:tcW w:w="0" w:type="auto"/>
            <w:vAlign w:val="center"/>
          </w:tcPr>
          <w:p w14:paraId="384746F5" w14:textId="612E9112" w:rsidR="00F01F2D" w:rsidRPr="008443DF" w:rsidRDefault="00F01F2D" w:rsidP="00F01F2D">
            <w:pPr>
              <w:pStyle w:val="ListParagraph"/>
              <w:tabs>
                <w:tab w:val="left" w:pos="1276"/>
              </w:tabs>
              <w:spacing w:after="0"/>
              <w:ind w:left="0"/>
            </w:pPr>
            <w:r w:rsidRPr="009C3973">
              <w:rPr>
                <w:b/>
              </w:rPr>
              <w:t>Reikalavimai TIEKĖJUI</w:t>
            </w:r>
            <w:r>
              <w:t>:</w:t>
            </w:r>
            <w:r w:rsidRPr="007D5C5E">
              <w:t xml:space="preserve"> </w:t>
            </w:r>
            <w:r>
              <w:t>Savaeigei akumuliatorinei grindų plovimo mašinai su nusausinimu turi būti suteikiama ne mažiau kaip 24 mėnesių garantija nuo pristatymo PIRKĖJUI dienos.</w:t>
            </w:r>
            <w:r>
              <w:br/>
              <w:t>Pilnai sukomplektuota</w:t>
            </w:r>
            <w:r w:rsidRPr="007D5C5E">
              <w:t xml:space="preserve"> </w:t>
            </w:r>
            <w:r>
              <w:t>turi būti pristatyta TIEKĖJO transportu į PIRKĖJO nurodytą vietą.</w:t>
            </w:r>
            <w:r>
              <w:br/>
            </w:r>
            <w:r w:rsidRPr="003D2B7C">
              <w:t>TIEKĖJAS moka aplinkosaugos mokesčius. TIEKĖJAS pateikia deklaracijas apie sumokėtus aplinkosaugos mokesčius už paskutinius metus – forma FR0521, forma FR0524, forma FR0523.</w:t>
            </w: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lastRenderedPageBreak/>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AE36" w14:textId="77777777" w:rsidR="00D3634C" w:rsidRDefault="00D3634C">
      <w:pPr>
        <w:spacing w:after="0" w:line="240" w:lineRule="auto"/>
      </w:pPr>
      <w:r>
        <w:separator/>
      </w:r>
    </w:p>
  </w:endnote>
  <w:endnote w:type="continuationSeparator" w:id="0">
    <w:p w14:paraId="6DA7C474" w14:textId="77777777" w:rsidR="00D3634C" w:rsidRDefault="00D3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F9188" w14:textId="77777777" w:rsidR="00D3634C" w:rsidRDefault="00D3634C">
      <w:pPr>
        <w:spacing w:after="0" w:line="240" w:lineRule="auto"/>
      </w:pPr>
      <w:r>
        <w:separator/>
      </w:r>
    </w:p>
  </w:footnote>
  <w:footnote w:type="continuationSeparator" w:id="0">
    <w:p w14:paraId="24AE7E17" w14:textId="77777777" w:rsidR="00D3634C" w:rsidRDefault="00D3634C">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2782B653" w:rsidR="004011ED" w:rsidRDefault="004011ED">
    <w:pPr>
      <w:pStyle w:val="Header"/>
      <w:jc w:val="center"/>
    </w:pPr>
    <w:r>
      <w:fldChar w:fldCharType="begin"/>
    </w:r>
    <w:r>
      <w:instrText>PAGE   \* MERGEFORMAT</w:instrText>
    </w:r>
    <w:r>
      <w:fldChar w:fldCharType="separate"/>
    </w:r>
    <w:r w:rsidR="000E0707">
      <w:rPr>
        <w:noProof/>
      </w:rPr>
      <w:t>4</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3D140F"/>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0"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1"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7"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9727DF"/>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20"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1"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C24097E"/>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24"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32"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3"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7"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9"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0"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41"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3"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9"/>
  </w:num>
  <w:num w:numId="9">
    <w:abstractNumId w:val="16"/>
  </w:num>
  <w:num w:numId="10">
    <w:abstractNumId w:val="20"/>
  </w:num>
  <w:num w:numId="11">
    <w:abstractNumId w:val="24"/>
  </w:num>
  <w:num w:numId="12">
    <w:abstractNumId w:val="17"/>
  </w:num>
  <w:num w:numId="13">
    <w:abstractNumId w:val="11"/>
  </w:num>
  <w:num w:numId="14">
    <w:abstractNumId w:val="22"/>
  </w:num>
  <w:num w:numId="15">
    <w:abstractNumId w:val="27"/>
  </w:num>
  <w:num w:numId="16">
    <w:abstractNumId w:val="18"/>
  </w:num>
  <w:num w:numId="17">
    <w:abstractNumId w:val="40"/>
  </w:num>
  <w:num w:numId="18">
    <w:abstractNumId w:val="36"/>
  </w:num>
  <w:num w:numId="19">
    <w:abstractNumId w:val="36"/>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4"/>
  </w:num>
  <w:num w:numId="21">
    <w:abstractNumId w:val="38"/>
  </w:num>
  <w:num w:numId="22">
    <w:abstractNumId w:val="43"/>
  </w:num>
  <w:num w:numId="23">
    <w:abstractNumId w:val="35"/>
  </w:num>
  <w:num w:numId="24">
    <w:abstractNumId w:val="28"/>
  </w:num>
  <w:num w:numId="25">
    <w:abstractNumId w:val="42"/>
  </w:num>
  <w:num w:numId="26">
    <w:abstractNumId w:val="29"/>
  </w:num>
  <w:num w:numId="27">
    <w:abstractNumId w:val="26"/>
  </w:num>
  <w:num w:numId="28">
    <w:abstractNumId w:val="37"/>
  </w:num>
  <w:num w:numId="29">
    <w:abstractNumId w:val="12"/>
  </w:num>
  <w:num w:numId="30">
    <w:abstractNumId w:val="21"/>
  </w:num>
  <w:num w:numId="31">
    <w:abstractNumId w:val="15"/>
  </w:num>
  <w:num w:numId="32">
    <w:abstractNumId w:val="25"/>
  </w:num>
  <w:num w:numId="33">
    <w:abstractNumId w:val="30"/>
  </w:num>
  <w:num w:numId="34">
    <w:abstractNumId w:val="14"/>
  </w:num>
  <w:num w:numId="35">
    <w:abstractNumId w:val="41"/>
  </w:num>
  <w:num w:numId="36">
    <w:abstractNumId w:val="10"/>
  </w:num>
  <w:num w:numId="37">
    <w:abstractNumId w:val="34"/>
  </w:num>
  <w:num w:numId="38">
    <w:abstractNumId w:val="13"/>
  </w:num>
  <w:num w:numId="39">
    <w:abstractNumId w:val="32"/>
  </w:num>
  <w:num w:numId="40">
    <w:abstractNumId w:val="31"/>
  </w:num>
  <w:num w:numId="41">
    <w:abstractNumId w:val="23"/>
  </w:num>
  <w:num w:numId="42">
    <w:abstractNumId w:val="19"/>
  </w:num>
  <w:num w:numId="43">
    <w:abstractNumId w:val="9"/>
  </w:num>
  <w:num w:numId="44">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774"/>
    <w:rsid w:val="00014124"/>
    <w:rsid w:val="0002238D"/>
    <w:rsid w:val="0003013B"/>
    <w:rsid w:val="00031916"/>
    <w:rsid w:val="000528AA"/>
    <w:rsid w:val="00066DBB"/>
    <w:rsid w:val="00095D44"/>
    <w:rsid w:val="00096803"/>
    <w:rsid w:val="000B08E0"/>
    <w:rsid w:val="000C325A"/>
    <w:rsid w:val="000C53C0"/>
    <w:rsid w:val="000C59DA"/>
    <w:rsid w:val="000D20EC"/>
    <w:rsid w:val="000E0707"/>
    <w:rsid w:val="000F308C"/>
    <w:rsid w:val="00110662"/>
    <w:rsid w:val="001157E8"/>
    <w:rsid w:val="001201BF"/>
    <w:rsid w:val="00136B5F"/>
    <w:rsid w:val="00137C71"/>
    <w:rsid w:val="00150782"/>
    <w:rsid w:val="00151EBC"/>
    <w:rsid w:val="00154448"/>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216785"/>
    <w:rsid w:val="00250156"/>
    <w:rsid w:val="00255A07"/>
    <w:rsid w:val="00274B72"/>
    <w:rsid w:val="002A3703"/>
    <w:rsid w:val="002B5EE7"/>
    <w:rsid w:val="002C5480"/>
    <w:rsid w:val="002D57F9"/>
    <w:rsid w:val="002F26E6"/>
    <w:rsid w:val="002F3699"/>
    <w:rsid w:val="002F4C27"/>
    <w:rsid w:val="002F4CF3"/>
    <w:rsid w:val="00316134"/>
    <w:rsid w:val="00325D97"/>
    <w:rsid w:val="00332143"/>
    <w:rsid w:val="00343E45"/>
    <w:rsid w:val="00344E03"/>
    <w:rsid w:val="0037053E"/>
    <w:rsid w:val="003A7945"/>
    <w:rsid w:val="003E4C6A"/>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7D38"/>
    <w:rsid w:val="00504841"/>
    <w:rsid w:val="00507C78"/>
    <w:rsid w:val="00510481"/>
    <w:rsid w:val="005459B6"/>
    <w:rsid w:val="00564A77"/>
    <w:rsid w:val="00581793"/>
    <w:rsid w:val="0058742A"/>
    <w:rsid w:val="00590CBE"/>
    <w:rsid w:val="005A1650"/>
    <w:rsid w:val="005A2520"/>
    <w:rsid w:val="005B4BA6"/>
    <w:rsid w:val="005D3B0C"/>
    <w:rsid w:val="005F3F15"/>
    <w:rsid w:val="006003FC"/>
    <w:rsid w:val="006015C3"/>
    <w:rsid w:val="00624824"/>
    <w:rsid w:val="00637B8E"/>
    <w:rsid w:val="006766F5"/>
    <w:rsid w:val="0068255C"/>
    <w:rsid w:val="006827A8"/>
    <w:rsid w:val="006A081B"/>
    <w:rsid w:val="006A2521"/>
    <w:rsid w:val="006C03F5"/>
    <w:rsid w:val="006C34AC"/>
    <w:rsid w:val="006D5A29"/>
    <w:rsid w:val="006E14C7"/>
    <w:rsid w:val="006E4675"/>
    <w:rsid w:val="006F5357"/>
    <w:rsid w:val="00715205"/>
    <w:rsid w:val="00720C5B"/>
    <w:rsid w:val="007449E1"/>
    <w:rsid w:val="007503B8"/>
    <w:rsid w:val="00765DDA"/>
    <w:rsid w:val="00766ABB"/>
    <w:rsid w:val="007765AA"/>
    <w:rsid w:val="007B2856"/>
    <w:rsid w:val="007C4048"/>
    <w:rsid w:val="007C643B"/>
    <w:rsid w:val="007D3D58"/>
    <w:rsid w:val="007F1AEA"/>
    <w:rsid w:val="008124D4"/>
    <w:rsid w:val="008164FD"/>
    <w:rsid w:val="00817628"/>
    <w:rsid w:val="0082008D"/>
    <w:rsid w:val="00831741"/>
    <w:rsid w:val="00861E4C"/>
    <w:rsid w:val="008641F6"/>
    <w:rsid w:val="0088588B"/>
    <w:rsid w:val="008B4B3A"/>
    <w:rsid w:val="008C6DCE"/>
    <w:rsid w:val="008E6B73"/>
    <w:rsid w:val="008F1EEB"/>
    <w:rsid w:val="009006AB"/>
    <w:rsid w:val="009175FA"/>
    <w:rsid w:val="009468CE"/>
    <w:rsid w:val="0094711A"/>
    <w:rsid w:val="00947BF4"/>
    <w:rsid w:val="00970110"/>
    <w:rsid w:val="0097413B"/>
    <w:rsid w:val="00987522"/>
    <w:rsid w:val="00A2413C"/>
    <w:rsid w:val="00A33615"/>
    <w:rsid w:val="00A344A3"/>
    <w:rsid w:val="00A40BE1"/>
    <w:rsid w:val="00A40E36"/>
    <w:rsid w:val="00A44ABD"/>
    <w:rsid w:val="00A576AE"/>
    <w:rsid w:val="00A61084"/>
    <w:rsid w:val="00A65BE7"/>
    <w:rsid w:val="00A71F25"/>
    <w:rsid w:val="00A823A2"/>
    <w:rsid w:val="00A83E9C"/>
    <w:rsid w:val="00A87365"/>
    <w:rsid w:val="00AA1A15"/>
    <w:rsid w:val="00AA57FF"/>
    <w:rsid w:val="00AB20A1"/>
    <w:rsid w:val="00AB2A29"/>
    <w:rsid w:val="00AF40F5"/>
    <w:rsid w:val="00B0333A"/>
    <w:rsid w:val="00B10E59"/>
    <w:rsid w:val="00B16212"/>
    <w:rsid w:val="00B168CA"/>
    <w:rsid w:val="00B27D36"/>
    <w:rsid w:val="00B4178A"/>
    <w:rsid w:val="00B43C3A"/>
    <w:rsid w:val="00B45D52"/>
    <w:rsid w:val="00B57469"/>
    <w:rsid w:val="00B6099C"/>
    <w:rsid w:val="00B629ED"/>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D3498"/>
    <w:rsid w:val="00CF3C52"/>
    <w:rsid w:val="00CF6C67"/>
    <w:rsid w:val="00D3634C"/>
    <w:rsid w:val="00D46671"/>
    <w:rsid w:val="00D5095C"/>
    <w:rsid w:val="00D7282A"/>
    <w:rsid w:val="00D8493F"/>
    <w:rsid w:val="00D85FA4"/>
    <w:rsid w:val="00D86AA3"/>
    <w:rsid w:val="00DA0ED6"/>
    <w:rsid w:val="00DB35F8"/>
    <w:rsid w:val="00DB6852"/>
    <w:rsid w:val="00DC14AF"/>
    <w:rsid w:val="00DC1D53"/>
    <w:rsid w:val="00DC69B2"/>
    <w:rsid w:val="00DE09CE"/>
    <w:rsid w:val="00DE1C07"/>
    <w:rsid w:val="00DE5D86"/>
    <w:rsid w:val="00DF5E90"/>
    <w:rsid w:val="00DF6CA5"/>
    <w:rsid w:val="00E0362E"/>
    <w:rsid w:val="00E241FD"/>
    <w:rsid w:val="00E46A4E"/>
    <w:rsid w:val="00E65E23"/>
    <w:rsid w:val="00E9205E"/>
    <w:rsid w:val="00EB649B"/>
    <w:rsid w:val="00EF005F"/>
    <w:rsid w:val="00EF11A4"/>
    <w:rsid w:val="00EF31F3"/>
    <w:rsid w:val="00EF3F99"/>
    <w:rsid w:val="00F01F2D"/>
    <w:rsid w:val="00F2588B"/>
    <w:rsid w:val="00F32109"/>
    <w:rsid w:val="00F459C6"/>
    <w:rsid w:val="00F51F9A"/>
    <w:rsid w:val="00F554D9"/>
    <w:rsid w:val="00F63195"/>
    <w:rsid w:val="00F64F1E"/>
    <w:rsid w:val="00F73FA6"/>
    <w:rsid w:val="00F80480"/>
    <w:rsid w:val="00F8163B"/>
    <w:rsid w:val="00F92F0C"/>
    <w:rsid w:val="00FB3A0A"/>
    <w:rsid w:val="00FC2F0B"/>
    <w:rsid w:val="00FD4FC4"/>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0F"/>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EB0F-77D2-4B5F-A721-22245F58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5</Pages>
  <Words>5391</Words>
  <Characters>3073</Characters>
  <Application>Microsoft Office Word</Application>
  <DocSecurity>0</DocSecurity>
  <Lines>25</Lines>
  <Paragraphs>16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Tomas Gakas</cp:lastModifiedBy>
  <cp:revision>40</cp:revision>
  <cp:lastPrinted>2018-02-08T11:53:00Z</cp:lastPrinted>
  <dcterms:created xsi:type="dcterms:W3CDTF">2019-11-16T14:21:00Z</dcterms:created>
  <dcterms:modified xsi:type="dcterms:W3CDTF">2025-01-27T12:08:00Z</dcterms:modified>
</cp:coreProperties>
</file>