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503B" w14:textId="15EEC5C5" w:rsidR="00D75B32" w:rsidRDefault="00D75B32" w:rsidP="00341510">
      <w:pPr>
        <w:jc w:val="center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>
        <w:rPr>
          <w:rFonts w:asciiTheme="majorBidi" w:hAnsiTheme="majorBidi" w:cstheme="majorBidi"/>
          <w:b/>
          <w:bCs/>
          <w:sz w:val="22"/>
          <w:szCs w:val="22"/>
          <w:lang w:val="lt-LT"/>
        </w:rPr>
        <w:t>TECHNINĖ SPECIFIKACIJA</w:t>
      </w:r>
    </w:p>
    <w:p w14:paraId="1ED9F138" w14:textId="043DBCA2" w:rsidR="00341510" w:rsidRPr="00CA4B72" w:rsidRDefault="00341510" w:rsidP="00341510">
      <w:pPr>
        <w:jc w:val="center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SAUSO DEGINIMO CHNS/O ANALIZATORIUS</w:t>
      </w:r>
    </w:p>
    <w:p w14:paraId="465A2125" w14:textId="77777777" w:rsidR="00341510" w:rsidRPr="00CA4B72" w:rsidRDefault="00341510" w:rsidP="00341510">
      <w:pPr>
        <w:ind w:left="360"/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</w:p>
    <w:p w14:paraId="2A07B6F4" w14:textId="2F540BEC" w:rsidR="00341510" w:rsidRPr="00CA4B72" w:rsidRDefault="00341510" w:rsidP="00B0267D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1. Paskirtis ir pagrindinės funkcijos</w:t>
      </w:r>
    </w:p>
    <w:p w14:paraId="05027EAB" w14:textId="526C50C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1.1. Turi būti tiekiamas automatinis elementų analizatorius skirtas organinės kilmės mėginių elementinei sudėčiai nustatyti.</w:t>
      </w:r>
    </w:p>
    <w:p w14:paraId="4BC2194C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1.2. Analizatoriumi turi būti galima nustatyti šiuos elementus:</w:t>
      </w:r>
    </w:p>
    <w:p w14:paraId="705154C5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anglį (C);</w:t>
      </w:r>
    </w:p>
    <w:p w14:paraId="7B2DF370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vandenilį (H);</w:t>
      </w:r>
    </w:p>
    <w:p w14:paraId="2CE102DB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azotą (N);</w:t>
      </w:r>
    </w:p>
    <w:p w14:paraId="4F374614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sierą (S);</w:t>
      </w:r>
    </w:p>
    <w:p w14:paraId="168841CA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deguonį (O).</w:t>
      </w:r>
    </w:p>
    <w:p w14:paraId="045091AB" w14:textId="77777777" w:rsidR="00341510" w:rsidRPr="00CA4B72" w:rsidRDefault="00341510" w:rsidP="00B0267D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1.3. C, H, N ir S nustatymas turi būti atliekamas deginant mėginį, o deguonies kiekis nustatomas tam skirtu analizės režimu.</w:t>
      </w:r>
    </w:p>
    <w:p w14:paraId="21F0F1D7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1.4. Visi nurodyti elementai turi būti nustatomi naudojant vieną integruotą analizės sistemą. Analizatorius turi būti pritaikytas nuosekliam CHNS ir O tyrimų atlikimui, nekeičiant pagrindinės įrangos.</w:t>
      </w:r>
    </w:p>
    <w:p w14:paraId="337A78BB" w14:textId="77777777" w:rsidR="00341510" w:rsidRPr="00CA4B72" w:rsidRDefault="00341510" w:rsidP="00FC04D4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2. Mėginių analizė ir darbo našumas</w:t>
      </w:r>
    </w:p>
    <w:p w14:paraId="7C767D8A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2.1. Analizatorius turi būti pritaikytas automatiniam mėginių tyrimui ir darbui su mėginių </w:t>
      </w:r>
      <w:proofErr w:type="spellStart"/>
      <w:r w:rsidRPr="00CA4B72">
        <w:rPr>
          <w:rFonts w:asciiTheme="majorBidi" w:hAnsiTheme="majorBidi" w:cstheme="majorBidi"/>
          <w:sz w:val="22"/>
          <w:szCs w:val="22"/>
          <w:lang w:val="lt-LT"/>
        </w:rPr>
        <w:t>ėmikliu</w:t>
      </w:r>
      <w:proofErr w:type="spellEnd"/>
      <w:r w:rsidRPr="00CA4B72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68BB0EA4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2.2. Automatinis mėginių </w:t>
      </w:r>
      <w:proofErr w:type="spellStart"/>
      <w:r w:rsidRPr="00CA4B72">
        <w:rPr>
          <w:rFonts w:asciiTheme="majorBidi" w:hAnsiTheme="majorBidi" w:cstheme="majorBidi"/>
          <w:sz w:val="22"/>
          <w:szCs w:val="22"/>
          <w:lang w:val="lt-LT"/>
        </w:rPr>
        <w:t>ėmiklis</w:t>
      </w:r>
      <w:proofErr w:type="spellEnd"/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 turi turėti ne mažiau kaip </w:t>
      </w: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30 mėginių pozicijų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6B2D9EFD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2.3. CHNS elementų nustatymo vieno mėginio analizės trukmė turi būti ne ilgesnė kaip </w:t>
      </w: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15 minučių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503941F3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2.4. Deguonies (O) nustatymo vieno mėginio analizės trukmė turi būti ne ilgesnė kaip </w:t>
      </w: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10 minučių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3FA3F2CD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2.5. Nurodyta analizės trukmė turi užtikrinti galimybę laboratorijoje atlikti ne mažiau kaip 4 CHNS mėginių analizes per valandą.</w:t>
      </w:r>
    </w:p>
    <w:p w14:paraId="0FA66F0D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2.6. Turi būti sudaryta galimybė greitai pereiti nuo CHNS tyrimo prie deguonies nustatymo režimo, neatliekant sudėtingo įrangos perkonfigūravimo.</w:t>
      </w:r>
    </w:p>
    <w:p w14:paraId="7EFF119F" w14:textId="77777777" w:rsidR="00341510" w:rsidRPr="00CA4B72" w:rsidRDefault="00341510" w:rsidP="00FC04D4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3. Mėginių masė ir elementų nustatymo ribos</w:t>
      </w:r>
    </w:p>
    <w:p w14:paraId="1A54010B" w14:textId="77777777" w:rsidR="00341510" w:rsidRPr="00E410C1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3.1. Analizatorius turi būti pritaikytas tiksliai analizuoti mažos masės mėginius, įskaitant </w:t>
      </w:r>
      <w:r w:rsidRPr="00E410C1">
        <w:rPr>
          <w:rFonts w:asciiTheme="majorBidi" w:hAnsiTheme="majorBidi" w:cstheme="majorBidi"/>
          <w:sz w:val="22"/>
          <w:szCs w:val="22"/>
          <w:lang w:val="lt-LT"/>
        </w:rPr>
        <w:t>1 mg masės mėginius.</w:t>
      </w:r>
    </w:p>
    <w:p w14:paraId="23B8B546" w14:textId="77777777" w:rsidR="00341510" w:rsidRPr="00CA4B72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3.2. Tuo pačiu mėginių įvedimo įtaisu turi būti galima analizuoti iki </w:t>
      </w:r>
      <w:r w:rsidRPr="00E410C1">
        <w:rPr>
          <w:rFonts w:asciiTheme="majorBidi" w:hAnsiTheme="majorBidi" w:cstheme="majorBidi"/>
          <w:sz w:val="22"/>
          <w:szCs w:val="22"/>
          <w:lang w:val="lt-LT"/>
        </w:rPr>
        <w:t>100 mg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 masės mėginius.</w:t>
      </w:r>
    </w:p>
    <w:p w14:paraId="000F13B4" w14:textId="77777777" w:rsidR="00341510" w:rsidRDefault="00341510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3.3. Atskirų elementų nustatymo diapazonai turi būti ne siauresni kaip:</w:t>
      </w:r>
    </w:p>
    <w:p w14:paraId="03EE9381" w14:textId="77777777" w:rsidR="00681B24" w:rsidRDefault="00681B24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</w:p>
    <w:p w14:paraId="1DF8C071" w14:textId="77777777" w:rsidR="00681B24" w:rsidRDefault="00681B24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</w:p>
    <w:p w14:paraId="4BD9C5DE" w14:textId="77777777" w:rsidR="00681B24" w:rsidRPr="00CA4B72" w:rsidRDefault="00681B24" w:rsidP="00FC04D4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1480"/>
        <w:gridCol w:w="6154"/>
      </w:tblGrid>
      <w:tr w:rsidR="00681B24" w:rsidRPr="00D75B32" w14:paraId="151E8E38" w14:textId="164A4C83" w:rsidTr="00681B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7388A0" w14:textId="77777777" w:rsidR="00681B24" w:rsidRPr="00681B24" w:rsidRDefault="00681B24" w:rsidP="00681B24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</w:pPr>
            <w:r w:rsidRPr="00681B24"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  <w:t>Elementas</w:t>
            </w:r>
          </w:p>
        </w:tc>
        <w:tc>
          <w:tcPr>
            <w:tcW w:w="0" w:type="auto"/>
            <w:vAlign w:val="center"/>
            <w:hideMark/>
          </w:tcPr>
          <w:p w14:paraId="344D50B9" w14:textId="77777777" w:rsidR="00681B24" w:rsidRPr="00CA4B72" w:rsidRDefault="00681B24" w:rsidP="00681B24">
            <w:pPr>
              <w:ind w:left="360"/>
              <w:jc w:val="both"/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  <w:t>Nustatymo diapazonas</w:t>
            </w:r>
          </w:p>
        </w:tc>
        <w:tc>
          <w:tcPr>
            <w:tcW w:w="0" w:type="auto"/>
            <w:vAlign w:val="center"/>
          </w:tcPr>
          <w:p w14:paraId="583407C2" w14:textId="5616E0FA" w:rsidR="006B6597" w:rsidRPr="006B6597" w:rsidRDefault="006B6597" w:rsidP="006B6597">
            <w:pPr>
              <w:ind w:left="36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  <w:t>Pagrindimas d</w:t>
            </w:r>
            <w:r w:rsidRPr="006B6597"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  <w:t>ėl elementų nustatymo diapazonų ir tiriamų mėginių įvairovės</w:t>
            </w:r>
          </w:p>
          <w:p w14:paraId="3B65F6E9" w14:textId="41758FB5" w:rsidR="00681B24" w:rsidRPr="00CA4B72" w:rsidRDefault="00681B24" w:rsidP="000E5315">
            <w:pPr>
              <w:ind w:left="36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lt-LT"/>
              </w:rPr>
            </w:pPr>
          </w:p>
        </w:tc>
      </w:tr>
      <w:tr w:rsidR="00681B24" w:rsidRPr="00D75B32" w14:paraId="0D2CB278" w14:textId="51BE20C2" w:rsidTr="00681B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2B8FC" w14:textId="77777777" w:rsidR="00681B24" w:rsidRPr="00CA4B72" w:rsidRDefault="00681B24" w:rsidP="00681B24">
            <w:pPr>
              <w:pStyle w:val="Sraopastraipa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Anglis (C)</w:t>
            </w:r>
          </w:p>
        </w:tc>
        <w:tc>
          <w:tcPr>
            <w:tcW w:w="0" w:type="auto"/>
            <w:vAlign w:val="center"/>
            <w:hideMark/>
          </w:tcPr>
          <w:p w14:paraId="2ABF6FB1" w14:textId="77777777" w:rsidR="00681B24" w:rsidRPr="00CA4B72" w:rsidRDefault="00681B24" w:rsidP="00681B24">
            <w:pPr>
              <w:ind w:left="360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0,001–20 mg</w:t>
            </w:r>
          </w:p>
        </w:tc>
        <w:tc>
          <w:tcPr>
            <w:tcW w:w="0" w:type="auto"/>
            <w:vMerge w:val="restart"/>
            <w:vAlign w:val="center"/>
          </w:tcPr>
          <w:p w14:paraId="05FBA3B2" w14:textId="5594A59D" w:rsidR="00681B24" w:rsidRPr="00CA4B72" w:rsidRDefault="006B6597" w:rsidP="000E5315">
            <w:pPr>
              <w:ind w:left="360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LAMMC planuojama analizatoriaus naudojimo sritis yra plati – numatoma tirti skirtingos kilmės, sudėties ir cheminėmis savybėmis pasižyminčius mėginius: </w:t>
            </w:r>
            <w:proofErr w:type="spellStart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humines</w:t>
            </w:r>
            <w:proofErr w:type="spellEnd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 medžiagas, </w:t>
            </w:r>
            <w:proofErr w:type="spellStart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humines</w:t>
            </w:r>
            <w:proofErr w:type="spellEnd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 rūgštis, </w:t>
            </w:r>
            <w:proofErr w:type="spellStart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digestatus</w:t>
            </w:r>
            <w:proofErr w:type="spellEnd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, </w:t>
            </w:r>
            <w:proofErr w:type="spellStart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bioanglį</w:t>
            </w:r>
            <w:proofErr w:type="spellEnd"/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, durpes, dirvožemį, nuotekų dumblą, jūros dumblių biomasę, grūdus, uogas, rapsų išspaudas ir kitus augalinės, dirvožemio bei organinės kilmės objektus</w:t>
            </w:r>
            <w:r w:rsidR="00C46806"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 (LMT, EIP projektai, temos, numatytos LAMMC mokslinės veiklos plane</w:t>
            </w:r>
            <w:r w:rsidR="000A5058"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: </w:t>
            </w:r>
            <w:r w:rsidR="000A5058" w:rsidRPr="00D75B32">
              <w:rPr>
                <w:lang w:val="lt-LT"/>
              </w:rPr>
              <w:t xml:space="preserve"> </w:t>
            </w:r>
            <w:r w:rsidR="000A5058"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https://www.lammc.lt/data/public/uploads/2025/06/d1_lammc-2025-veiklos-planas.pdf?utm_source=chatgpt.com</w:t>
            </w:r>
            <w:r w:rsidR="00C46806"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)</w:t>
            </w:r>
            <w:r w:rsidRPr="00D75B3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.</w:t>
            </w:r>
          </w:p>
        </w:tc>
      </w:tr>
      <w:tr w:rsidR="00681B24" w:rsidRPr="00CA4B72" w14:paraId="3CFE097B" w14:textId="21C3A8C0" w:rsidTr="00681B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75EEB" w14:textId="77777777" w:rsidR="00681B24" w:rsidRPr="00CA4B72" w:rsidRDefault="00681B24" w:rsidP="00681B24">
            <w:pPr>
              <w:pStyle w:val="Sraopastraipa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Vandenilis (H)</w:t>
            </w:r>
          </w:p>
        </w:tc>
        <w:tc>
          <w:tcPr>
            <w:tcW w:w="0" w:type="auto"/>
            <w:vAlign w:val="center"/>
            <w:hideMark/>
          </w:tcPr>
          <w:p w14:paraId="29910F20" w14:textId="77777777" w:rsidR="00681B24" w:rsidRPr="00CA4B72" w:rsidRDefault="00681B24" w:rsidP="00681B24">
            <w:pPr>
              <w:ind w:left="360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0,001–5 mg</w:t>
            </w:r>
          </w:p>
        </w:tc>
        <w:tc>
          <w:tcPr>
            <w:tcW w:w="0" w:type="auto"/>
            <w:vMerge/>
            <w:vAlign w:val="center"/>
          </w:tcPr>
          <w:p w14:paraId="6A2D935B" w14:textId="60AE106A" w:rsidR="00681B24" w:rsidRPr="00CA4B72" w:rsidRDefault="00681B24" w:rsidP="00681B2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</w:p>
        </w:tc>
      </w:tr>
      <w:tr w:rsidR="00681B24" w:rsidRPr="00CA4B72" w14:paraId="34B70572" w14:textId="717B0071" w:rsidTr="00681B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E78C4" w14:textId="77777777" w:rsidR="00681B24" w:rsidRPr="00CA4B72" w:rsidRDefault="00681B24" w:rsidP="00681B24">
            <w:pPr>
              <w:pStyle w:val="Sraopastraipa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Azotas (N)</w:t>
            </w:r>
          </w:p>
        </w:tc>
        <w:tc>
          <w:tcPr>
            <w:tcW w:w="0" w:type="auto"/>
            <w:vAlign w:val="center"/>
            <w:hideMark/>
          </w:tcPr>
          <w:p w14:paraId="3E2BE32D" w14:textId="77777777" w:rsidR="00681B24" w:rsidRPr="00CA4B72" w:rsidRDefault="00681B24" w:rsidP="00681B24">
            <w:pPr>
              <w:ind w:left="360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0,001–20 mg</w:t>
            </w:r>
          </w:p>
        </w:tc>
        <w:tc>
          <w:tcPr>
            <w:tcW w:w="0" w:type="auto"/>
            <w:vMerge/>
            <w:vAlign w:val="center"/>
          </w:tcPr>
          <w:p w14:paraId="16CCEEF5" w14:textId="441648F4" w:rsidR="00681B24" w:rsidRPr="00CA4B72" w:rsidRDefault="00681B24" w:rsidP="00681B2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</w:p>
        </w:tc>
      </w:tr>
      <w:tr w:rsidR="00681B24" w:rsidRPr="00CA4B72" w14:paraId="796D4D40" w14:textId="4EF7E2E0" w:rsidTr="00681B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58C6EB" w14:textId="77777777" w:rsidR="00681B24" w:rsidRPr="00CA4B72" w:rsidRDefault="00681B24" w:rsidP="00681B24">
            <w:pPr>
              <w:pStyle w:val="Sraopastraipa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Siera (S)</w:t>
            </w:r>
          </w:p>
        </w:tc>
        <w:tc>
          <w:tcPr>
            <w:tcW w:w="0" w:type="auto"/>
            <w:vAlign w:val="center"/>
            <w:hideMark/>
          </w:tcPr>
          <w:p w14:paraId="24D423C7" w14:textId="77777777" w:rsidR="00681B24" w:rsidRPr="00CA4B72" w:rsidRDefault="00681B24" w:rsidP="00681B24">
            <w:pPr>
              <w:ind w:left="360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0,01–6 mg</w:t>
            </w:r>
          </w:p>
        </w:tc>
        <w:tc>
          <w:tcPr>
            <w:tcW w:w="0" w:type="auto"/>
            <w:vMerge/>
            <w:vAlign w:val="center"/>
          </w:tcPr>
          <w:p w14:paraId="16C79C38" w14:textId="2C59678F" w:rsidR="00681B24" w:rsidRPr="00CA4B72" w:rsidRDefault="00681B24" w:rsidP="00681B2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</w:p>
        </w:tc>
      </w:tr>
      <w:tr w:rsidR="00681B24" w:rsidRPr="00CA4B72" w14:paraId="34C2FFE0" w14:textId="02C0D8F4" w:rsidTr="00681B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986C9" w14:textId="77777777" w:rsidR="00681B24" w:rsidRPr="00CA4B72" w:rsidRDefault="00681B24" w:rsidP="00681B24">
            <w:pPr>
              <w:pStyle w:val="Sraopastraipa"/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>Deguonis (O)</w:t>
            </w:r>
          </w:p>
        </w:tc>
        <w:tc>
          <w:tcPr>
            <w:tcW w:w="0" w:type="auto"/>
            <w:vAlign w:val="center"/>
            <w:hideMark/>
          </w:tcPr>
          <w:p w14:paraId="46F4B4A5" w14:textId="47B15C4A" w:rsidR="00681B24" w:rsidRPr="00CA4B72" w:rsidRDefault="00681B24" w:rsidP="00681B2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  <w:r w:rsidRPr="00CA4B72">
              <w:rPr>
                <w:rFonts w:asciiTheme="majorBidi" w:hAnsiTheme="majorBidi" w:cstheme="majorBidi"/>
                <w:sz w:val="22"/>
                <w:szCs w:val="22"/>
                <w:lang w:val="lt-LT"/>
              </w:rPr>
              <w:t xml:space="preserve">       0,005–6 mg</w:t>
            </w:r>
          </w:p>
        </w:tc>
        <w:tc>
          <w:tcPr>
            <w:tcW w:w="0" w:type="auto"/>
            <w:vMerge/>
            <w:vAlign w:val="center"/>
          </w:tcPr>
          <w:p w14:paraId="3B4FBC7E" w14:textId="5BD11DAC" w:rsidR="00681B24" w:rsidRPr="00CA4B72" w:rsidRDefault="00681B24" w:rsidP="00681B24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lt-LT"/>
              </w:rPr>
            </w:pPr>
          </w:p>
        </w:tc>
      </w:tr>
    </w:tbl>
    <w:p w14:paraId="612DEF64" w14:textId="2D17F08D" w:rsidR="00D20C1F" w:rsidRPr="00CA4B72" w:rsidRDefault="00D20C1F" w:rsidP="00D20C1F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</w:p>
    <w:p w14:paraId="1BF3FDF3" w14:textId="77777777" w:rsidR="00B27EF3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3.4. Analizatorius turi užtikrinti patikimus matavimo rezultatus visame tiekėjo deklaruojamame darbiniame diapazone.</w:t>
      </w:r>
    </w:p>
    <w:p w14:paraId="7FC46D18" w14:textId="1ACBEA9B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4. Analizės kokybė</w:t>
      </w:r>
    </w:p>
    <w:p w14:paraId="2D9A2868" w14:textId="77777777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4.1. Analizatoriaus matavimų pakartojamumas turi būti ne didesnis kaip</w:t>
      </w:r>
      <w:r w:rsidRPr="007A57BF">
        <w:rPr>
          <w:rFonts w:asciiTheme="majorBidi" w:hAnsiTheme="majorBidi" w:cstheme="majorBidi"/>
          <w:sz w:val="22"/>
          <w:szCs w:val="22"/>
          <w:lang w:val="lt-LT"/>
        </w:rPr>
        <w:t> 0,3 % RSD.</w:t>
      </w:r>
    </w:p>
    <w:p w14:paraId="0E0CECD5" w14:textId="77777777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4.2. Analizatorius turi užtikrinti stabilų rezultatų gavimą atliekant mažo ir didesnio elementų kiekio mėginių tyrimus.</w:t>
      </w:r>
    </w:p>
    <w:p w14:paraId="43D8CB75" w14:textId="31040C06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4.</w:t>
      </w:r>
      <w:r w:rsidR="000D754C">
        <w:rPr>
          <w:rFonts w:asciiTheme="majorBidi" w:hAnsiTheme="majorBidi" w:cstheme="majorBidi"/>
          <w:sz w:val="22"/>
          <w:szCs w:val="22"/>
          <w:lang w:val="lt-LT"/>
        </w:rPr>
        <w:t>3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. C, H, N, S ir O nustatymas turi būti atliekamas naudojant tiekėjo pasirinktą techninį sprendimą, jeigu jis užtikrina šioje specifikacijoje nustatytus analizės rezultatus.</w:t>
      </w:r>
    </w:p>
    <w:p w14:paraId="6F022C81" w14:textId="77777777" w:rsidR="00341510" w:rsidRPr="00CA4B72" w:rsidRDefault="00341510" w:rsidP="00B27EF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5. Dujų sistema</w:t>
      </w:r>
    </w:p>
    <w:p w14:paraId="41724B5F" w14:textId="77777777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5.1. Analizatoriaus dujų sistema turi užtikrinti stabilų ir patikimą analizės procesą.</w:t>
      </w:r>
    </w:p>
    <w:p w14:paraId="58C254C0" w14:textId="3A97B8C8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5.2. CHN analizei turi būti galima naudoti helį arba argoną kaip nešančiąsias dujas</w:t>
      </w:r>
      <w:r w:rsidR="00707B9D">
        <w:rPr>
          <w:rFonts w:asciiTheme="majorBidi" w:hAnsiTheme="majorBidi" w:cstheme="majorBidi"/>
          <w:sz w:val="22"/>
          <w:szCs w:val="22"/>
          <w:lang w:val="lt-LT"/>
        </w:rPr>
        <w:t xml:space="preserve">, kurių naudojimą lemia LAMMC </w:t>
      </w:r>
      <w:r w:rsidR="002708E0">
        <w:rPr>
          <w:rFonts w:asciiTheme="majorBidi" w:hAnsiTheme="majorBidi" w:cstheme="majorBidi"/>
          <w:sz w:val="22"/>
          <w:szCs w:val="22"/>
          <w:lang w:val="lt-LT"/>
        </w:rPr>
        <w:t xml:space="preserve">esanti </w:t>
      </w:r>
      <w:r w:rsidR="00707B9D">
        <w:rPr>
          <w:rFonts w:asciiTheme="majorBidi" w:hAnsiTheme="majorBidi" w:cstheme="majorBidi"/>
          <w:sz w:val="22"/>
          <w:szCs w:val="22"/>
          <w:lang w:val="lt-LT"/>
        </w:rPr>
        <w:t>infrastruktūra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323A3067" w14:textId="77777777" w:rsidR="00341510" w:rsidRPr="00CA4B72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5.3. Turi būti galima pasirinkti naudojamas nešančiąsias dujas pagal atliekamos analizės poreikį.</w:t>
      </w:r>
    </w:p>
    <w:p w14:paraId="7D5FB369" w14:textId="592507AA" w:rsidR="00341510" w:rsidRPr="0052582A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5.4. </w:t>
      </w:r>
      <w:r w:rsidR="0052582A" w:rsidRPr="00D75B32">
        <w:rPr>
          <w:rFonts w:asciiTheme="majorBidi" w:hAnsiTheme="majorBidi" w:cstheme="majorBidi"/>
          <w:sz w:val="22"/>
          <w:szCs w:val="22"/>
          <w:lang w:val="lt-LT"/>
        </w:rPr>
        <w:t>Analizatoriaus dujų sistema turi užtikrinti saugų ir patikimą įrangos darbą bei galimybę nustatyti dujų sistemos nesandarumą, siekiant išvengti analizės rezultatų nepatikimumo ir užtikrinti tinkamą įrangos eksploatavimą.</w:t>
      </w:r>
      <w:r w:rsidR="0052582A" w:rsidRPr="0052582A">
        <w:rPr>
          <w:rFonts w:asciiTheme="majorBidi" w:hAnsiTheme="majorBidi" w:cstheme="majorBidi"/>
          <w:sz w:val="22"/>
          <w:szCs w:val="22"/>
          <w:lang w:val="lt-LT"/>
        </w:rPr>
        <w:t xml:space="preserve"> </w:t>
      </w:r>
    </w:p>
    <w:p w14:paraId="1CFD3F23" w14:textId="5A0803F1" w:rsidR="00507D49" w:rsidRDefault="00341510" w:rsidP="00B27EF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5.5. </w:t>
      </w:r>
      <w:r w:rsidR="00507D49" w:rsidRPr="00D75B32">
        <w:rPr>
          <w:rFonts w:asciiTheme="majorBidi" w:hAnsiTheme="majorBidi" w:cstheme="majorBidi"/>
          <w:sz w:val="22"/>
          <w:szCs w:val="22"/>
          <w:lang w:val="lt-LT"/>
        </w:rPr>
        <w:t>Deguonies suvartojimas vienai CHNS analizei turi būti ne didesnis kaip 0,2 l, užtikrinantis racionalų deguonies naudojimą ir konkurencingą vienos analizės savikainą, atsižvelgiant į planuojamą didelę analizių apimtį.</w:t>
      </w:r>
    </w:p>
    <w:p w14:paraId="42E6C209" w14:textId="62D42D0C" w:rsidR="0052582A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lastRenderedPageBreak/>
        <w:t>5.6.</w:t>
      </w:r>
      <w:r w:rsidR="0052582A">
        <w:rPr>
          <w:rFonts w:asciiTheme="majorBidi" w:hAnsiTheme="majorBidi" w:cstheme="majorBidi"/>
          <w:sz w:val="22"/>
          <w:szCs w:val="22"/>
          <w:lang w:val="lt-LT"/>
        </w:rPr>
        <w:t xml:space="preserve"> </w:t>
      </w:r>
      <w:r w:rsidR="0052582A" w:rsidRPr="00D75B32">
        <w:rPr>
          <w:rFonts w:asciiTheme="majorBidi" w:hAnsiTheme="majorBidi" w:cstheme="majorBidi"/>
          <w:sz w:val="22"/>
          <w:szCs w:val="22"/>
          <w:lang w:val="lt-LT"/>
        </w:rPr>
        <w:t>Nešančiųjų dujų suvartojimas turi būti ne didesnis kaip 150 ml/min, tačiau turi užtikrinti stabilų ir patikimą analizės procesą, nustatytų elementų analizės tikslumą ir pakartojamumą bei racionalų dujų išteklių naudojimą, atsižvelgiant į planuojamą nuolatinį ir automatizuotą laboratorijos darbą.</w:t>
      </w:r>
    </w:p>
    <w:p w14:paraId="59ECFA12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6. Automatizavimas ir programinė įranga</w:t>
      </w:r>
    </w:p>
    <w:p w14:paraId="73427CCC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6.1. Analizatorius turi būti valdomas programine įranga, skirta analizės procesui valdyti, matavimo duomenims rinkti ir rezultatams apdoroti.</w:t>
      </w:r>
    </w:p>
    <w:p w14:paraId="58BA8C67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6.2. Programinė įranga turi sudaryti galimybę:</w:t>
      </w:r>
    </w:p>
    <w:p w14:paraId="07A933A6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parinkti ir pradėti analizės metodą;</w:t>
      </w:r>
    </w:p>
    <w:p w14:paraId="012F0DD2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valdyti mėginių analizės seką;</w:t>
      </w:r>
    </w:p>
    <w:p w14:paraId="0531F2B5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registruoti ir išsaugoti matavimo rezultatus;</w:t>
      </w:r>
    </w:p>
    <w:p w14:paraId="6838ACD2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apdoroti analizės duomenis;</w:t>
      </w:r>
    </w:p>
    <w:p w14:paraId="614AD9EC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peržiūrėti ankstesnių analizių rezultatus;</w:t>
      </w:r>
    </w:p>
    <w:p w14:paraId="0F972753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generuoti tyrimų ataskaitas.</w:t>
      </w:r>
    </w:p>
    <w:p w14:paraId="34CC66E8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6.3. Turi būti galimybė nuotoliniu būdu stebėti pagrindinius analizatoriaus veikimo parametrus ir, esant poreikiui, suteikti nuotolinę prieigą techninei pagalbai.</w:t>
      </w:r>
    </w:p>
    <w:p w14:paraId="20949E43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6.4. Analizatoriaus valdymui ir duomenų apdorojimui turi būti tiekiamas suderinamas asmeninis kompiuteris.</w:t>
      </w:r>
    </w:p>
    <w:p w14:paraId="00882ADD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6.5. Kompiuteryje turi būti įdiegta analizatoriaus valdymui ir duomenų apdorojimui reikalinga programinė įranga.</w:t>
      </w:r>
    </w:p>
    <w:p w14:paraId="02E10E72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7. Eksploatacinės sąlygos ir ištekliai</w:t>
      </w:r>
    </w:p>
    <w:p w14:paraId="0EF3DAB3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7.1. Kartu su analizatoriumi turi būti pateiktos eksploatacinės medžiagos, kurių pakaktų ne mažiau kaip </w:t>
      </w:r>
      <w:r w:rsidRPr="00880CA4">
        <w:rPr>
          <w:rFonts w:asciiTheme="majorBidi" w:hAnsiTheme="majorBidi" w:cstheme="majorBidi"/>
          <w:sz w:val="22"/>
          <w:szCs w:val="22"/>
          <w:lang w:val="lt-LT"/>
        </w:rPr>
        <w:t>5000 CHNS mėginių analizei.</w:t>
      </w:r>
    </w:p>
    <w:p w14:paraId="3C19B53E" w14:textId="190E5A44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7.2. Eksploatacinių medžiagų kiekis nustatytas atsižvelgiant į planuojamą analizės apimtį – </w:t>
      </w:r>
      <w:r w:rsidR="00880CA4">
        <w:rPr>
          <w:rFonts w:asciiTheme="majorBidi" w:hAnsiTheme="majorBidi" w:cstheme="majorBidi"/>
          <w:sz w:val="22"/>
          <w:szCs w:val="22"/>
          <w:lang w:val="lt-LT"/>
        </w:rPr>
        <w:t xml:space="preserve">atliekant 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ne mažiau kaip 2500 analitinių matavimų per metus dvejų metų </w:t>
      </w:r>
      <w:r w:rsidR="00880CA4">
        <w:rPr>
          <w:rFonts w:asciiTheme="majorBidi" w:hAnsiTheme="majorBidi" w:cstheme="majorBidi"/>
          <w:sz w:val="22"/>
          <w:szCs w:val="22"/>
          <w:lang w:val="lt-LT"/>
        </w:rPr>
        <w:t xml:space="preserve">garantiniu 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laikotarpiu.</w:t>
      </w:r>
    </w:p>
    <w:p w14:paraId="414ADD28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7.3. Analizatorius turi būti tinkamas nuolatiniam laboratoriniam darbui ir automatizuotam mėginių tyrimui.</w:t>
      </w:r>
    </w:p>
    <w:p w14:paraId="70133094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8. Temperatūros ir energijos reikalavimai</w:t>
      </w:r>
    </w:p>
    <w:p w14:paraId="5EEBDA4A" w14:textId="77777777" w:rsidR="00880CA4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8.1. Didžiausia analizatoriaus suvartojama elektrinė galia turi būti ne didesnė kaip </w:t>
      </w:r>
      <w:r w:rsidRPr="00880CA4">
        <w:rPr>
          <w:rFonts w:asciiTheme="majorBidi" w:hAnsiTheme="majorBidi" w:cstheme="majorBidi"/>
          <w:sz w:val="22"/>
          <w:szCs w:val="22"/>
          <w:lang w:val="lt-LT"/>
        </w:rPr>
        <w:t>700 W.</w:t>
      </w:r>
    </w:p>
    <w:p w14:paraId="2733DB58" w14:textId="3EAD80C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8.2. Šis reikalavimas nustatomas atsižvelgiant į analizatoriui numatytos darbo vietos elektros instaliacijos technines galimybes ir leistiną elektros apkrovą, kai toje pačioje darbo vietoje </w:t>
      </w:r>
      <w:r w:rsidR="004826E2">
        <w:rPr>
          <w:rFonts w:asciiTheme="majorBidi" w:hAnsiTheme="majorBidi" w:cstheme="majorBidi"/>
          <w:sz w:val="22"/>
          <w:szCs w:val="22"/>
          <w:lang w:val="lt-LT"/>
        </w:rPr>
        <w:t xml:space="preserve">tuo pačiu metu 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>naudojama ir kita laboratorinė</w:t>
      </w:r>
      <w:r w:rsidR="004826E2">
        <w:rPr>
          <w:rFonts w:asciiTheme="majorBidi" w:hAnsiTheme="majorBidi" w:cstheme="majorBidi"/>
          <w:sz w:val="22"/>
          <w:szCs w:val="22"/>
          <w:lang w:val="lt-LT"/>
        </w:rPr>
        <w:t xml:space="preserve"> instrumentinė</w:t>
      </w: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 įranga.</w:t>
      </w:r>
      <w:r w:rsidR="00141E83" w:rsidRPr="00D75B32">
        <w:rPr>
          <w:lang w:val="lt-LT"/>
        </w:rPr>
        <w:t xml:space="preserve"> </w:t>
      </w:r>
      <w:r w:rsidR="00141E83" w:rsidRPr="00141E83">
        <w:rPr>
          <w:rFonts w:asciiTheme="majorBidi" w:hAnsiTheme="majorBidi" w:cstheme="majorBidi"/>
          <w:sz w:val="22"/>
          <w:szCs w:val="22"/>
          <w:lang w:val="lt-LT"/>
        </w:rPr>
        <w:t>Laboratorijoje analizatoriui numatytoje darbo vietoje esamos elektros instaliacijos techninės charakteristikos riboja leistiną įrenginio elektrinę galią, todėl nustatyta ne didesnė kaip 700 W maksimali suvartojama galia</w:t>
      </w:r>
      <w:r w:rsidR="00141E83">
        <w:rPr>
          <w:rFonts w:asciiTheme="majorBidi" w:hAnsiTheme="majorBidi" w:cstheme="majorBidi"/>
          <w:sz w:val="22"/>
          <w:szCs w:val="22"/>
          <w:lang w:val="lt-LT"/>
        </w:rPr>
        <w:t>.</w:t>
      </w:r>
    </w:p>
    <w:p w14:paraId="0B72937E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9. Įrangos matmenys</w:t>
      </w:r>
    </w:p>
    <w:p w14:paraId="4590F80E" w14:textId="77777777" w:rsidR="00341510" w:rsidRPr="004826E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9.1. Analizatoriaus plotis turi būti ne didesnis </w:t>
      </w:r>
      <w:r w:rsidRPr="004826E2">
        <w:rPr>
          <w:rFonts w:asciiTheme="majorBidi" w:hAnsiTheme="majorBidi" w:cstheme="majorBidi"/>
          <w:sz w:val="22"/>
          <w:szCs w:val="22"/>
          <w:lang w:val="lt-LT"/>
        </w:rPr>
        <w:t>kaip 55 cm.</w:t>
      </w:r>
    </w:p>
    <w:p w14:paraId="6588FC2A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9.2. Analizatoriaus gylis turi būti ne didesnis kaip </w:t>
      </w:r>
      <w:r w:rsidRPr="004826E2">
        <w:rPr>
          <w:rFonts w:asciiTheme="majorBidi" w:hAnsiTheme="majorBidi" w:cstheme="majorBidi"/>
          <w:sz w:val="22"/>
          <w:szCs w:val="22"/>
          <w:lang w:val="lt-LT"/>
        </w:rPr>
        <w:t>60 cm.</w:t>
      </w:r>
    </w:p>
    <w:p w14:paraId="533EB13F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lastRenderedPageBreak/>
        <w:t>9.3. Matmenų reikalavimas nustatytas atsižvelgiant į analizatoriui numatytą vietą ant esamo stacionaraus laboratorinio stalo.</w:t>
      </w:r>
    </w:p>
    <w:p w14:paraId="27229D7F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10. Komplektacija</w:t>
      </w:r>
    </w:p>
    <w:p w14:paraId="7600E248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10.1. Analizatorius turi būti pateikiamas visiškai paruoštas darbui.</w:t>
      </w:r>
    </w:p>
    <w:p w14:paraId="1AF5D97F" w14:textId="77777777" w:rsidR="00341510" w:rsidRPr="00CA4B72" w:rsidRDefault="00341510" w:rsidP="00DF1B73">
      <w:p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10.2. Į komplektaciją turi įeiti:</w:t>
      </w:r>
    </w:p>
    <w:p w14:paraId="64A5A1FE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analizatorius;</w:t>
      </w:r>
    </w:p>
    <w:p w14:paraId="41448AB4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automatinis mėginių </w:t>
      </w:r>
      <w:proofErr w:type="spellStart"/>
      <w:r w:rsidRPr="00CA4B72">
        <w:rPr>
          <w:rFonts w:asciiTheme="majorBidi" w:hAnsiTheme="majorBidi" w:cstheme="majorBidi"/>
          <w:sz w:val="22"/>
          <w:szCs w:val="22"/>
          <w:lang w:val="lt-LT"/>
        </w:rPr>
        <w:t>ėmiklis</w:t>
      </w:r>
      <w:proofErr w:type="spellEnd"/>
      <w:r w:rsidRPr="00CA4B72">
        <w:rPr>
          <w:rFonts w:asciiTheme="majorBidi" w:hAnsiTheme="majorBidi" w:cstheme="majorBidi"/>
          <w:sz w:val="22"/>
          <w:szCs w:val="22"/>
          <w:lang w:val="lt-LT"/>
        </w:rPr>
        <w:t>;</w:t>
      </w:r>
    </w:p>
    <w:p w14:paraId="7D89F7C6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analizatoriaus valdymui reikalingas asmeninis kompiuteris;</w:t>
      </w:r>
    </w:p>
    <w:p w14:paraId="30F365B6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monitorius;</w:t>
      </w:r>
    </w:p>
    <w:p w14:paraId="0491B77C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analizatoriaus valdymo ir duomenų apdorojimo programinė įranga;</w:t>
      </w:r>
    </w:p>
    <w:p w14:paraId="6538C4A5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spausdintuvas;</w:t>
      </w:r>
    </w:p>
    <w:p w14:paraId="4DDCDB69" w14:textId="77777777" w:rsidR="00341510" w:rsidRPr="00CA4B72" w:rsidRDefault="00341510" w:rsidP="00341510">
      <w:pPr>
        <w:pStyle w:val="Sraopastraipa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pradinei eksploatacijai reikalingos eksploatacinės medžiagos, atitinkančios šios specifikacijos reikalavimus.</w:t>
      </w:r>
    </w:p>
    <w:p w14:paraId="704C4DE8" w14:textId="77777777" w:rsidR="00FD1DC9" w:rsidRDefault="00341510" w:rsidP="00FD1DC9">
      <w:pPr>
        <w:ind w:left="360"/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10.3. Visa į komplektaciją įeinanti įranga turi būti tarpusavyje suderinta ir sudaryti vieną darbui parengtą analizės sistemą.</w:t>
      </w:r>
    </w:p>
    <w:p w14:paraId="21F7FFE7" w14:textId="2CB47135" w:rsidR="00FD1DC9" w:rsidRPr="00CA4B72" w:rsidRDefault="00FD1DC9" w:rsidP="00FD1DC9">
      <w:pPr>
        <w:ind w:left="360"/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D75B32">
        <w:rPr>
          <w:rFonts w:asciiTheme="majorBidi" w:hAnsiTheme="majorBidi" w:cstheme="majorBidi"/>
          <w:sz w:val="22"/>
          <w:szCs w:val="22"/>
          <w:lang w:val="lt-LT"/>
        </w:rPr>
        <w:t>10.4</w:t>
      </w:r>
      <w:r w:rsidRPr="00D75B32">
        <w:rPr>
          <w:rFonts w:asciiTheme="majorBidi" w:hAnsiTheme="majorBidi" w:cstheme="majorBidi"/>
          <w:b/>
          <w:bCs/>
          <w:sz w:val="22"/>
          <w:szCs w:val="22"/>
          <w:lang w:val="lt-LT"/>
        </w:rPr>
        <w:t xml:space="preserve"> </w:t>
      </w:r>
      <w:r w:rsidRPr="00D75B32">
        <w:rPr>
          <w:rFonts w:asciiTheme="majorBidi" w:hAnsiTheme="majorBidi" w:cstheme="majorBidi"/>
          <w:sz w:val="22"/>
          <w:szCs w:val="22"/>
          <w:lang w:val="lt-LT"/>
        </w:rPr>
        <w:t>Kompiuteris ir monitorius reikalingi analizatoriaus valdymui ir duomenų apdorojimui, o spausdintuvas – laboratorinių tyrimų rezultatams ir su analize susijusiems dokumentams spausdinti bei archyvuoti. Ši įranga perkama kartu siekiant įsigyti pilnai sukomplektuotą ir darbui parengtą analizatoriaus darbo vietą.</w:t>
      </w:r>
    </w:p>
    <w:p w14:paraId="49F47042" w14:textId="77777777" w:rsidR="00341510" w:rsidRPr="00CA4B72" w:rsidRDefault="00341510" w:rsidP="00DF1B73">
      <w:pPr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b/>
          <w:bCs/>
          <w:sz w:val="22"/>
          <w:szCs w:val="22"/>
          <w:lang w:val="lt-LT"/>
        </w:rPr>
        <w:t>11. Technologinis neutralumas</w:t>
      </w:r>
    </w:p>
    <w:p w14:paraId="418377A2" w14:textId="77777777" w:rsidR="00341510" w:rsidRPr="00CA4B72" w:rsidRDefault="00341510" w:rsidP="00C16C46">
      <w:pPr>
        <w:pStyle w:val="Sraopastraipa"/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11.1. Analizatoriaus konstrukcija, </w:t>
      </w:r>
      <w:proofErr w:type="spellStart"/>
      <w:r w:rsidRPr="00CA4B72">
        <w:rPr>
          <w:rFonts w:asciiTheme="majorBidi" w:hAnsiTheme="majorBidi" w:cstheme="majorBidi"/>
          <w:sz w:val="22"/>
          <w:szCs w:val="22"/>
          <w:lang w:val="lt-LT"/>
        </w:rPr>
        <w:t>detektavimo</w:t>
      </w:r>
      <w:proofErr w:type="spellEnd"/>
      <w:r w:rsidRPr="00CA4B72">
        <w:rPr>
          <w:rFonts w:asciiTheme="majorBidi" w:hAnsiTheme="majorBidi" w:cstheme="majorBidi"/>
          <w:sz w:val="22"/>
          <w:szCs w:val="22"/>
          <w:lang w:val="lt-LT"/>
        </w:rPr>
        <w:t xml:space="preserve"> būdas, naudojami techniniai sprendimai ir jų tarpusavio išdėstymas nėra iš anksto ribojami, jeigu siūlomas įrenginys užtikrina visus šioje specifikacijoje nustatytus funkcinius, analitinius, našumo ir eksploatacinius reikalavimus.</w:t>
      </w:r>
    </w:p>
    <w:p w14:paraId="6B914BA7" w14:textId="77777777" w:rsidR="00341510" w:rsidRPr="00CA4B72" w:rsidRDefault="00341510" w:rsidP="00C16C46">
      <w:pPr>
        <w:pStyle w:val="Sraopastraipa"/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11.2. Tiekėjas gali pasirinkti techninį sprendimą, kuriuo užtikrinamas nustatytų elementų analizės tikslumas, pakartojamumas, analizės trukmė ir kiti specifikacijoje nustatyti parametrai.</w:t>
      </w:r>
    </w:p>
    <w:p w14:paraId="401042A6" w14:textId="77777777" w:rsidR="00341510" w:rsidRPr="00CA4B72" w:rsidRDefault="00341510" w:rsidP="00C16C46">
      <w:pPr>
        <w:pStyle w:val="Sraopastraipa"/>
        <w:jc w:val="both"/>
        <w:rPr>
          <w:rFonts w:asciiTheme="majorBidi" w:hAnsiTheme="majorBidi" w:cstheme="majorBidi"/>
          <w:sz w:val="22"/>
          <w:szCs w:val="22"/>
          <w:lang w:val="lt-LT"/>
        </w:rPr>
      </w:pPr>
      <w:r w:rsidRPr="00CA4B72">
        <w:rPr>
          <w:rFonts w:asciiTheme="majorBidi" w:hAnsiTheme="majorBidi" w:cstheme="majorBidi"/>
          <w:sz w:val="22"/>
          <w:szCs w:val="22"/>
          <w:lang w:val="lt-LT"/>
        </w:rPr>
        <w:t>11.3. Atskirų techninių parametrų atitiktis turi būti pagrįsta gamintojo techniniais dokumentais arba kitais lygiaverčiais dokumentais.</w:t>
      </w:r>
    </w:p>
    <w:p w14:paraId="392DD571" w14:textId="77777777" w:rsidR="00DF1B73" w:rsidRPr="00CA4B72" w:rsidRDefault="00DF1B73" w:rsidP="00EB73A1">
      <w:pPr>
        <w:pStyle w:val="Sraopastraipa"/>
        <w:jc w:val="both"/>
        <w:rPr>
          <w:rFonts w:asciiTheme="majorBidi" w:hAnsiTheme="majorBidi" w:cstheme="majorBidi"/>
          <w:b/>
          <w:bCs/>
          <w:sz w:val="22"/>
          <w:szCs w:val="22"/>
          <w:lang w:val="lt-LT"/>
        </w:rPr>
      </w:pPr>
    </w:p>
    <w:p w14:paraId="2C3541E1" w14:textId="21966F1A" w:rsidR="001232B8" w:rsidRPr="00CA4B72" w:rsidRDefault="001232B8" w:rsidP="00EB73A1">
      <w:pPr>
        <w:pStyle w:val="Sraopastraipa"/>
        <w:jc w:val="both"/>
        <w:rPr>
          <w:rFonts w:asciiTheme="majorBidi" w:hAnsiTheme="majorBidi" w:cstheme="majorBidi"/>
          <w:sz w:val="22"/>
          <w:szCs w:val="22"/>
          <w:lang w:val="lt-LT"/>
        </w:rPr>
      </w:pPr>
    </w:p>
    <w:sectPr w:rsidR="001232B8" w:rsidRPr="00CA4B72" w:rsidSect="00D75B32">
      <w:pgSz w:w="12240" w:h="15840"/>
      <w:pgMar w:top="1418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EF9E7" w14:textId="77777777" w:rsidR="00273A7E" w:rsidRDefault="00273A7E" w:rsidP="000E5315">
      <w:pPr>
        <w:spacing w:after="0" w:line="240" w:lineRule="auto"/>
      </w:pPr>
      <w:r>
        <w:separator/>
      </w:r>
    </w:p>
  </w:endnote>
  <w:endnote w:type="continuationSeparator" w:id="0">
    <w:p w14:paraId="0E0C99E3" w14:textId="77777777" w:rsidR="00273A7E" w:rsidRDefault="00273A7E" w:rsidP="000E5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B21BC" w14:textId="77777777" w:rsidR="00273A7E" w:rsidRDefault="00273A7E" w:rsidP="000E5315">
      <w:pPr>
        <w:spacing w:after="0" w:line="240" w:lineRule="auto"/>
      </w:pPr>
      <w:r>
        <w:separator/>
      </w:r>
    </w:p>
  </w:footnote>
  <w:footnote w:type="continuationSeparator" w:id="0">
    <w:p w14:paraId="0B59ABFD" w14:textId="77777777" w:rsidR="00273A7E" w:rsidRDefault="00273A7E" w:rsidP="000E5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57B77"/>
    <w:multiLevelType w:val="multilevel"/>
    <w:tmpl w:val="C5E0A88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C945FC4"/>
    <w:multiLevelType w:val="multilevel"/>
    <w:tmpl w:val="417C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F5132"/>
    <w:multiLevelType w:val="multilevel"/>
    <w:tmpl w:val="49C4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606071"/>
    <w:multiLevelType w:val="hybridMultilevel"/>
    <w:tmpl w:val="C41C1AFC"/>
    <w:lvl w:ilvl="0" w:tplc="8ECCAC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66762"/>
    <w:multiLevelType w:val="hybridMultilevel"/>
    <w:tmpl w:val="9A1A4936"/>
    <w:lvl w:ilvl="0" w:tplc="F93408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834626"/>
    <w:multiLevelType w:val="multilevel"/>
    <w:tmpl w:val="DD12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757453">
    <w:abstractNumId w:val="4"/>
  </w:num>
  <w:num w:numId="2" w16cid:durableId="1360666332">
    <w:abstractNumId w:val="0"/>
  </w:num>
  <w:num w:numId="3" w16cid:durableId="856895248">
    <w:abstractNumId w:val="3"/>
  </w:num>
  <w:num w:numId="4" w16cid:durableId="2010330704">
    <w:abstractNumId w:val="5"/>
  </w:num>
  <w:num w:numId="5" w16cid:durableId="1056585088">
    <w:abstractNumId w:val="1"/>
  </w:num>
  <w:num w:numId="6" w16cid:durableId="699015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D8"/>
    <w:rsid w:val="0002055D"/>
    <w:rsid w:val="00021FE1"/>
    <w:rsid w:val="00053F36"/>
    <w:rsid w:val="00055721"/>
    <w:rsid w:val="00080EB6"/>
    <w:rsid w:val="00092F12"/>
    <w:rsid w:val="000A373A"/>
    <w:rsid w:val="000A5058"/>
    <w:rsid w:val="000A55E7"/>
    <w:rsid w:val="000B664F"/>
    <w:rsid w:val="000D754C"/>
    <w:rsid w:val="000E07AB"/>
    <w:rsid w:val="000E249C"/>
    <w:rsid w:val="000E5315"/>
    <w:rsid w:val="000E69EB"/>
    <w:rsid w:val="00110B88"/>
    <w:rsid w:val="001232B8"/>
    <w:rsid w:val="00141D2D"/>
    <w:rsid w:val="00141E83"/>
    <w:rsid w:val="001605AF"/>
    <w:rsid w:val="001A0521"/>
    <w:rsid w:val="001A2F14"/>
    <w:rsid w:val="001A5D40"/>
    <w:rsid w:val="001B5F97"/>
    <w:rsid w:val="001C5360"/>
    <w:rsid w:val="001C71BB"/>
    <w:rsid w:val="001D2272"/>
    <w:rsid w:val="001D631C"/>
    <w:rsid w:val="002021AC"/>
    <w:rsid w:val="00206A0B"/>
    <w:rsid w:val="00211C0A"/>
    <w:rsid w:val="002429A5"/>
    <w:rsid w:val="00244531"/>
    <w:rsid w:val="00266674"/>
    <w:rsid w:val="002708E0"/>
    <w:rsid w:val="00273A7E"/>
    <w:rsid w:val="00283EF4"/>
    <w:rsid w:val="002949BB"/>
    <w:rsid w:val="002D59E8"/>
    <w:rsid w:val="002D5EC1"/>
    <w:rsid w:val="002E4D30"/>
    <w:rsid w:val="002E58EC"/>
    <w:rsid w:val="002F6237"/>
    <w:rsid w:val="002F6FEC"/>
    <w:rsid w:val="00302819"/>
    <w:rsid w:val="00306675"/>
    <w:rsid w:val="00306E95"/>
    <w:rsid w:val="00315054"/>
    <w:rsid w:val="00341510"/>
    <w:rsid w:val="00344E3D"/>
    <w:rsid w:val="003569CB"/>
    <w:rsid w:val="003800FD"/>
    <w:rsid w:val="00380AB1"/>
    <w:rsid w:val="00386C74"/>
    <w:rsid w:val="003B36CC"/>
    <w:rsid w:val="003C30A7"/>
    <w:rsid w:val="003C6FD8"/>
    <w:rsid w:val="003D704E"/>
    <w:rsid w:val="00402D4E"/>
    <w:rsid w:val="00403842"/>
    <w:rsid w:val="00403C3B"/>
    <w:rsid w:val="00427568"/>
    <w:rsid w:val="004454E9"/>
    <w:rsid w:val="004475A4"/>
    <w:rsid w:val="004826E2"/>
    <w:rsid w:val="004967A4"/>
    <w:rsid w:val="004A245A"/>
    <w:rsid w:val="004A256D"/>
    <w:rsid w:val="004A4B9C"/>
    <w:rsid w:val="004B6D42"/>
    <w:rsid w:val="004C1947"/>
    <w:rsid w:val="004C7A47"/>
    <w:rsid w:val="004F7B13"/>
    <w:rsid w:val="0050367F"/>
    <w:rsid w:val="005069D1"/>
    <w:rsid w:val="00507D49"/>
    <w:rsid w:val="00523072"/>
    <w:rsid w:val="0052582A"/>
    <w:rsid w:val="005277B4"/>
    <w:rsid w:val="00534D15"/>
    <w:rsid w:val="005425B5"/>
    <w:rsid w:val="005509CD"/>
    <w:rsid w:val="0055121C"/>
    <w:rsid w:val="00581BDC"/>
    <w:rsid w:val="005850D0"/>
    <w:rsid w:val="005C24F0"/>
    <w:rsid w:val="005D12B4"/>
    <w:rsid w:val="005D1FEB"/>
    <w:rsid w:val="005E5DE6"/>
    <w:rsid w:val="005E64E6"/>
    <w:rsid w:val="005F1B86"/>
    <w:rsid w:val="005F4E4D"/>
    <w:rsid w:val="00614D51"/>
    <w:rsid w:val="006335D6"/>
    <w:rsid w:val="00642900"/>
    <w:rsid w:val="006473BA"/>
    <w:rsid w:val="00654682"/>
    <w:rsid w:val="0066135F"/>
    <w:rsid w:val="0066598B"/>
    <w:rsid w:val="00681B24"/>
    <w:rsid w:val="00681D6B"/>
    <w:rsid w:val="006A0E49"/>
    <w:rsid w:val="006A15E4"/>
    <w:rsid w:val="006A701C"/>
    <w:rsid w:val="006B1F0B"/>
    <w:rsid w:val="006B6597"/>
    <w:rsid w:val="006C2A62"/>
    <w:rsid w:val="006F0FA5"/>
    <w:rsid w:val="006F54D3"/>
    <w:rsid w:val="006F5866"/>
    <w:rsid w:val="006F7E9F"/>
    <w:rsid w:val="00702C4C"/>
    <w:rsid w:val="00707B9D"/>
    <w:rsid w:val="00712F50"/>
    <w:rsid w:val="007164C3"/>
    <w:rsid w:val="0072508C"/>
    <w:rsid w:val="007378A1"/>
    <w:rsid w:val="00742F2E"/>
    <w:rsid w:val="00743A52"/>
    <w:rsid w:val="0074640C"/>
    <w:rsid w:val="00747238"/>
    <w:rsid w:val="00770FA8"/>
    <w:rsid w:val="00771211"/>
    <w:rsid w:val="00772A0C"/>
    <w:rsid w:val="007A57BF"/>
    <w:rsid w:val="007A6701"/>
    <w:rsid w:val="007B5D2C"/>
    <w:rsid w:val="007D38DD"/>
    <w:rsid w:val="007D79AF"/>
    <w:rsid w:val="0084392B"/>
    <w:rsid w:val="0084528F"/>
    <w:rsid w:val="00851132"/>
    <w:rsid w:val="00865DFD"/>
    <w:rsid w:val="00873D49"/>
    <w:rsid w:val="00880CA4"/>
    <w:rsid w:val="008977B7"/>
    <w:rsid w:val="008C65F5"/>
    <w:rsid w:val="008E49BF"/>
    <w:rsid w:val="008E52EC"/>
    <w:rsid w:val="009074D6"/>
    <w:rsid w:val="00910255"/>
    <w:rsid w:val="00931089"/>
    <w:rsid w:val="009403ED"/>
    <w:rsid w:val="009462B9"/>
    <w:rsid w:val="009607CC"/>
    <w:rsid w:val="00961E36"/>
    <w:rsid w:val="009861D8"/>
    <w:rsid w:val="009C464D"/>
    <w:rsid w:val="009C4C0F"/>
    <w:rsid w:val="009C6B90"/>
    <w:rsid w:val="009D08F0"/>
    <w:rsid w:val="00A05605"/>
    <w:rsid w:val="00A4496D"/>
    <w:rsid w:val="00A75778"/>
    <w:rsid w:val="00A77DCC"/>
    <w:rsid w:val="00A83D50"/>
    <w:rsid w:val="00AA501D"/>
    <w:rsid w:val="00AC55FA"/>
    <w:rsid w:val="00AE1CBE"/>
    <w:rsid w:val="00B0267D"/>
    <w:rsid w:val="00B27EF3"/>
    <w:rsid w:val="00B32BAD"/>
    <w:rsid w:val="00B7709F"/>
    <w:rsid w:val="00BA412B"/>
    <w:rsid w:val="00BA547A"/>
    <w:rsid w:val="00BD4801"/>
    <w:rsid w:val="00BD58FB"/>
    <w:rsid w:val="00BF02E9"/>
    <w:rsid w:val="00C04296"/>
    <w:rsid w:val="00C11C22"/>
    <w:rsid w:val="00C16C46"/>
    <w:rsid w:val="00C46806"/>
    <w:rsid w:val="00C52E65"/>
    <w:rsid w:val="00C77021"/>
    <w:rsid w:val="00C93313"/>
    <w:rsid w:val="00C96F10"/>
    <w:rsid w:val="00C978DD"/>
    <w:rsid w:val="00CA4B72"/>
    <w:rsid w:val="00CB2C96"/>
    <w:rsid w:val="00CD2AC0"/>
    <w:rsid w:val="00D07432"/>
    <w:rsid w:val="00D1325F"/>
    <w:rsid w:val="00D20C1F"/>
    <w:rsid w:val="00D54A33"/>
    <w:rsid w:val="00D714C3"/>
    <w:rsid w:val="00D72EB1"/>
    <w:rsid w:val="00D75B32"/>
    <w:rsid w:val="00D902D9"/>
    <w:rsid w:val="00DA6E42"/>
    <w:rsid w:val="00DB5D60"/>
    <w:rsid w:val="00DF1B73"/>
    <w:rsid w:val="00E04096"/>
    <w:rsid w:val="00E10FC2"/>
    <w:rsid w:val="00E13A32"/>
    <w:rsid w:val="00E217F6"/>
    <w:rsid w:val="00E22B1E"/>
    <w:rsid w:val="00E409D9"/>
    <w:rsid w:val="00E410C1"/>
    <w:rsid w:val="00E47963"/>
    <w:rsid w:val="00E53D17"/>
    <w:rsid w:val="00E6657E"/>
    <w:rsid w:val="00E804BA"/>
    <w:rsid w:val="00E90D8E"/>
    <w:rsid w:val="00E949B4"/>
    <w:rsid w:val="00EB73A1"/>
    <w:rsid w:val="00F0776F"/>
    <w:rsid w:val="00F07FA3"/>
    <w:rsid w:val="00F14DC7"/>
    <w:rsid w:val="00F220C0"/>
    <w:rsid w:val="00F54B03"/>
    <w:rsid w:val="00F6181A"/>
    <w:rsid w:val="00F86806"/>
    <w:rsid w:val="00F94352"/>
    <w:rsid w:val="00FB03B7"/>
    <w:rsid w:val="00FB1A86"/>
    <w:rsid w:val="00FB514F"/>
    <w:rsid w:val="00FC04D4"/>
    <w:rsid w:val="00FC69D2"/>
    <w:rsid w:val="00FD1DC9"/>
    <w:rsid w:val="00FE4CB4"/>
    <w:rsid w:val="00FE7EB9"/>
    <w:rsid w:val="00FF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4763"/>
  <w15:chartTrackingRefBased/>
  <w15:docId w15:val="{67D1040D-9903-478A-A173-26505E47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86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86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86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86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86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86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86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86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86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86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86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861D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861D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861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861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861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861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8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8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86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86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8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861D8"/>
    <w:rPr>
      <w:i/>
      <w:iCs/>
      <w:color w:val="404040" w:themeColor="text1" w:themeTint="BF"/>
    </w:rPr>
  </w:style>
  <w:style w:type="paragraph" w:styleId="Sraopastraipa">
    <w:name w:val="List Paragraph"/>
    <w:basedOn w:val="prastasis"/>
    <w:qFormat/>
    <w:rsid w:val="009861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861D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86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861D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861D8"/>
    <w:rPr>
      <w:b/>
      <w:bCs/>
      <w:smallCaps/>
      <w:color w:val="0F4761" w:themeColor="accent1" w:themeShade="BF"/>
      <w:spacing w:val="5"/>
    </w:rPr>
  </w:style>
  <w:style w:type="numbering" w:customStyle="1" w:styleId="WWNum8">
    <w:name w:val="WWNum8"/>
    <w:basedOn w:val="Sraonra"/>
    <w:rsid w:val="00A83D50"/>
    <w:pPr>
      <w:numPr>
        <w:numId w:val="2"/>
      </w:numPr>
    </w:pPr>
  </w:style>
  <w:style w:type="paragraph" w:styleId="Betarp">
    <w:name w:val="No Spacing"/>
    <w:uiPriority w:val="1"/>
    <w:qFormat/>
    <w:rsid w:val="00A83D50"/>
    <w:pPr>
      <w:spacing w:after="0" w:line="240" w:lineRule="auto"/>
    </w:pPr>
  </w:style>
  <w:style w:type="paragraph" w:styleId="prastasiniatinklio">
    <w:name w:val="Normal (Web)"/>
    <w:basedOn w:val="prastasis"/>
    <w:uiPriority w:val="99"/>
    <w:semiHidden/>
    <w:unhideWhenUsed/>
    <w:rsid w:val="00266674"/>
    <w:rPr>
      <w:rFonts w:ascii="Times New Roman" w:hAnsi="Times New Roman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0E53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E5315"/>
  </w:style>
  <w:style w:type="paragraph" w:styleId="Porat">
    <w:name w:val="footer"/>
    <w:basedOn w:val="prastasis"/>
    <w:link w:val="PoratDiagrama"/>
    <w:uiPriority w:val="99"/>
    <w:unhideWhenUsed/>
    <w:rsid w:val="000E53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E5315"/>
  </w:style>
  <w:style w:type="character" w:styleId="Hipersaitas">
    <w:name w:val="Hyperlink"/>
    <w:basedOn w:val="Numatytasispastraiposriftas"/>
    <w:uiPriority w:val="99"/>
    <w:unhideWhenUsed/>
    <w:rsid w:val="000A5058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A5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BCB644FA8B24F8C34154C32C37547" ma:contentTypeVersion="13" ma:contentTypeDescription="Create a new document." ma:contentTypeScope="" ma:versionID="b0ad139a53a621293f803c1b0d7e1d27">
  <xsd:schema xmlns:xsd="http://www.w3.org/2001/XMLSchema" xmlns:xs="http://www.w3.org/2001/XMLSchema" xmlns:p="http://schemas.microsoft.com/office/2006/metadata/properties" xmlns:ns2="f4a512e5-5f28-43bc-abeb-b01f070dbca3" xmlns:ns3="c0a97a5f-f146-439f-9cd9-c317a7abfd5c" targetNamespace="http://schemas.microsoft.com/office/2006/metadata/properties" ma:root="true" ma:fieldsID="7eb41e68956469199855455cc004177a" ns2:_="" ns3:_="">
    <xsd:import namespace="f4a512e5-5f28-43bc-abeb-b01f070dbca3"/>
    <xsd:import namespace="c0a97a5f-f146-439f-9cd9-c317a7abfd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512e5-5f28-43bc-abeb-b01f070db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583d05a-515d-475a-b232-132e7a536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97a5f-f146-439f-9cd9-c317a7abfd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24f567-f687-4d1e-ad0b-53245d68c863}" ma:internalName="TaxCatchAll" ma:showField="CatchAllData" ma:web="c0a97a5f-f146-439f-9cd9-c317a7abfd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97a5f-f146-439f-9cd9-c317a7abfd5c" xsi:nil="true"/>
    <lcf76f155ced4ddcb4097134ff3c332f xmlns="f4a512e5-5f28-43bc-abeb-b01f070dbca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A0A85-9FF2-405D-9AFC-14050972A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a512e5-5f28-43bc-abeb-b01f070dbca3"/>
    <ds:schemaRef ds:uri="c0a97a5f-f146-439f-9cd9-c317a7abf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1CED4B-1984-4802-9604-63FB704E38DA}">
  <ds:schemaRefs>
    <ds:schemaRef ds:uri="http://schemas.microsoft.com/office/2006/metadata/properties"/>
    <ds:schemaRef ds:uri="http://schemas.microsoft.com/office/infopath/2007/PartnerControls"/>
    <ds:schemaRef ds:uri="c0a97a5f-f146-439f-9cd9-c317a7abfd5c"/>
    <ds:schemaRef ds:uri="f4a512e5-5f28-43bc-abeb-b01f070dbca3"/>
  </ds:schemaRefs>
</ds:datastoreItem>
</file>

<file path=customXml/itemProps3.xml><?xml version="1.0" encoding="utf-8"?>
<ds:datastoreItem xmlns:ds="http://schemas.openxmlformats.org/officeDocument/2006/customXml" ds:itemID="{A72E3954-A441-4AAA-BF67-5A65F6CAFF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F096CE-36AD-42F5-ABA9-30485C49B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4929</Words>
  <Characters>2810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Vartotojas3</dc:creator>
  <cp:keywords/>
  <dc:description/>
  <cp:lastModifiedBy>Neringa Bartuševičiūtė</cp:lastModifiedBy>
  <cp:revision>42</cp:revision>
  <cp:lastPrinted>2026-09-01T05:27:00Z</cp:lastPrinted>
  <dcterms:created xsi:type="dcterms:W3CDTF">2026-09-07T17:08:00Z</dcterms:created>
  <dcterms:modified xsi:type="dcterms:W3CDTF">2026-09-09T06:12:00Z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0x010100DACBCB644FA8B24F8C34154C32C37547</vt:lpwstr>
  </property>
  <property fmtid="{D5CDD505-2E9C-101B-9397-08002B2CF9AE}" pid="3" name="MediaServiceImageTags">
    <vt:lpwstr/>
  </property>
</Properties>
</file>