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0D7" w:rsidRPr="005F66A7" w:rsidRDefault="002A00D7" w:rsidP="002A00D7">
      <w:pPr>
        <w:pStyle w:val="Tablecaption20"/>
        <w:spacing w:line="240" w:lineRule="exact"/>
        <w:ind w:left="6663" w:hanging="993"/>
        <w:rPr>
          <w:b w:val="0"/>
        </w:rPr>
      </w:pPr>
      <w:bookmarkStart w:id="0" w:name="_GoBack"/>
      <w:bookmarkEnd w:id="0"/>
      <w:r>
        <w:rPr>
          <w:b w:val="0"/>
        </w:rPr>
        <w:t>Prekių</w:t>
      </w:r>
      <w:r w:rsidRPr="005F66A7">
        <w:rPr>
          <w:b w:val="0"/>
        </w:rPr>
        <w:t xml:space="preserve"> viešojo pirkimo-pardavimo sutarties</w:t>
      </w:r>
    </w:p>
    <w:p w:rsidR="002A00D7" w:rsidRPr="005F66A7" w:rsidRDefault="002A00D7" w:rsidP="002A00D7">
      <w:pPr>
        <w:pStyle w:val="Tablecaption20"/>
        <w:spacing w:line="240" w:lineRule="exact"/>
        <w:ind w:left="3543" w:firstLine="2127"/>
        <w:rPr>
          <w:b w:val="0"/>
        </w:rPr>
      </w:pPr>
      <w:r>
        <w:rPr>
          <w:b w:val="0"/>
        </w:rPr>
        <w:t>2026</w:t>
      </w:r>
      <w:r w:rsidRPr="005F66A7">
        <w:rPr>
          <w:b w:val="0"/>
        </w:rPr>
        <w:t xml:space="preserve"> m. </w:t>
      </w:r>
      <w:r>
        <w:rPr>
          <w:b w:val="0"/>
        </w:rPr>
        <w:t xml:space="preserve">                        d. Nr. </w:t>
      </w:r>
    </w:p>
    <w:p w:rsidR="002A00D7" w:rsidRDefault="009D35C1" w:rsidP="002A00D7">
      <w:pPr>
        <w:pStyle w:val="Tablecaption20"/>
        <w:spacing w:line="240" w:lineRule="exact"/>
        <w:ind w:left="3543" w:firstLine="2127"/>
        <w:rPr>
          <w:b w:val="0"/>
        </w:rPr>
      </w:pPr>
      <w:r>
        <w:rPr>
          <w:b w:val="0"/>
        </w:rPr>
        <w:t>5</w:t>
      </w:r>
      <w:r w:rsidR="002A00D7" w:rsidRPr="005F66A7">
        <w:rPr>
          <w:b w:val="0"/>
        </w:rPr>
        <w:t xml:space="preserve"> Priedas</w:t>
      </w:r>
    </w:p>
    <w:p w:rsidR="002F4E81" w:rsidRDefault="002F4E81" w:rsidP="002A00D7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F4E81" w:rsidRPr="002F4E81" w:rsidRDefault="00D23C83" w:rsidP="002F4E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Preki</w:t>
      </w:r>
      <w:r w:rsidR="002F4E81">
        <w:rPr>
          <w:rFonts w:ascii="Times New Roman" w:hAnsi="Times New Roman" w:cs="Times New Roman"/>
          <w:b/>
          <w:bCs/>
          <w:sz w:val="24"/>
          <w:szCs w:val="24"/>
        </w:rPr>
        <w:t>ų</w:t>
      </w:r>
      <w:r w:rsidR="002F4E81" w:rsidRPr="002F4E81">
        <w:rPr>
          <w:rFonts w:ascii="Times New Roman" w:hAnsi="Times New Roman" w:cs="Times New Roman"/>
          <w:b/>
          <w:bCs/>
          <w:sz w:val="24"/>
          <w:szCs w:val="24"/>
        </w:rPr>
        <w:t xml:space="preserve"> įkainių perskaičiavimo sąlygos</w:t>
      </w:r>
    </w:p>
    <w:p w:rsidR="002F4E81" w:rsidRPr="002F4E81" w:rsidRDefault="002F4E81" w:rsidP="002F4E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EB2C76" w:rsidRDefault="00EB2C76" w:rsidP="00EB2C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1. </w:t>
      </w:r>
      <w:r w:rsidRPr="00BA50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Bet kuri Sutarties šalis Sutarties galiojimo metu turi teisę inicijuoti Sutartyje numatytų įkainių perskaičiavimą (keitimą) ne anksčiau kaip po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12</w:t>
      </w:r>
      <w:r w:rsidRPr="00BA50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dvylikos)</w:t>
      </w:r>
      <w:r w:rsidRPr="00BA50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mėnesių nuo Sutarties įsigaliojimo (jeigu perskaičiavimas jau buvo atliktas – nuo paskutinio perskaičiavimo pagal šį punktą dienos), jeigu </w:t>
      </w:r>
      <w:r w:rsidRPr="00BA50A3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lt-LT"/>
        </w:rPr>
        <w:t>gamintojų parduotos pramonės produkcijos kainų</w:t>
      </w:r>
      <w:r w:rsidRPr="00BA50A3">
        <w:rPr>
          <w:rFonts w:ascii="Times New Roman" w:eastAsia="Times New Roman" w:hAnsi="Times New Roman" w:cs="Times New Roman"/>
          <w:i/>
          <w:iCs/>
          <w:color w:val="1F497D"/>
          <w:sz w:val="24"/>
          <w:szCs w:val="24"/>
          <w:lang w:eastAsia="lt-LT"/>
        </w:rPr>
        <w:t xml:space="preserve"> </w:t>
      </w:r>
      <w:r w:rsidRPr="00BA50A3">
        <w:rPr>
          <w:rFonts w:ascii="Times New Roman" w:eastAsia="Times New Roman" w:hAnsi="Times New Roman" w:cs="Times New Roman"/>
          <w:b/>
          <w:i/>
          <w:sz w:val="24"/>
          <w:szCs w:val="24"/>
          <w:lang w:eastAsia="lt-LT"/>
        </w:rPr>
        <w:t>pokytis (k)</w:t>
      </w:r>
      <w:r w:rsidRPr="00BA50A3">
        <w:rPr>
          <w:rFonts w:ascii="Times New Roman" w:eastAsia="Times New Roman" w:hAnsi="Times New Roman" w:cs="Times New Roman"/>
          <w:sz w:val="24"/>
          <w:szCs w:val="24"/>
          <w:lang w:eastAsia="lt-LT"/>
        </w:rPr>
        <w:t>, a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pskaičiuotas kaip nustatyta 4</w:t>
      </w:r>
      <w:r w:rsidRPr="00BA50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punkte</w:t>
      </w:r>
      <w:r w:rsidRPr="00F04EB7">
        <w:rPr>
          <w:rFonts w:ascii="Times New Roman" w:eastAsia="Times New Roman" w:hAnsi="Times New Roman" w:cs="Times New Roman"/>
          <w:sz w:val="24"/>
          <w:szCs w:val="24"/>
          <w:lang w:eastAsia="lt-LT"/>
        </w:rPr>
        <w:t>, padidėja/sumažėja 10 procentų ir daugiau.</w:t>
      </w:r>
      <w:r w:rsidRPr="00BA50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Atlikdamos perskaičiavimą Šalys vadovaujasi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Valstybės duomenų agentūros </w:t>
      </w:r>
      <w:r w:rsidRPr="002F4E8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viešai Oficialiosios statistikos portale paskelbtais Rodiklių duomenų bazės duomenimis, iš kitos Šalies nereikalaudamos pateikti oficialaus 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Valstybės duomenų agentūros</w:t>
      </w:r>
      <w:r w:rsidRPr="002F4E8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ar kitos institucijos išduoto dokumento ar patvirtinimo.</w:t>
      </w:r>
    </w:p>
    <w:p w:rsidR="00EB2C76" w:rsidRDefault="00EB2C76" w:rsidP="00EB2C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EB2C76" w:rsidRDefault="00EB2C76" w:rsidP="00EB2C76">
      <w:pPr>
        <w:spacing w:after="0" w:line="240" w:lineRule="auto"/>
        <w:jc w:val="both"/>
        <w:rPr>
          <w:rFonts w:ascii="Times New Roman" w:eastAsia="Times New Roman" w:hAnsi="Times New Roman" w:cs="Calibri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2. </w:t>
      </w:r>
      <w:r w:rsidRPr="00BA50A3">
        <w:rPr>
          <w:rFonts w:ascii="Times New Roman" w:eastAsia="Times New Roman" w:hAnsi="Times New Roman" w:cs="Calibri"/>
          <w:sz w:val="24"/>
          <w:szCs w:val="24"/>
          <w:lang w:eastAsia="lt-LT"/>
        </w:rPr>
        <w:t xml:space="preserve">Perskaičiuotieji įkainiai </w:t>
      </w:r>
      <w:r w:rsidRPr="00BA50A3">
        <w:rPr>
          <w:rFonts w:ascii="Times New Roman" w:eastAsia="Times New Roman" w:hAnsi="Times New Roman" w:cs="Times New Roman"/>
          <w:sz w:val="24"/>
          <w:szCs w:val="24"/>
          <w:lang w:eastAsia="lt-LT"/>
        </w:rPr>
        <w:t>įforminami raštišku Šalių susitarimu (toliau – Susitarimas)</w:t>
      </w:r>
      <w:r w:rsidRPr="00BA50A3">
        <w:rPr>
          <w:rFonts w:ascii="Times New Roman" w:eastAsia="Times New Roman" w:hAnsi="Times New Roman" w:cs="Calibri"/>
          <w:sz w:val="24"/>
          <w:szCs w:val="24"/>
          <w:lang w:eastAsia="lt-LT"/>
        </w:rPr>
        <w:t xml:space="preserve"> ir taikomi užsakymams, pateiktiems po to, kai Šalys sudaro Susitarimą dėl įkainių perskaičiavimo.</w:t>
      </w:r>
    </w:p>
    <w:p w:rsidR="00EB2C76" w:rsidRPr="00BA50A3" w:rsidRDefault="00EB2C76" w:rsidP="00EB2C76">
      <w:pPr>
        <w:spacing w:after="0" w:line="240" w:lineRule="auto"/>
        <w:jc w:val="both"/>
        <w:rPr>
          <w:rFonts w:ascii="Times New Roman" w:eastAsia="Times New Roman" w:hAnsi="Times New Roman" w:cs="Calibri"/>
          <w:sz w:val="24"/>
          <w:szCs w:val="24"/>
          <w:lang w:eastAsia="lt-LT"/>
        </w:rPr>
      </w:pPr>
    </w:p>
    <w:p w:rsidR="00EB2C76" w:rsidRDefault="00EB2C76" w:rsidP="00EB2C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3. </w:t>
      </w:r>
      <w:r w:rsidRPr="00BA50A3">
        <w:rPr>
          <w:rFonts w:ascii="Times New Roman" w:eastAsia="Times New Roman" w:hAnsi="Times New Roman" w:cs="Times New Roman"/>
          <w:sz w:val="24"/>
          <w:szCs w:val="24"/>
          <w:lang w:eastAsia="lt-LT"/>
        </w:rPr>
        <w:t>Šalys privalo Susitarime nurodyti indekso reikšmę laikotarpio pradžioje ir jos nustatymo datą, indekso reikšmę laikotarpio pabaigoje ir jos nustatymo datą, kainų pokytį (k), perskaičiuotus įkainius, perskaičiuotą pradinės sutarties vertę.</w:t>
      </w:r>
    </w:p>
    <w:p w:rsidR="00EB2C76" w:rsidRPr="00BA50A3" w:rsidRDefault="00EB2C76" w:rsidP="00EB2C76">
      <w:pPr>
        <w:spacing w:after="0" w:line="240" w:lineRule="auto"/>
        <w:jc w:val="both"/>
        <w:rPr>
          <w:rFonts w:ascii="Times New Roman" w:eastAsia="Times New Roman" w:hAnsi="Times New Roman" w:cs="Calibri"/>
          <w:sz w:val="24"/>
          <w:szCs w:val="24"/>
          <w:lang w:eastAsia="lt-LT"/>
        </w:rPr>
      </w:pPr>
    </w:p>
    <w:p w:rsidR="00EB2C76" w:rsidRPr="00BA50A3" w:rsidRDefault="00EB2C76" w:rsidP="00EB2C76">
      <w:pPr>
        <w:spacing w:after="0" w:line="240" w:lineRule="auto"/>
        <w:rPr>
          <w:rFonts w:ascii="Times New Roman" w:eastAsia="Times New Roman" w:hAnsi="Times New Roman" w:cs="Calibri"/>
          <w:sz w:val="24"/>
          <w:szCs w:val="24"/>
          <w:lang w:eastAsia="lt-LT"/>
        </w:rPr>
      </w:pPr>
      <w:r>
        <w:rPr>
          <w:rFonts w:ascii="Times New Roman" w:eastAsia="Times New Roman" w:hAnsi="Times New Roman" w:cs="Calibri"/>
          <w:sz w:val="24"/>
          <w:szCs w:val="24"/>
          <w:lang w:eastAsia="lt-LT"/>
        </w:rPr>
        <w:t xml:space="preserve">4. </w:t>
      </w:r>
      <w:r w:rsidRPr="00BA50A3">
        <w:rPr>
          <w:rFonts w:ascii="Times New Roman" w:eastAsia="Times New Roman" w:hAnsi="Times New Roman" w:cs="Calibri"/>
          <w:sz w:val="24"/>
          <w:szCs w:val="24"/>
          <w:lang w:eastAsia="lt-LT"/>
        </w:rPr>
        <w:t>Nauji įkainiai apskaičiuojami pagal formulę:</w:t>
      </w:r>
    </w:p>
    <w:p w:rsidR="00EB2C76" w:rsidRPr="00BA50A3" w:rsidRDefault="008845E0" w:rsidP="00EB2C76">
      <w:pPr>
        <w:spacing w:after="200" w:line="276" w:lineRule="auto"/>
        <w:jc w:val="both"/>
        <w:rPr>
          <w:rFonts w:ascii="Times New Roman" w:eastAsia="Calibri" w:hAnsi="Times New Roman" w:cs="Calibri"/>
          <w:i/>
          <w:sz w:val="24"/>
          <w:szCs w:val="24"/>
        </w:rPr>
      </w:pPr>
      <m:oMath>
        <m:sSub>
          <m:sSubPr>
            <m:ctrlPr>
              <w:rPr>
                <w:rFonts w:ascii="Cambria Math" w:eastAsia="Calibri" w:hAnsi="Cambria Math" w:cs="Calibri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Calibri" w:hAnsi="Cambria Math" w:cs="Calibri"/>
                <w:sz w:val="24"/>
                <w:szCs w:val="24"/>
              </w:rPr>
              <m:t>a</m:t>
            </m:r>
          </m:e>
          <m:sub>
            <m:r>
              <w:rPr>
                <w:rFonts w:ascii="Cambria Math" w:eastAsia="Calibri" w:hAnsi="Cambria Math" w:cs="Calibri"/>
                <w:sz w:val="24"/>
                <w:szCs w:val="24"/>
              </w:rPr>
              <m:t>1</m:t>
            </m:r>
          </m:sub>
        </m:sSub>
        <m:r>
          <w:rPr>
            <w:rFonts w:ascii="Cambria Math" w:eastAsia="Calibri" w:hAnsi="Cambria Math" w:cs="Calibri"/>
            <w:sz w:val="24"/>
            <w:szCs w:val="24"/>
          </w:rPr>
          <m:t>=</m:t>
        </m:r>
        <m:r>
          <w:rPr>
            <w:rFonts w:ascii="Cambria Math" w:eastAsia="Times New Roman" w:hAnsi="Cambria Math" w:cs="Calibri"/>
            <w:sz w:val="24"/>
            <w:szCs w:val="24"/>
          </w:rPr>
          <m:t>a+</m:t>
        </m:r>
        <m:d>
          <m:dPr>
            <m:ctrlPr>
              <w:rPr>
                <w:rFonts w:ascii="Cambria Math" w:eastAsia="Times New Roman" w:hAnsi="Cambria Math" w:cs="Calibri"/>
                <w:i/>
                <w:sz w:val="24"/>
                <w:szCs w:val="24"/>
                <w:lang w:val="en-US"/>
              </w:rPr>
            </m:ctrlPr>
          </m:dPr>
          <m:e>
            <m:f>
              <m:fPr>
                <m:ctrlPr>
                  <w:rPr>
                    <w:rFonts w:ascii="Cambria Math" w:eastAsia="Times New Roman" w:hAnsi="Cambria Math" w:cs="Calibri"/>
                    <w:i/>
                    <w:sz w:val="24"/>
                    <w:szCs w:val="24"/>
                    <w:lang w:val="en-US"/>
                  </w:rPr>
                </m:ctrlPr>
              </m:fPr>
              <m:num>
                <m:r>
                  <w:rPr>
                    <w:rFonts w:ascii="Cambria Math" w:eastAsia="Times New Roman" w:hAnsi="Cambria Math" w:cs="Calibri"/>
                    <w:sz w:val="24"/>
                    <w:szCs w:val="24"/>
                  </w:rPr>
                  <m:t>k</m:t>
                </m:r>
              </m:num>
              <m:den>
                <m:r>
                  <w:rPr>
                    <w:rFonts w:ascii="Cambria Math" w:eastAsia="Times New Roman" w:hAnsi="Cambria Math" w:cs="Calibri"/>
                    <w:sz w:val="24"/>
                    <w:szCs w:val="24"/>
                  </w:rPr>
                  <m:t>100</m:t>
                </m:r>
              </m:den>
            </m:f>
            <m:r>
              <w:rPr>
                <w:rFonts w:ascii="Cambria Math" w:eastAsia="Times New Roman" w:hAnsi="Cambria Math" w:cs="Calibri"/>
                <w:sz w:val="24"/>
                <w:szCs w:val="24"/>
              </w:rPr>
              <m:t>×a</m:t>
            </m:r>
          </m:e>
        </m:d>
      </m:oMath>
      <w:r w:rsidR="00EB2C76" w:rsidRPr="00BA50A3">
        <w:rPr>
          <w:rFonts w:ascii="Times New Roman" w:eastAsia="Times New Roman" w:hAnsi="Times New Roman" w:cs="Calibri"/>
          <w:sz w:val="24"/>
          <w:szCs w:val="24"/>
        </w:rPr>
        <w:t>,</w:t>
      </w:r>
      <w:r w:rsidR="00EB2C76" w:rsidRPr="00BA50A3">
        <w:rPr>
          <w:rFonts w:ascii="Times New Roman" w:eastAsia="Times New Roman" w:hAnsi="Times New Roman" w:cs="Calibri"/>
          <w:i/>
          <w:sz w:val="24"/>
          <w:szCs w:val="24"/>
        </w:rPr>
        <w:t xml:space="preserve"> </w:t>
      </w:r>
      <w:r w:rsidR="00EB2C76" w:rsidRPr="00BA50A3">
        <w:rPr>
          <w:rFonts w:ascii="Times New Roman" w:eastAsia="Times New Roman" w:hAnsi="Times New Roman" w:cs="Calibri"/>
          <w:sz w:val="24"/>
          <w:szCs w:val="24"/>
        </w:rPr>
        <w:t>kur</w:t>
      </w:r>
    </w:p>
    <w:p w:rsidR="00EB2C76" w:rsidRPr="00BA50A3" w:rsidRDefault="00EB2C76" w:rsidP="00EB2C76">
      <w:pPr>
        <w:spacing w:after="200" w:line="276" w:lineRule="auto"/>
        <w:jc w:val="both"/>
        <w:rPr>
          <w:rFonts w:ascii="Times New Roman" w:eastAsia="Calibri" w:hAnsi="Times New Roman" w:cs="Calibri"/>
          <w:sz w:val="24"/>
          <w:szCs w:val="24"/>
        </w:rPr>
      </w:pPr>
      <w:r w:rsidRPr="00BA50A3">
        <w:rPr>
          <w:rFonts w:ascii="Times New Roman" w:eastAsia="Calibri" w:hAnsi="Times New Roman" w:cs="Calibri"/>
          <w:sz w:val="24"/>
          <w:szCs w:val="24"/>
        </w:rPr>
        <w:t>a – sutarties prekės įkainis (</w:t>
      </w:r>
      <w:proofErr w:type="spellStart"/>
      <w:r w:rsidRPr="00BA50A3">
        <w:rPr>
          <w:rFonts w:ascii="Times New Roman" w:eastAsia="Calibri" w:hAnsi="Times New Roman" w:cs="Calibri"/>
          <w:sz w:val="24"/>
          <w:szCs w:val="24"/>
        </w:rPr>
        <w:t>Eur</w:t>
      </w:r>
      <w:proofErr w:type="spellEnd"/>
      <w:r w:rsidRPr="00BA50A3">
        <w:rPr>
          <w:rFonts w:ascii="Times New Roman" w:eastAsia="Calibri" w:hAnsi="Times New Roman" w:cs="Calibri"/>
          <w:sz w:val="24"/>
          <w:szCs w:val="24"/>
        </w:rPr>
        <w:t xml:space="preserve"> be PVM)) (jei įkainis buvo perskaičiuotas, tai po paskutinio perskaičiavimo).</w:t>
      </w:r>
    </w:p>
    <w:p w:rsidR="00EB2C76" w:rsidRPr="00BA50A3" w:rsidRDefault="00EB2C76" w:rsidP="00EB2C76">
      <w:pPr>
        <w:spacing w:after="200" w:line="276" w:lineRule="auto"/>
        <w:jc w:val="both"/>
        <w:rPr>
          <w:rFonts w:ascii="Times New Roman" w:eastAsia="Calibri" w:hAnsi="Times New Roman" w:cs="Calibri"/>
          <w:sz w:val="24"/>
          <w:szCs w:val="24"/>
        </w:rPr>
      </w:pPr>
      <w:r w:rsidRPr="00BA50A3">
        <w:rPr>
          <w:rFonts w:ascii="Times New Roman" w:eastAsia="Calibri" w:hAnsi="Times New Roman" w:cs="Calibri"/>
          <w:sz w:val="24"/>
          <w:szCs w:val="24"/>
        </w:rPr>
        <w:t>a</w:t>
      </w:r>
      <w:r w:rsidRPr="00BA50A3">
        <w:rPr>
          <w:rFonts w:ascii="Times New Roman" w:eastAsia="Calibri" w:hAnsi="Times New Roman" w:cs="Calibri"/>
          <w:sz w:val="24"/>
          <w:szCs w:val="24"/>
          <w:vertAlign w:val="subscript"/>
        </w:rPr>
        <w:t>1</w:t>
      </w:r>
      <w:r w:rsidRPr="00BA50A3">
        <w:rPr>
          <w:rFonts w:ascii="Times New Roman" w:eastAsia="Calibri" w:hAnsi="Times New Roman" w:cs="Calibri"/>
          <w:sz w:val="24"/>
          <w:szCs w:val="24"/>
        </w:rPr>
        <w:t xml:space="preserve"> – perskaičiuotas (pakeistas) įkainis (</w:t>
      </w:r>
      <w:proofErr w:type="spellStart"/>
      <w:r w:rsidRPr="00BA50A3">
        <w:rPr>
          <w:rFonts w:ascii="Times New Roman" w:eastAsia="Calibri" w:hAnsi="Times New Roman" w:cs="Calibri"/>
          <w:sz w:val="24"/>
          <w:szCs w:val="24"/>
        </w:rPr>
        <w:t>Eur</w:t>
      </w:r>
      <w:proofErr w:type="spellEnd"/>
      <w:r w:rsidRPr="00BA50A3">
        <w:rPr>
          <w:rFonts w:ascii="Times New Roman" w:eastAsia="Calibri" w:hAnsi="Times New Roman" w:cs="Calibri"/>
          <w:sz w:val="24"/>
          <w:szCs w:val="24"/>
        </w:rPr>
        <w:t xml:space="preserve"> be PVM)</w:t>
      </w:r>
    </w:p>
    <w:p w:rsidR="00EB2C76" w:rsidRPr="00BA50A3" w:rsidRDefault="00EB2C76" w:rsidP="00EB2C76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50A3">
        <w:rPr>
          <w:rFonts w:ascii="Times New Roman" w:eastAsia="Calibri" w:hAnsi="Times New Roman" w:cs="Calibri"/>
          <w:sz w:val="24"/>
          <w:szCs w:val="24"/>
        </w:rPr>
        <w:t>k – pagal gamintojų parduotos pramonės produkcijos kainų indeksą</w:t>
      </w:r>
      <w:r w:rsidRPr="00BA50A3">
        <w:rPr>
          <w:rFonts w:ascii="Times New Roman" w:eastAsia="Calibri" w:hAnsi="Times New Roman" w:cs="Calibri"/>
          <w:sz w:val="24"/>
          <w:szCs w:val="24"/>
          <w:vertAlign w:val="superscript"/>
        </w:rPr>
        <w:footnoteReference w:id="1"/>
      </w:r>
      <w:r w:rsidRPr="00BA50A3">
        <w:rPr>
          <w:rFonts w:ascii="Times New Roman" w:eastAsia="Calibri" w:hAnsi="Times New Roman" w:cs="Calibri"/>
          <w:sz w:val="24"/>
          <w:szCs w:val="24"/>
        </w:rPr>
        <w:t xml:space="preserve"> (</w:t>
      </w:r>
      <w:r w:rsidRPr="00BA50A3">
        <w:rPr>
          <w:rFonts w:ascii="Times New Roman" w:eastAsia="Calibri" w:hAnsi="Times New Roman" w:cs="Calibri"/>
          <w:iCs/>
          <w:sz w:val="24"/>
          <w:szCs w:val="24"/>
        </w:rPr>
        <w:t xml:space="preserve">pasirenkamas </w:t>
      </w:r>
      <w:r w:rsidRPr="00BA50A3">
        <w:rPr>
          <w:rFonts w:ascii="Times New Roman" w:eastAsia="Calibri" w:hAnsi="Times New Roman" w:cs="Calibri"/>
          <w:i/>
          <w:iCs/>
          <w:sz w:val="24"/>
          <w:szCs w:val="24"/>
        </w:rPr>
        <w:t>„</w:t>
      </w:r>
      <w:r w:rsidRPr="00BA50A3">
        <w:rPr>
          <w:rFonts w:ascii="Times New Roman" w:eastAsia="Calibri" w:hAnsi="Times New Roman" w:cs="Times New Roman"/>
          <w:sz w:val="24"/>
        </w:rPr>
        <w:t>Apdirbamoji gamyba</w:t>
      </w:r>
      <w:r w:rsidRPr="00BA50A3">
        <w:rPr>
          <w:rFonts w:ascii="Times New Roman" w:eastAsia="Calibri" w:hAnsi="Times New Roman" w:cs="Calibri"/>
          <w:i/>
          <w:iCs/>
          <w:sz w:val="24"/>
          <w:szCs w:val="24"/>
        </w:rPr>
        <w:t>“</w:t>
      </w:r>
      <w:r w:rsidRPr="00BA50A3">
        <w:rPr>
          <w:rFonts w:ascii="Times New Roman" w:eastAsia="Calibri" w:hAnsi="Times New Roman" w:cs="Calibri"/>
          <w:i/>
          <w:iCs/>
          <w:sz w:val="24"/>
          <w:szCs w:val="24"/>
        </w:rPr>
        <w:sym w:font="Wingdings" w:char="F0E0"/>
      </w:r>
      <w:r w:rsidRPr="00BA50A3">
        <w:rPr>
          <w:rFonts w:ascii="Times New Roman" w:eastAsia="Calibri" w:hAnsi="Times New Roman" w:cs="Calibri"/>
          <w:i/>
          <w:iCs/>
          <w:sz w:val="24"/>
          <w:szCs w:val="24"/>
        </w:rPr>
        <w:t xml:space="preserve"> „</w:t>
      </w:r>
      <w:r w:rsidRPr="00BA50A3">
        <w:rPr>
          <w:rFonts w:ascii="Times New Roman" w:eastAsia="Calibri" w:hAnsi="Times New Roman" w:cs="Times New Roman"/>
          <w:sz w:val="24"/>
        </w:rPr>
        <w:t>Tekstilės gaminių gamyba (visa rinka)“)</w:t>
      </w:r>
      <w:r w:rsidRPr="00BA50A3">
        <w:rPr>
          <w:rFonts w:ascii="Times New Roman" w:eastAsia="Calibri" w:hAnsi="Times New Roman" w:cs="Calibri"/>
          <w:iCs/>
          <w:sz w:val="24"/>
          <w:szCs w:val="24"/>
        </w:rPr>
        <w:t xml:space="preserve"> </w:t>
      </w:r>
      <w:r w:rsidRPr="00BA50A3">
        <w:rPr>
          <w:rFonts w:ascii="Times New Roman" w:eastAsia="Calibri" w:hAnsi="Times New Roman" w:cs="Times New Roman"/>
          <w:sz w:val="24"/>
          <w:szCs w:val="24"/>
        </w:rPr>
        <w:t xml:space="preserve">kainų pokytis (padidėjimas arba sumažėjimas) (%).      </w:t>
      </w:r>
    </w:p>
    <w:p w:rsidR="00EB2C76" w:rsidRPr="00BA50A3" w:rsidRDefault="00EB2C76" w:rsidP="00EB2C76">
      <w:pPr>
        <w:spacing w:after="200" w:line="276" w:lineRule="auto"/>
        <w:jc w:val="both"/>
        <w:rPr>
          <w:rFonts w:ascii="Times New Roman" w:eastAsia="Calibri" w:hAnsi="Times New Roman" w:cs="Calibri"/>
          <w:i/>
          <w:iCs/>
          <w:color w:val="0070C0"/>
          <w:sz w:val="24"/>
          <w:szCs w:val="24"/>
        </w:rPr>
      </w:pPr>
      <w:r w:rsidRPr="00BA50A3">
        <w:rPr>
          <w:rFonts w:ascii="Times New Roman" w:eastAsia="Calibri" w:hAnsi="Times New Roman" w:cs="Times New Roman"/>
          <w:sz w:val="24"/>
          <w:szCs w:val="24"/>
        </w:rPr>
        <w:t>„k“ reikšmė skaičiuojama pagal formulę:</w:t>
      </w:r>
    </w:p>
    <w:p w:rsidR="00EB2C76" w:rsidRPr="00BA50A3" w:rsidRDefault="00EB2C76" w:rsidP="00EB2C76">
      <w:pPr>
        <w:spacing w:after="200" w:line="276" w:lineRule="auto"/>
        <w:jc w:val="both"/>
        <w:rPr>
          <w:rFonts w:ascii="Times New Roman" w:eastAsia="Calibri" w:hAnsi="Times New Roman" w:cs="Calibri"/>
          <w:sz w:val="24"/>
          <w:szCs w:val="24"/>
        </w:rPr>
      </w:pPr>
      <m:oMath>
        <m:r>
          <w:rPr>
            <w:rFonts w:ascii="Cambria Math" w:eastAsia="Calibri" w:hAnsi="Cambria Math" w:cs="Calibri"/>
            <w:sz w:val="24"/>
            <w:szCs w:val="24"/>
          </w:rPr>
          <m:t>k =</m:t>
        </m:r>
        <m:f>
          <m:fPr>
            <m:ctrlPr>
              <w:rPr>
                <w:rFonts w:ascii="Cambria Math" w:eastAsia="Times New Roman" w:hAnsi="Cambria Math" w:cs="Calibri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 w:cs="Calibr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Times New Roman" w:hAnsi="Cambria Math" w:cs="Calibri"/>
                    <w:sz w:val="24"/>
                    <w:szCs w:val="24"/>
                  </w:rPr>
                  <m:t>Ind</m:t>
                </m:r>
              </m:e>
              <m:sub>
                <m:r>
                  <w:rPr>
                    <w:rFonts w:ascii="Cambria Math" w:eastAsia="Times New Roman" w:hAnsi="Cambria Math" w:cs="Calibri"/>
                    <w:sz w:val="24"/>
                    <w:szCs w:val="24"/>
                  </w:rPr>
                  <m:t>naujausias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 New Roman" w:hAnsi="Cambria Math" w:cs="Calibri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Times New Roman" w:hAnsi="Cambria Math" w:cs="Calibri"/>
                    <w:sz w:val="24"/>
                    <w:szCs w:val="24"/>
                  </w:rPr>
                  <m:t>Ind</m:t>
                </m:r>
              </m:e>
              <m:sub>
                <m:r>
                  <w:rPr>
                    <w:rFonts w:ascii="Cambria Math" w:eastAsia="Times New Roman" w:hAnsi="Cambria Math" w:cs="Calibri"/>
                    <w:sz w:val="24"/>
                    <w:szCs w:val="24"/>
                  </w:rPr>
                  <m:t>pradžia</m:t>
                </m:r>
              </m:sub>
            </m:sSub>
          </m:den>
        </m:f>
        <m:r>
          <w:rPr>
            <w:rFonts w:ascii="Cambria Math" w:eastAsia="Times New Roman" w:hAnsi="Cambria Math" w:cs="Calibri"/>
            <w:sz w:val="24"/>
            <w:szCs w:val="24"/>
          </w:rPr>
          <m:t>×100-100</m:t>
        </m:r>
      </m:oMath>
      <w:r w:rsidRPr="00BA50A3">
        <w:rPr>
          <w:rFonts w:ascii="Times New Roman" w:eastAsia="Times New Roman" w:hAnsi="Times New Roman" w:cs="Calibri"/>
          <w:sz w:val="24"/>
          <w:szCs w:val="24"/>
        </w:rPr>
        <w:t>, (proc.), kur</w:t>
      </w:r>
    </w:p>
    <w:p w:rsidR="00EB2C76" w:rsidRPr="00BA50A3" w:rsidRDefault="00EB2C76" w:rsidP="00EB2C76">
      <w:pPr>
        <w:spacing w:after="200" w:line="276" w:lineRule="auto"/>
        <w:jc w:val="both"/>
        <w:rPr>
          <w:rFonts w:ascii="Times New Roman" w:eastAsia="Calibri" w:hAnsi="Times New Roman" w:cs="Calibri"/>
          <w:sz w:val="24"/>
          <w:szCs w:val="24"/>
        </w:rPr>
      </w:pPr>
      <w:proofErr w:type="spellStart"/>
      <w:r w:rsidRPr="00BA50A3">
        <w:rPr>
          <w:rFonts w:ascii="Times New Roman" w:eastAsia="Calibri" w:hAnsi="Times New Roman" w:cs="Calibri"/>
          <w:sz w:val="24"/>
          <w:szCs w:val="24"/>
        </w:rPr>
        <w:t>Ind</w:t>
      </w:r>
      <w:r w:rsidRPr="00BA50A3">
        <w:rPr>
          <w:rFonts w:ascii="Times New Roman" w:eastAsia="Calibri" w:hAnsi="Times New Roman" w:cs="Calibri"/>
          <w:sz w:val="24"/>
          <w:szCs w:val="24"/>
          <w:vertAlign w:val="subscript"/>
        </w:rPr>
        <w:t>naujausias</w:t>
      </w:r>
      <w:proofErr w:type="spellEnd"/>
      <w:r w:rsidRPr="00BA50A3">
        <w:rPr>
          <w:rFonts w:ascii="Times New Roman" w:eastAsia="Calibri" w:hAnsi="Times New Roman" w:cs="Calibri"/>
          <w:sz w:val="24"/>
          <w:szCs w:val="24"/>
        </w:rPr>
        <w:t xml:space="preserve"> – kreipimosi dėl kainos perskaičiavimo išsiuntimo kitai šaliai datą naujausias paskelbtas gamintojų parduotos pramonės produkcijos kainų indeksas (</w:t>
      </w:r>
      <w:r w:rsidRPr="00BA50A3">
        <w:rPr>
          <w:rFonts w:ascii="Times New Roman" w:eastAsia="Calibri" w:hAnsi="Times New Roman" w:cs="Calibri"/>
          <w:iCs/>
          <w:sz w:val="24"/>
          <w:szCs w:val="24"/>
        </w:rPr>
        <w:t xml:space="preserve">pasirenkamas </w:t>
      </w:r>
      <w:r w:rsidRPr="00BA50A3">
        <w:rPr>
          <w:rFonts w:ascii="Times New Roman" w:eastAsia="Calibri" w:hAnsi="Times New Roman" w:cs="Calibri"/>
          <w:i/>
          <w:iCs/>
          <w:sz w:val="24"/>
          <w:szCs w:val="24"/>
        </w:rPr>
        <w:t>„</w:t>
      </w:r>
      <w:r w:rsidRPr="00BA50A3">
        <w:rPr>
          <w:rFonts w:ascii="Times New Roman" w:eastAsia="Calibri" w:hAnsi="Times New Roman" w:cs="Times New Roman"/>
          <w:sz w:val="24"/>
        </w:rPr>
        <w:t>Apdirbamoji gamyba</w:t>
      </w:r>
      <w:r w:rsidRPr="00BA50A3">
        <w:rPr>
          <w:rFonts w:ascii="Times New Roman" w:eastAsia="Calibri" w:hAnsi="Times New Roman" w:cs="Calibri"/>
          <w:i/>
          <w:iCs/>
          <w:sz w:val="24"/>
          <w:szCs w:val="24"/>
        </w:rPr>
        <w:t>“</w:t>
      </w:r>
      <w:r w:rsidRPr="00BA50A3">
        <w:rPr>
          <w:rFonts w:ascii="Times New Roman" w:eastAsia="Calibri" w:hAnsi="Times New Roman" w:cs="Calibri"/>
          <w:i/>
          <w:iCs/>
          <w:sz w:val="24"/>
          <w:szCs w:val="24"/>
        </w:rPr>
        <w:sym w:font="Wingdings" w:char="F0E0"/>
      </w:r>
      <w:r w:rsidRPr="00BA50A3">
        <w:rPr>
          <w:rFonts w:ascii="Times New Roman" w:eastAsia="Calibri" w:hAnsi="Times New Roman" w:cs="Calibri"/>
          <w:i/>
          <w:iCs/>
          <w:sz w:val="24"/>
          <w:szCs w:val="24"/>
        </w:rPr>
        <w:t xml:space="preserve"> „</w:t>
      </w:r>
      <w:r w:rsidRPr="00BA50A3">
        <w:rPr>
          <w:rFonts w:ascii="Times New Roman" w:eastAsia="Calibri" w:hAnsi="Times New Roman" w:cs="Times New Roman"/>
          <w:sz w:val="24"/>
        </w:rPr>
        <w:t>Tekstilės gaminių gamyba (visa rinka)“)</w:t>
      </w:r>
      <w:r w:rsidRPr="00BA50A3">
        <w:rPr>
          <w:rFonts w:ascii="Times New Roman" w:eastAsia="Calibri" w:hAnsi="Times New Roman" w:cs="Calibri"/>
          <w:iCs/>
          <w:sz w:val="24"/>
          <w:szCs w:val="24"/>
        </w:rPr>
        <w:t>.</w:t>
      </w:r>
    </w:p>
    <w:p w:rsidR="00EB2C76" w:rsidRDefault="00EB2C76" w:rsidP="00EB2C76">
      <w:pPr>
        <w:spacing w:after="0" w:line="240" w:lineRule="auto"/>
        <w:jc w:val="both"/>
        <w:rPr>
          <w:rFonts w:ascii="Times New Roman" w:eastAsia="Times New Roman" w:hAnsi="Times New Roman" w:cs="Calibri"/>
          <w:sz w:val="24"/>
          <w:szCs w:val="24"/>
          <w:lang w:eastAsia="lt-LT"/>
        </w:rPr>
      </w:pPr>
      <w:proofErr w:type="spellStart"/>
      <w:r w:rsidRPr="00BA50A3">
        <w:rPr>
          <w:rFonts w:ascii="Times New Roman" w:eastAsia="Calibri" w:hAnsi="Times New Roman" w:cs="Calibri"/>
          <w:sz w:val="24"/>
          <w:szCs w:val="24"/>
        </w:rPr>
        <w:t>Ind</w:t>
      </w:r>
      <w:r w:rsidRPr="00BA50A3">
        <w:rPr>
          <w:rFonts w:ascii="Times New Roman" w:eastAsia="Calibri" w:hAnsi="Times New Roman" w:cs="Calibri"/>
          <w:sz w:val="24"/>
          <w:szCs w:val="24"/>
          <w:vertAlign w:val="subscript"/>
        </w:rPr>
        <w:t>pradžia</w:t>
      </w:r>
      <w:proofErr w:type="spellEnd"/>
      <w:r w:rsidRPr="00BA50A3">
        <w:rPr>
          <w:rFonts w:ascii="Times New Roman" w:eastAsia="Calibri" w:hAnsi="Times New Roman" w:cs="Calibri"/>
          <w:sz w:val="24"/>
          <w:szCs w:val="24"/>
        </w:rPr>
        <w:t xml:space="preserve"> – laikotarpio pradžios datos (mėnesio) gamintojų parduotos pramonės produkcijos kainų indeksas (</w:t>
      </w:r>
      <w:r w:rsidRPr="00BA50A3">
        <w:rPr>
          <w:rFonts w:ascii="Times New Roman" w:eastAsia="Calibri" w:hAnsi="Times New Roman" w:cs="Calibri"/>
          <w:iCs/>
          <w:sz w:val="24"/>
          <w:szCs w:val="24"/>
        </w:rPr>
        <w:t xml:space="preserve">pasirenkamas </w:t>
      </w:r>
      <w:r w:rsidRPr="00BA50A3">
        <w:rPr>
          <w:rFonts w:ascii="Times New Roman" w:eastAsia="Calibri" w:hAnsi="Times New Roman" w:cs="Calibri"/>
          <w:i/>
          <w:iCs/>
          <w:sz w:val="24"/>
          <w:szCs w:val="24"/>
        </w:rPr>
        <w:t>„</w:t>
      </w:r>
      <w:r w:rsidRPr="00BA50A3">
        <w:rPr>
          <w:rFonts w:ascii="Times New Roman" w:eastAsia="Calibri" w:hAnsi="Times New Roman" w:cs="Times New Roman"/>
          <w:sz w:val="24"/>
        </w:rPr>
        <w:t>Apdirbamoji gamyba</w:t>
      </w:r>
      <w:r w:rsidRPr="00BA50A3">
        <w:rPr>
          <w:rFonts w:ascii="Times New Roman" w:eastAsia="Calibri" w:hAnsi="Times New Roman" w:cs="Calibri"/>
          <w:i/>
          <w:iCs/>
          <w:sz w:val="24"/>
          <w:szCs w:val="24"/>
        </w:rPr>
        <w:t>“</w:t>
      </w:r>
      <w:r w:rsidRPr="00BA50A3">
        <w:rPr>
          <w:rFonts w:ascii="Times New Roman" w:eastAsia="Calibri" w:hAnsi="Times New Roman" w:cs="Calibri"/>
          <w:i/>
          <w:iCs/>
          <w:sz w:val="24"/>
          <w:szCs w:val="24"/>
        </w:rPr>
        <w:sym w:font="Wingdings" w:char="F0E0"/>
      </w:r>
      <w:r w:rsidRPr="00BA50A3">
        <w:rPr>
          <w:rFonts w:ascii="Times New Roman" w:eastAsia="Calibri" w:hAnsi="Times New Roman" w:cs="Calibri"/>
          <w:i/>
          <w:iCs/>
          <w:sz w:val="24"/>
          <w:szCs w:val="24"/>
        </w:rPr>
        <w:t xml:space="preserve"> „</w:t>
      </w:r>
      <w:r w:rsidRPr="00BA50A3">
        <w:rPr>
          <w:rFonts w:ascii="Times New Roman" w:eastAsia="Calibri" w:hAnsi="Times New Roman" w:cs="Times New Roman"/>
          <w:sz w:val="24"/>
        </w:rPr>
        <w:t>Tekstilės gaminių gamyba (visa rinka)“)</w:t>
      </w:r>
      <w:r w:rsidRPr="00BA50A3">
        <w:rPr>
          <w:rFonts w:ascii="Times New Roman" w:eastAsia="Calibri" w:hAnsi="Times New Roman" w:cs="Calibri"/>
          <w:iCs/>
          <w:sz w:val="24"/>
          <w:szCs w:val="24"/>
        </w:rPr>
        <w:t>.</w:t>
      </w:r>
      <w:r w:rsidRPr="00BA50A3">
        <w:rPr>
          <w:rFonts w:ascii="Times New Roman" w:eastAsia="Times New Roman" w:hAnsi="Times New Roman" w:cs="Calibri"/>
          <w:sz w:val="24"/>
          <w:szCs w:val="24"/>
          <w:lang w:eastAsia="lt-LT"/>
        </w:rPr>
        <w:t xml:space="preserve"> </w:t>
      </w:r>
    </w:p>
    <w:p w:rsidR="00EB2C76" w:rsidRPr="00BA50A3" w:rsidRDefault="00EB2C76" w:rsidP="00EB2C76">
      <w:pPr>
        <w:spacing w:after="0" w:line="240" w:lineRule="auto"/>
        <w:jc w:val="both"/>
        <w:rPr>
          <w:rFonts w:ascii="Times New Roman" w:eastAsia="Times New Roman" w:hAnsi="Times New Roman" w:cs="Calibri"/>
          <w:sz w:val="24"/>
          <w:szCs w:val="24"/>
          <w:lang w:eastAsia="lt-LT"/>
        </w:rPr>
      </w:pPr>
      <w:r w:rsidRPr="00BA50A3">
        <w:rPr>
          <w:rFonts w:ascii="Times New Roman" w:eastAsia="Times New Roman" w:hAnsi="Times New Roman" w:cs="Calibri"/>
          <w:sz w:val="24"/>
          <w:szCs w:val="24"/>
          <w:lang w:eastAsia="lt-LT"/>
        </w:rPr>
        <w:t xml:space="preserve">Pirmojo perskaičiavimo atveju laikotarpio pradžia (mėnuo) yra Sutarties sudarymo mėnuo. Antrojo ir vėlesnių perskaičiavimų atveju laikotarpio pradžia (mėnuo) yra paskutinio perskaičiavimo metu naudotos paskelbto atitinkamo indekso reikšmės mėnuo; </w:t>
      </w:r>
    </w:p>
    <w:p w:rsidR="00EB2C76" w:rsidRDefault="00EB2C76" w:rsidP="00EB2C76">
      <w:pPr>
        <w:spacing w:after="0" w:line="240" w:lineRule="auto"/>
        <w:jc w:val="both"/>
        <w:rPr>
          <w:rFonts w:ascii="Times New Roman" w:eastAsia="Times New Roman" w:hAnsi="Times New Roman" w:cs="Calibri"/>
          <w:sz w:val="24"/>
          <w:szCs w:val="24"/>
          <w:lang w:eastAsia="lt-LT"/>
        </w:rPr>
      </w:pPr>
      <w:r>
        <w:rPr>
          <w:rFonts w:ascii="Times New Roman" w:eastAsia="Times New Roman" w:hAnsi="Times New Roman" w:cs="Calibri"/>
          <w:sz w:val="24"/>
          <w:szCs w:val="24"/>
          <w:lang w:eastAsia="lt-LT"/>
        </w:rPr>
        <w:lastRenderedPageBreak/>
        <w:t xml:space="preserve">5. </w:t>
      </w:r>
      <w:r w:rsidRPr="00BA50A3">
        <w:rPr>
          <w:rFonts w:ascii="Times New Roman" w:eastAsia="Times New Roman" w:hAnsi="Times New Roman" w:cs="Calibri"/>
          <w:sz w:val="24"/>
          <w:szCs w:val="24"/>
          <w:lang w:eastAsia="lt-LT"/>
        </w:rPr>
        <w:t xml:space="preserve">Skaičiavimams indeksų reikšmės imamos </w:t>
      </w:r>
      <w:r w:rsidRPr="00BA50A3">
        <w:rPr>
          <w:rFonts w:ascii="Times New Roman" w:eastAsia="Times New Roman" w:hAnsi="Times New Roman" w:cs="Calibri"/>
          <w:b/>
          <w:bCs/>
          <w:sz w:val="24"/>
          <w:szCs w:val="24"/>
          <w:lang w:eastAsia="lt-LT"/>
        </w:rPr>
        <w:t>keturių</w:t>
      </w:r>
      <w:r w:rsidRPr="00BA50A3">
        <w:rPr>
          <w:rFonts w:ascii="Times New Roman" w:eastAsia="Times New Roman" w:hAnsi="Times New Roman" w:cs="Calibri"/>
          <w:sz w:val="24"/>
          <w:szCs w:val="24"/>
          <w:lang w:eastAsia="lt-LT"/>
        </w:rPr>
        <w:t xml:space="preserve"> skaitmenų po kablelio tikslumu. Apskaičiuotas pokytis (k) tolimesniems skaičiavimams naudojamas suapvalinus iki </w:t>
      </w:r>
      <w:r w:rsidRPr="00BA50A3">
        <w:rPr>
          <w:rFonts w:ascii="Times New Roman" w:eastAsia="Times New Roman" w:hAnsi="Times New Roman" w:cs="Calibri"/>
          <w:b/>
          <w:bCs/>
          <w:sz w:val="24"/>
          <w:szCs w:val="24"/>
          <w:lang w:eastAsia="lt-LT"/>
        </w:rPr>
        <w:t>vieno</w:t>
      </w:r>
      <w:r w:rsidRPr="00BA50A3">
        <w:rPr>
          <w:rFonts w:ascii="Times New Roman" w:eastAsia="Times New Roman" w:hAnsi="Times New Roman" w:cs="Calibri"/>
          <w:sz w:val="24"/>
          <w:szCs w:val="24"/>
          <w:lang w:eastAsia="lt-LT"/>
        </w:rPr>
        <w:t xml:space="preserve"> skaitmens po kablelio, o apskaičiuotas įkainis „a“ suapvalinamas iki </w:t>
      </w:r>
      <w:r w:rsidRPr="00BA50A3">
        <w:rPr>
          <w:rFonts w:ascii="Times New Roman" w:eastAsia="Times New Roman" w:hAnsi="Times New Roman" w:cs="Calibri"/>
          <w:b/>
          <w:bCs/>
          <w:sz w:val="24"/>
          <w:szCs w:val="24"/>
          <w:lang w:eastAsia="lt-LT"/>
        </w:rPr>
        <w:t xml:space="preserve">dviejų </w:t>
      </w:r>
      <w:r w:rsidRPr="00BA50A3">
        <w:rPr>
          <w:rFonts w:ascii="Times New Roman" w:eastAsia="Times New Roman" w:hAnsi="Times New Roman" w:cs="Calibri"/>
          <w:sz w:val="24"/>
          <w:szCs w:val="24"/>
          <w:lang w:eastAsia="lt-LT"/>
        </w:rPr>
        <w:t>skaitmenų po kablelio</w:t>
      </w:r>
      <w:r>
        <w:rPr>
          <w:rFonts w:ascii="Times New Roman" w:eastAsia="Times New Roman" w:hAnsi="Times New Roman" w:cs="Calibri"/>
          <w:sz w:val="24"/>
          <w:szCs w:val="24"/>
          <w:lang w:eastAsia="lt-LT"/>
        </w:rPr>
        <w:t>;</w:t>
      </w:r>
      <w:r w:rsidRPr="00BA50A3">
        <w:rPr>
          <w:rFonts w:ascii="Times New Roman" w:eastAsia="Times New Roman" w:hAnsi="Times New Roman" w:cs="Calibri"/>
          <w:sz w:val="24"/>
          <w:szCs w:val="24"/>
          <w:lang w:eastAsia="lt-LT"/>
        </w:rPr>
        <w:t xml:space="preserve"> </w:t>
      </w:r>
    </w:p>
    <w:p w:rsidR="00EB2C76" w:rsidRPr="00BA50A3" w:rsidRDefault="00EB2C76" w:rsidP="00EB2C76">
      <w:pPr>
        <w:spacing w:after="0" w:line="240" w:lineRule="auto"/>
        <w:jc w:val="both"/>
        <w:rPr>
          <w:rFonts w:ascii="Times New Roman" w:eastAsia="Times New Roman" w:hAnsi="Times New Roman" w:cs="Calibri"/>
          <w:sz w:val="24"/>
          <w:szCs w:val="24"/>
          <w:lang w:eastAsia="lt-LT"/>
        </w:rPr>
      </w:pPr>
    </w:p>
    <w:p w:rsidR="00EB2C76" w:rsidRDefault="00EB2C76" w:rsidP="00EB2C76">
      <w:pPr>
        <w:spacing w:after="0" w:line="240" w:lineRule="auto"/>
        <w:jc w:val="both"/>
        <w:rPr>
          <w:rFonts w:ascii="Times New Roman" w:eastAsia="Times New Roman" w:hAnsi="Times New Roman" w:cs="Calibri"/>
          <w:sz w:val="24"/>
          <w:szCs w:val="24"/>
          <w:lang w:eastAsia="lt-LT"/>
        </w:rPr>
      </w:pPr>
      <w:r>
        <w:rPr>
          <w:rFonts w:ascii="Times New Roman" w:eastAsia="Times New Roman" w:hAnsi="Times New Roman" w:cs="Calibri"/>
          <w:sz w:val="24"/>
          <w:szCs w:val="24"/>
          <w:lang w:eastAsia="lt-LT"/>
        </w:rPr>
        <w:t xml:space="preserve">6. </w:t>
      </w:r>
      <w:r w:rsidRPr="00BA50A3">
        <w:rPr>
          <w:rFonts w:ascii="Times New Roman" w:eastAsia="Times New Roman" w:hAnsi="Times New Roman" w:cs="Calibri"/>
          <w:sz w:val="24"/>
          <w:szCs w:val="24"/>
          <w:lang w:eastAsia="lt-LT"/>
        </w:rPr>
        <w:t xml:space="preserve">Vėlesnis įkainių perskaičiavimas negali apimti laikotarpio, už kurį jau buvo atliktas perskaičiavimas. </w:t>
      </w:r>
    </w:p>
    <w:p w:rsidR="00EB2C76" w:rsidRPr="00BA50A3" w:rsidRDefault="00EB2C76" w:rsidP="00EB2C76">
      <w:pPr>
        <w:spacing w:after="0" w:line="240" w:lineRule="auto"/>
        <w:jc w:val="both"/>
        <w:rPr>
          <w:rFonts w:ascii="Times New Roman" w:eastAsia="Times New Roman" w:hAnsi="Times New Roman" w:cs="Calibri"/>
          <w:sz w:val="24"/>
          <w:szCs w:val="24"/>
          <w:lang w:eastAsia="lt-LT"/>
        </w:rPr>
      </w:pPr>
    </w:p>
    <w:p w:rsidR="00EB2C76" w:rsidRDefault="00EB2C76" w:rsidP="00EB2C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7. </w:t>
      </w:r>
      <w:r w:rsidRPr="00BA50A3">
        <w:rPr>
          <w:rFonts w:ascii="Times New Roman" w:eastAsia="Times New Roman" w:hAnsi="Times New Roman" w:cs="Times New Roman"/>
          <w:sz w:val="24"/>
          <w:szCs w:val="24"/>
          <w:lang w:eastAsia="lt-LT"/>
        </w:rPr>
        <w:t>Jeigu gamintojų parduotos pramonės produkcijos kainų pokytis (k</w:t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), apskaičiuotas kaip nustatyta 4 </w:t>
      </w:r>
      <w:r w:rsidRPr="00BA50A3">
        <w:rPr>
          <w:rFonts w:ascii="Times New Roman" w:eastAsia="Times New Roman" w:hAnsi="Times New Roman" w:cs="Times New Roman"/>
          <w:sz w:val="24"/>
          <w:szCs w:val="24"/>
          <w:lang w:eastAsia="lt-LT"/>
        </w:rPr>
        <w:t>punkte, viršija 30 procentų nuo pradinio sutarties įkainio sutarties pasirašymo dieną, prekės įkainiai bus perskaičiuojami maksimaliu 30 procentų pokyčiu.</w:t>
      </w:r>
    </w:p>
    <w:p w:rsidR="00EB2C76" w:rsidRPr="00BA50A3" w:rsidRDefault="00EB2C76" w:rsidP="00EB2C7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lt-LT"/>
        </w:rPr>
      </w:pPr>
    </w:p>
    <w:p w:rsidR="00EB2C76" w:rsidRPr="00BA50A3" w:rsidRDefault="00EB2C76" w:rsidP="00EB2C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8. </w:t>
      </w:r>
      <w:r w:rsidRPr="00BA50A3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Jei Sutarties kaina buvo peržiūrėta pagal Sutartyje nurodytas kainų peržiūros sąlygas, atitinkamai patikslinama (didėja arba mažėja) pradinė sutarties vertė. </w:t>
      </w:r>
    </w:p>
    <w:p w:rsidR="00EB2C76" w:rsidRDefault="00EB2C76" w:rsidP="00EB2C76"/>
    <w:p w:rsidR="002F4E81" w:rsidRPr="002F4E81" w:rsidRDefault="002F4E81" w:rsidP="002F4E81"/>
    <w:p w:rsidR="00DC5368" w:rsidRDefault="00DC5368"/>
    <w:sectPr w:rsidR="00DC5368" w:rsidSect="00DC08A5">
      <w:pgSz w:w="11906" w:h="16838"/>
      <w:pgMar w:top="1276" w:right="567" w:bottom="1702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45E0" w:rsidRDefault="008845E0" w:rsidP="002F4E81">
      <w:pPr>
        <w:spacing w:after="0" w:line="240" w:lineRule="auto"/>
      </w:pPr>
      <w:r>
        <w:separator/>
      </w:r>
    </w:p>
  </w:endnote>
  <w:endnote w:type="continuationSeparator" w:id="0">
    <w:p w:rsidR="008845E0" w:rsidRDefault="008845E0" w:rsidP="002F4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45E0" w:rsidRDefault="008845E0" w:rsidP="002F4E81">
      <w:pPr>
        <w:spacing w:after="0" w:line="240" w:lineRule="auto"/>
      </w:pPr>
      <w:r>
        <w:separator/>
      </w:r>
    </w:p>
  </w:footnote>
  <w:footnote w:type="continuationSeparator" w:id="0">
    <w:p w:rsidR="008845E0" w:rsidRDefault="008845E0" w:rsidP="002F4E81">
      <w:pPr>
        <w:spacing w:after="0" w:line="240" w:lineRule="auto"/>
      </w:pPr>
      <w:r>
        <w:continuationSeparator/>
      </w:r>
    </w:p>
  </w:footnote>
  <w:footnote w:id="1">
    <w:p w:rsidR="00EB2C76" w:rsidRDefault="00EB2C76" w:rsidP="00EB2C76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433"/>
    <w:rsid w:val="000D4433"/>
    <w:rsid w:val="00232F91"/>
    <w:rsid w:val="002A00D7"/>
    <w:rsid w:val="002F4E81"/>
    <w:rsid w:val="00367F7C"/>
    <w:rsid w:val="003B200D"/>
    <w:rsid w:val="004013B6"/>
    <w:rsid w:val="004C3487"/>
    <w:rsid w:val="00566F43"/>
    <w:rsid w:val="008845E0"/>
    <w:rsid w:val="008C2923"/>
    <w:rsid w:val="009160A6"/>
    <w:rsid w:val="00942DF5"/>
    <w:rsid w:val="00961F0E"/>
    <w:rsid w:val="00974437"/>
    <w:rsid w:val="009D35C1"/>
    <w:rsid w:val="009F3FAD"/>
    <w:rsid w:val="00C82316"/>
    <w:rsid w:val="00CF3DE4"/>
    <w:rsid w:val="00D23C83"/>
    <w:rsid w:val="00DC5368"/>
    <w:rsid w:val="00E24733"/>
    <w:rsid w:val="00E334B5"/>
    <w:rsid w:val="00E61BA9"/>
    <w:rsid w:val="00E93542"/>
    <w:rsid w:val="00EB2C76"/>
    <w:rsid w:val="00EC445F"/>
    <w:rsid w:val="00FA6D58"/>
    <w:rsid w:val="00FF3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C75938-C5B4-4C7A-BCC5-2926FDC7C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qFormat/>
    <w:rsid w:val="002F4E81"/>
    <w:rPr>
      <w:color w:val="0000FF"/>
      <w:u w:val="single"/>
    </w:rPr>
  </w:style>
  <w:style w:type="paragraph" w:styleId="FootnoteText">
    <w:name w:val="footnote text"/>
    <w:basedOn w:val="Normal"/>
    <w:link w:val="FootnoteTextChar"/>
    <w:rsid w:val="002F4E81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2F4E81"/>
    <w:rPr>
      <w:rFonts w:ascii="Times New Roman" w:eastAsia="Calibri" w:hAnsi="Times New Roman" w:cs="Times New Roman"/>
      <w:sz w:val="20"/>
      <w:szCs w:val="20"/>
    </w:rPr>
  </w:style>
  <w:style w:type="character" w:styleId="FootnoteReference">
    <w:name w:val="footnote reference"/>
    <w:uiPriority w:val="99"/>
    <w:rsid w:val="002F4E81"/>
    <w:rPr>
      <w:vertAlign w:val="superscript"/>
    </w:rPr>
  </w:style>
  <w:style w:type="paragraph" w:styleId="ListParagraph">
    <w:name w:val="List Paragraph"/>
    <w:basedOn w:val="Normal"/>
    <w:uiPriority w:val="34"/>
    <w:qFormat/>
    <w:rsid w:val="002F4E81"/>
    <w:pPr>
      <w:ind w:left="720"/>
      <w:contextualSpacing/>
    </w:pPr>
  </w:style>
  <w:style w:type="character" w:customStyle="1" w:styleId="Tablecaption2">
    <w:name w:val="Table caption (2)_"/>
    <w:basedOn w:val="DefaultParagraphFont"/>
    <w:link w:val="Tablecaption20"/>
    <w:rsid w:val="002A00D7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Tablecaption20">
    <w:name w:val="Table caption (2)"/>
    <w:basedOn w:val="Normal"/>
    <w:link w:val="Tablecaption2"/>
    <w:rsid w:val="002A00D7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Valentinovic</dc:creator>
  <cp:keywords/>
  <dc:description/>
  <cp:lastModifiedBy>Windows User</cp:lastModifiedBy>
  <cp:revision>2</cp:revision>
  <dcterms:created xsi:type="dcterms:W3CDTF">2026-08-27T07:58:00Z</dcterms:created>
  <dcterms:modified xsi:type="dcterms:W3CDTF">2026-08-27T07:58:00Z</dcterms:modified>
</cp:coreProperties>
</file>