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1D5C" w14:textId="7C00C275" w:rsidR="0066296B" w:rsidRPr="00527194" w:rsidRDefault="0066296B" w:rsidP="00527194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27194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527194">
        <w:rPr>
          <w:rFonts w:ascii="Cambria" w:hAnsi="Cambria" w:cs="Times New Roman"/>
          <w:b/>
          <w:sz w:val="24"/>
          <w:szCs w:val="24"/>
        </w:rPr>
        <w:t>IGYTI</w:t>
      </w:r>
    </w:p>
    <w:p w14:paraId="25CC27F5" w14:textId="5D5E5DBB" w:rsidR="006E3DCE" w:rsidRPr="00527194" w:rsidRDefault="002D3A66" w:rsidP="00527194">
      <w:pPr>
        <w:spacing w:after="0" w:line="240" w:lineRule="auto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 xml:space="preserve"> </w:t>
      </w:r>
    </w:p>
    <w:p w14:paraId="083EAA33" w14:textId="77777777" w:rsidR="002D3A66" w:rsidRPr="00527194" w:rsidRDefault="002D3A66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BEA5E0" w14:textId="1F02FD8C" w:rsidR="005159FA" w:rsidRPr="00527194" w:rsidRDefault="006E3DCE" w:rsidP="0052719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27194"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  <w:t xml:space="preserve">1.1.-1.6. </w:t>
      </w:r>
      <w:r w:rsidR="005159FA" w:rsidRPr="00527194"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  <w:t>Sterili neurochirurginė vata:</w:t>
      </w:r>
    </w:p>
    <w:p w14:paraId="0CEE74DE" w14:textId="71EF7EB9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terili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(simbolis ant pakuotės);</w:t>
      </w:r>
    </w:p>
    <w:p w14:paraId="3306311B" w14:textId="0A195649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agaminta iš viskozės ir sintetinių priedų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lygiaverčių medžiagų;</w:t>
      </w:r>
    </w:p>
    <w:p w14:paraId="0F96A517" w14:textId="1143C3B4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ugėrimo geba nuo 5 kartų savo svorio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1481363" w14:textId="750425AE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n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epalieka plaušelių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51C80FF" w14:textId="77714920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 xml:space="preserve">u </w:t>
      </w:r>
      <w:proofErr w:type="spellStart"/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rentgenokontrastiniu</w:t>
      </w:r>
      <w:proofErr w:type="spellEnd"/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siūlu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18DB425" w14:textId="07E16F58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a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nt pakuotės pažymėta pagaminimo data ir galiojimo laikas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mėnesiais;</w:t>
      </w:r>
    </w:p>
    <w:p w14:paraId="0444AC70" w14:textId="53555188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="005159FA" w:rsidRPr="00527194">
        <w:rPr>
          <w:rFonts w:ascii="Cambria" w:eastAsia="Times New Roman" w:hAnsi="Cambria" w:cs="Times New Roman"/>
          <w:sz w:val="24"/>
          <w:szCs w:val="24"/>
          <w:lang w:eastAsia="lt-LT"/>
        </w:rPr>
        <w:t>akuotėje 10 vnt</w:t>
      </w:r>
      <w:r w:rsidRPr="00527194">
        <w:rPr>
          <w:rFonts w:ascii="Cambria" w:eastAsia="Times New Roman" w:hAnsi="Cambria" w:cs="Times New Roman"/>
          <w:sz w:val="24"/>
          <w:szCs w:val="24"/>
          <w:lang w:eastAsia="lt-LT"/>
        </w:rPr>
        <w:t>. ant skaičiavimo kortelės;</w:t>
      </w:r>
    </w:p>
    <w:p w14:paraId="5997F29E" w14:textId="47488E9A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hAnsi="Cambria" w:cs="Times New Roman"/>
          <w:sz w:val="24"/>
          <w:szCs w:val="24"/>
        </w:rPr>
        <w:t>v</w:t>
      </w:r>
      <w:r w:rsidR="005159FA" w:rsidRPr="00527194">
        <w:rPr>
          <w:rFonts w:ascii="Cambria" w:hAnsi="Cambria" w:cs="Times New Roman"/>
          <w:sz w:val="24"/>
          <w:szCs w:val="24"/>
        </w:rPr>
        <w:t>iename vatos gale prisiūtas siūlas vatos ištraukimui.</w:t>
      </w:r>
    </w:p>
    <w:p w14:paraId="5E94B56A" w14:textId="4024D9CB" w:rsidR="005159FA" w:rsidRPr="00527194" w:rsidRDefault="006E3DCE" w:rsidP="0052719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27194">
        <w:rPr>
          <w:rFonts w:ascii="Cambria" w:hAnsi="Cambria" w:cs="Times New Roman"/>
          <w:sz w:val="24"/>
          <w:szCs w:val="24"/>
        </w:rPr>
        <w:t>g</w:t>
      </w:r>
      <w:r w:rsidR="005159FA" w:rsidRPr="00527194">
        <w:rPr>
          <w:rFonts w:ascii="Cambria" w:hAnsi="Cambria" w:cs="Times New Roman"/>
          <w:sz w:val="24"/>
          <w:szCs w:val="24"/>
        </w:rPr>
        <w:t>alimybė rinktis kelių dydžių ilgis nuo 10 mm iki 75 mm, plotis nuo 10mm  iki 25 mm</w:t>
      </w:r>
      <w:r w:rsidRPr="00527194">
        <w:rPr>
          <w:rFonts w:ascii="Cambria" w:hAnsi="Cambria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099"/>
        <w:gridCol w:w="3400"/>
      </w:tblGrid>
      <w:tr w:rsidR="006E3DCE" w:rsidRPr="00527194" w14:paraId="13ABACB4" w14:textId="77777777" w:rsidTr="006E3DCE">
        <w:tc>
          <w:tcPr>
            <w:tcW w:w="1129" w:type="dxa"/>
          </w:tcPr>
          <w:p w14:paraId="207BD389" w14:textId="1987BFB4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Poz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5099" w:type="dxa"/>
          </w:tcPr>
          <w:p w14:paraId="0A008DD6" w14:textId="2B380DF2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Išmatavimai (± 0,01 mm)</w:t>
            </w:r>
          </w:p>
        </w:tc>
        <w:tc>
          <w:tcPr>
            <w:tcW w:w="3400" w:type="dxa"/>
          </w:tcPr>
          <w:p w14:paraId="524DF48D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Poreikis (pakuotėmis)</w:t>
            </w:r>
          </w:p>
        </w:tc>
      </w:tr>
      <w:tr w:rsidR="006E3DCE" w:rsidRPr="00527194" w14:paraId="7F3CDBD0" w14:textId="77777777" w:rsidTr="006E3DCE">
        <w:tc>
          <w:tcPr>
            <w:tcW w:w="1129" w:type="dxa"/>
          </w:tcPr>
          <w:p w14:paraId="3DC7DE1C" w14:textId="4ECD8589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099" w:type="dxa"/>
          </w:tcPr>
          <w:p w14:paraId="3C0D22F3" w14:textId="496EE159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10x10 mm</w:t>
            </w:r>
          </w:p>
        </w:tc>
        <w:tc>
          <w:tcPr>
            <w:tcW w:w="3400" w:type="dxa"/>
          </w:tcPr>
          <w:p w14:paraId="5F028889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50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527194" w14:paraId="6CE60CCA" w14:textId="77777777" w:rsidTr="006E3DCE">
        <w:tc>
          <w:tcPr>
            <w:tcW w:w="1129" w:type="dxa"/>
          </w:tcPr>
          <w:p w14:paraId="2C721C66" w14:textId="0AC33366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099" w:type="dxa"/>
          </w:tcPr>
          <w:p w14:paraId="5CC9B7EB" w14:textId="37A0BCA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10x40 mm</w:t>
            </w:r>
          </w:p>
        </w:tc>
        <w:tc>
          <w:tcPr>
            <w:tcW w:w="3400" w:type="dxa"/>
          </w:tcPr>
          <w:p w14:paraId="41A187DD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150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527194" w14:paraId="65F39540" w14:textId="77777777" w:rsidTr="006E3DCE">
        <w:tc>
          <w:tcPr>
            <w:tcW w:w="1129" w:type="dxa"/>
          </w:tcPr>
          <w:p w14:paraId="28308A74" w14:textId="6986A4FF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099" w:type="dxa"/>
          </w:tcPr>
          <w:p w14:paraId="5085839D" w14:textId="30B844B4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10x75 mm</w:t>
            </w:r>
          </w:p>
        </w:tc>
        <w:tc>
          <w:tcPr>
            <w:tcW w:w="3400" w:type="dxa"/>
          </w:tcPr>
          <w:p w14:paraId="2D16FCF9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150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527194" w14:paraId="5C8901AA" w14:textId="77777777" w:rsidTr="006E3DCE">
        <w:tc>
          <w:tcPr>
            <w:tcW w:w="1129" w:type="dxa"/>
          </w:tcPr>
          <w:p w14:paraId="499E127F" w14:textId="5911D09E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099" w:type="dxa"/>
          </w:tcPr>
          <w:p w14:paraId="4CB1AC50" w14:textId="693C4E8B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12x75 mm</w:t>
            </w:r>
          </w:p>
        </w:tc>
        <w:tc>
          <w:tcPr>
            <w:tcW w:w="3400" w:type="dxa"/>
          </w:tcPr>
          <w:p w14:paraId="572C60C3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100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527194" w14:paraId="637A918D" w14:textId="77777777" w:rsidTr="006E3DCE">
        <w:tc>
          <w:tcPr>
            <w:tcW w:w="1129" w:type="dxa"/>
          </w:tcPr>
          <w:p w14:paraId="203F9FBC" w14:textId="0A58ADBB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5099" w:type="dxa"/>
          </w:tcPr>
          <w:p w14:paraId="0F11B505" w14:textId="50387079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20x40 mm</w:t>
            </w:r>
          </w:p>
        </w:tc>
        <w:tc>
          <w:tcPr>
            <w:tcW w:w="3400" w:type="dxa"/>
          </w:tcPr>
          <w:p w14:paraId="355A47A0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50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527194" w14:paraId="5EFC3A47" w14:textId="77777777" w:rsidTr="002D3A66">
        <w:trPr>
          <w:trHeight w:val="249"/>
        </w:trPr>
        <w:tc>
          <w:tcPr>
            <w:tcW w:w="1129" w:type="dxa"/>
          </w:tcPr>
          <w:p w14:paraId="789373A5" w14:textId="172895F5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5099" w:type="dxa"/>
          </w:tcPr>
          <w:p w14:paraId="702EB28D" w14:textId="43DFB79A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25x75 mm</w:t>
            </w:r>
          </w:p>
        </w:tc>
        <w:tc>
          <w:tcPr>
            <w:tcW w:w="3400" w:type="dxa"/>
          </w:tcPr>
          <w:p w14:paraId="4A84AD61" w14:textId="77777777" w:rsidR="006E3DCE" w:rsidRPr="00527194" w:rsidRDefault="006E3DCE" w:rsidP="00527194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25 </w:t>
            </w:r>
            <w:proofErr w:type="spellStart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527194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55A910A" w14:textId="77777777" w:rsidR="004855BE" w:rsidRPr="00527194" w:rsidRDefault="004855BE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8FE476" w14:textId="64D1DD62" w:rsidR="003E5E7F" w:rsidRPr="00527194" w:rsidRDefault="00936477" w:rsidP="00527194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527194">
        <w:rPr>
          <w:rFonts w:ascii="Cambria" w:hAnsi="Cambria" w:cs="Times New Roman"/>
          <w:b/>
          <w:sz w:val="24"/>
          <w:szCs w:val="24"/>
          <w:u w:val="single"/>
        </w:rPr>
        <w:t xml:space="preserve">2. </w:t>
      </w:r>
      <w:r w:rsidR="003E5E7F" w:rsidRPr="00527194">
        <w:rPr>
          <w:rFonts w:ascii="Cambria" w:hAnsi="Cambria" w:cs="Times New Roman"/>
          <w:b/>
          <w:sz w:val="24"/>
          <w:szCs w:val="24"/>
          <w:u w:val="single"/>
        </w:rPr>
        <w:t>Vienkartiniai peiliukai</w:t>
      </w:r>
      <w:r w:rsidRPr="00527194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1E3C2EB4" w14:textId="59F69C2A" w:rsidR="003E5E7F" w:rsidRPr="00527194" w:rsidRDefault="00936477" w:rsidP="00527194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527194">
        <w:rPr>
          <w:rFonts w:ascii="Cambria" w:hAnsi="Cambria" w:cs="Times New Roman"/>
          <w:sz w:val="24"/>
          <w:szCs w:val="24"/>
        </w:rPr>
        <w:t>p</w:t>
      </w:r>
      <w:r w:rsidR="003E5E7F" w:rsidRPr="00527194">
        <w:rPr>
          <w:rFonts w:ascii="Cambria" w:hAnsi="Cambria" w:cs="Times New Roman"/>
          <w:sz w:val="24"/>
          <w:szCs w:val="24"/>
        </w:rPr>
        <w:t xml:space="preserve">eiliukai, skirti </w:t>
      </w:r>
      <w:r w:rsidRPr="00527194">
        <w:rPr>
          <w:rFonts w:ascii="Cambria" w:hAnsi="Cambria" w:cs="Times New Roman"/>
          <w:sz w:val="24"/>
          <w:szCs w:val="24"/>
        </w:rPr>
        <w:t xml:space="preserve">darbui su </w:t>
      </w:r>
      <w:r w:rsidR="003E5E7F" w:rsidRPr="00527194">
        <w:rPr>
          <w:rFonts w:ascii="Cambria" w:hAnsi="Cambria" w:cs="Times New Roman"/>
          <w:sz w:val="24"/>
          <w:szCs w:val="24"/>
        </w:rPr>
        <w:t>3M</w:t>
      </w:r>
      <w:r w:rsidRPr="00527194">
        <w:rPr>
          <w:rFonts w:ascii="Cambria" w:hAnsi="Cambria" w:cs="Times New Roman"/>
          <w:sz w:val="24"/>
          <w:szCs w:val="24"/>
        </w:rPr>
        <w:t xml:space="preserve"> firmos plaukų kirpimo mašinėle</w:t>
      </w:r>
      <w:r w:rsidR="003E5E7F" w:rsidRPr="00527194">
        <w:rPr>
          <w:rFonts w:ascii="Cambria" w:hAnsi="Cambria" w:cs="Times New Roman"/>
          <w:sz w:val="24"/>
          <w:szCs w:val="24"/>
        </w:rPr>
        <w:t>;</w:t>
      </w:r>
    </w:p>
    <w:p w14:paraId="05D86CD6" w14:textId="786B918E" w:rsidR="003E5E7F" w:rsidRPr="00527194" w:rsidRDefault="00936477" w:rsidP="00527194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527194">
        <w:rPr>
          <w:rFonts w:ascii="Cambria" w:hAnsi="Cambria" w:cs="Times New Roman"/>
          <w:sz w:val="24"/>
          <w:szCs w:val="24"/>
        </w:rPr>
        <w:t>v</w:t>
      </w:r>
      <w:r w:rsidR="003E5E7F" w:rsidRPr="00527194">
        <w:rPr>
          <w:rFonts w:ascii="Cambria" w:hAnsi="Cambria" w:cs="Times New Roman"/>
          <w:sz w:val="24"/>
          <w:szCs w:val="24"/>
        </w:rPr>
        <w:t>ienkartiniai</w:t>
      </w:r>
      <w:r w:rsidRPr="00527194">
        <w:rPr>
          <w:rFonts w:ascii="Cambria" w:hAnsi="Cambria" w:cs="Times New Roman"/>
          <w:sz w:val="24"/>
          <w:szCs w:val="24"/>
        </w:rPr>
        <w:t xml:space="preserve"> (pažymėta simboliu)</w:t>
      </w:r>
      <w:r w:rsidR="003E5E7F" w:rsidRPr="00527194">
        <w:rPr>
          <w:rFonts w:ascii="Cambria" w:hAnsi="Cambria" w:cs="Times New Roman"/>
          <w:sz w:val="24"/>
          <w:szCs w:val="24"/>
        </w:rPr>
        <w:t>;</w:t>
      </w:r>
    </w:p>
    <w:p w14:paraId="5AD3FF1E" w14:textId="3217ECE6" w:rsidR="003E5E7F" w:rsidRPr="00527194" w:rsidRDefault="00936477" w:rsidP="00527194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527194">
        <w:rPr>
          <w:rFonts w:ascii="Cambria" w:hAnsi="Cambria" w:cs="Times New Roman"/>
          <w:sz w:val="24"/>
          <w:szCs w:val="24"/>
        </w:rPr>
        <w:t>a</w:t>
      </w:r>
      <w:r w:rsidR="003E5E7F" w:rsidRPr="00527194">
        <w:rPr>
          <w:rFonts w:ascii="Cambria" w:hAnsi="Cambria" w:cs="Times New Roman"/>
          <w:sz w:val="24"/>
          <w:szCs w:val="24"/>
        </w:rPr>
        <w:t>šmenų plotis 30 mm</w:t>
      </w:r>
      <w:r w:rsidRPr="00527194">
        <w:rPr>
          <w:rFonts w:ascii="Cambria" w:hAnsi="Cambria" w:cs="Times New Roman"/>
          <w:sz w:val="24"/>
          <w:szCs w:val="24"/>
        </w:rPr>
        <w:t xml:space="preserve"> ± </w:t>
      </w:r>
      <w:r w:rsidR="003E5E7F" w:rsidRPr="00527194">
        <w:rPr>
          <w:rFonts w:ascii="Cambria" w:hAnsi="Cambria" w:cs="Times New Roman"/>
          <w:sz w:val="24"/>
          <w:szCs w:val="24"/>
        </w:rPr>
        <w:t>3 mm;</w:t>
      </w:r>
    </w:p>
    <w:p w14:paraId="11EF16A4" w14:textId="53C66997" w:rsidR="003E5E7F" w:rsidRPr="00527194" w:rsidRDefault="00936477" w:rsidP="00527194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527194">
        <w:rPr>
          <w:rFonts w:ascii="Cambria" w:hAnsi="Cambria" w:cs="Times New Roman"/>
          <w:sz w:val="24"/>
          <w:szCs w:val="24"/>
        </w:rPr>
        <w:t>a</w:t>
      </w:r>
      <w:r w:rsidR="003E5E7F" w:rsidRPr="00527194">
        <w:rPr>
          <w:rFonts w:ascii="Cambria" w:hAnsi="Cambria" w:cs="Times New Roman"/>
          <w:sz w:val="24"/>
          <w:szCs w:val="24"/>
        </w:rPr>
        <w:t>nt produkto pažymėta pagaminimo data ir galiojimo laikas</w:t>
      </w:r>
      <w:r w:rsidRPr="00527194">
        <w:rPr>
          <w:rFonts w:ascii="Cambria" w:hAnsi="Cambria" w:cs="Times New Roman"/>
          <w:sz w:val="24"/>
          <w:szCs w:val="24"/>
        </w:rPr>
        <w:t xml:space="preserve"> mėnesiais</w:t>
      </w:r>
      <w:r w:rsidR="003E5E7F" w:rsidRPr="00527194">
        <w:rPr>
          <w:rFonts w:ascii="Cambria" w:hAnsi="Cambria" w:cs="Times New Roman"/>
          <w:sz w:val="24"/>
          <w:szCs w:val="24"/>
        </w:rPr>
        <w:t>;</w:t>
      </w:r>
    </w:p>
    <w:p w14:paraId="1C4444E8" w14:textId="22A9C1CF" w:rsidR="003E5E7F" w:rsidRPr="00527194" w:rsidRDefault="00936477" w:rsidP="00527194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527194">
        <w:rPr>
          <w:rFonts w:ascii="Cambria" w:hAnsi="Cambria" w:cs="Times New Roman"/>
          <w:sz w:val="24"/>
          <w:szCs w:val="24"/>
        </w:rPr>
        <w:t>s</w:t>
      </w:r>
      <w:r w:rsidR="003E5E7F" w:rsidRPr="00527194">
        <w:rPr>
          <w:rFonts w:ascii="Cambria" w:hAnsi="Cambria" w:cs="Times New Roman"/>
          <w:sz w:val="24"/>
          <w:szCs w:val="24"/>
        </w:rPr>
        <w:t>u nu</w:t>
      </w:r>
      <w:r w:rsidRPr="00527194">
        <w:rPr>
          <w:rFonts w:ascii="Cambria" w:hAnsi="Cambria" w:cs="Times New Roman"/>
          <w:sz w:val="24"/>
          <w:szCs w:val="24"/>
        </w:rPr>
        <w:t>matyta pakuotės atidarymo vieta.</w:t>
      </w:r>
    </w:p>
    <w:p w14:paraId="02143C05" w14:textId="6226E88B" w:rsidR="003E5E7F" w:rsidRPr="00527194" w:rsidRDefault="00936477" w:rsidP="00527194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527194">
        <w:rPr>
          <w:rFonts w:ascii="Cambria" w:hAnsi="Cambria" w:cs="Times New Roman"/>
          <w:i/>
          <w:sz w:val="24"/>
          <w:szCs w:val="24"/>
        </w:rPr>
        <w:t>Orientacinis poreikis: 100 vnt.</w:t>
      </w:r>
    </w:p>
    <w:p w14:paraId="09B40493" w14:textId="77777777" w:rsidR="00936477" w:rsidRPr="00527194" w:rsidRDefault="00936477" w:rsidP="00527194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14:paraId="446AE051" w14:textId="708B62E6" w:rsidR="00C50C94" w:rsidRPr="00527194" w:rsidRDefault="00936477" w:rsidP="00527194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3.1.-3.3. </w:t>
      </w:r>
      <w:r w:rsidR="00C50C94"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Žaizdų plovimo tirpalas:</w:t>
      </w:r>
    </w:p>
    <w:p w14:paraId="532C4C2E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žaizdų plovimo tirpalas, skirtas lėtinių, ūmių, infekuotų, chirurginių žaizdų ir pirmojo/antrojo laipsnio nudegimų valymui ir drėkinimui;</w:t>
      </w:r>
    </w:p>
    <w:p w14:paraId="657368DC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veikliosios medžiagos: natrio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hipochloritas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hipochloritinė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rūgštis ar lygiavertės;</w:t>
      </w:r>
    </w:p>
    <w:p w14:paraId="178AAC32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esant neutraliam pH, tirpalo sudėtyje yra ne daugiau kaip 50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natrio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ne daugiau kaip 50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hipochloritinės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rūgšties;</w:t>
      </w:r>
    </w:p>
    <w:p w14:paraId="3DFCBFB3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tirpalas mechaniškai išvalo žaizdą, nėra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citotoksiškas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žinduolių ląstelėms, nedirgina žaizdos ir odos;</w:t>
      </w:r>
    </w:p>
    <w:p w14:paraId="2452FF16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sudėtyje neturi sunkiųjų metalų;</w:t>
      </w:r>
    </w:p>
    <w:p w14:paraId="1F10A64B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neutralus pH;</w:t>
      </w:r>
    </w:p>
    <w:p w14:paraId="5CC840AB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hipotoninis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0965CD85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sumažina įvairių bakterijų, grybelių, sporų ir virusų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proliferaciją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iki 99,99% per ne daugiau kaip 5 minutes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in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vitro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218A224A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tirpalą galima palikti žaizdoje, taip pat galima naudoti pilvaplėvės plovimui, minkštiesiems audiniams, kūno ertmėms, pvz., burnai, nosiai ar ausims, fistulėms, žaizdoms su atvirais raiščiais, kaulais, kremzlėmis ir sausgyslėmis, spindulinėms opoms;</w:t>
      </w:r>
    </w:p>
    <w:p w14:paraId="4B52227C" w14:textId="04BDE81B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gamybos ir galiojimo laikas</w:t>
      </w:r>
      <w:r w:rsidR="00936477" w:rsidRPr="00527194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2901D254" w14:textId="77777777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atitinka standartų EN 1041, EN 62366, EN ISO 10993-1 ir EN ISO 10993-10 reikalavimus</w:t>
      </w:r>
    </w:p>
    <w:p w14:paraId="708FFC53" w14:textId="706ABB80" w:rsidR="00C50C94" w:rsidRPr="00527194" w:rsidRDefault="00C50C94" w:rsidP="00527194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</w:t>
      </w:r>
      <w:r w:rsidR="00936477"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mėtas produkto galiojimo laikas.</w:t>
      </w:r>
    </w:p>
    <w:p w14:paraId="5DBEC8F2" w14:textId="77777777" w:rsidR="004C06E3" w:rsidRPr="00527194" w:rsidRDefault="004C06E3" w:rsidP="00527194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969"/>
        <w:gridCol w:w="3685"/>
      </w:tblGrid>
      <w:tr w:rsidR="00C50C94" w:rsidRPr="00527194" w14:paraId="52EA7DCE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F995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 xml:space="preserve">. Nr.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5AA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Talpa (ml)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511B" w14:textId="0A6ED6CA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</w:t>
            </w:r>
            <w:proofErr w:type="spellStart"/>
            <w:r w:rsidR="00936477"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flak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C50C94" w:rsidRPr="00527194" w14:paraId="3DD3770A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190" w14:textId="6C7398D8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019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250 ± 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6787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  <w:tr w:rsidR="00C50C94" w:rsidRPr="00527194" w14:paraId="41933E89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A208" w14:textId="3F1BF531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03A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500 ± 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532A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150</w:t>
            </w:r>
          </w:p>
        </w:tc>
      </w:tr>
      <w:tr w:rsidR="00C50C94" w:rsidRPr="00527194" w14:paraId="251B3852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429" w14:textId="5ABD3C6F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34B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1000 ± 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B63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</w:tr>
    </w:tbl>
    <w:p w14:paraId="204C7616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305AEABB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2AEBDF60" w14:textId="1B8FDABC" w:rsidR="00C50C94" w:rsidRPr="00527194" w:rsidRDefault="00936477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4. </w:t>
      </w:r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Žaizdų gelis ar lygiavertis 100 ± 10 g:</w:t>
      </w:r>
    </w:p>
    <w:p w14:paraId="35E53EBE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žaizdų gelis ar lygiavertis yra paruoštas vartoti, skaidrus, skirtas ūminėms ir lėtinėms žaizdoms valyti bei drėkinti bei apsaugoti žaizdas nuo užkrėtimo;</w:t>
      </w:r>
    </w:p>
    <w:p w14:paraId="36A4C2D6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esant neutraliam pH, gelio sudėtyje yra ne daugiau kaip 40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natrio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ne daugiau 40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hipochloritinės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rūgšties - veikliųjų medžiagų;</w:t>
      </w:r>
    </w:p>
    <w:p w14:paraId="69D34DFA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mechaniškai išvalo žaizdą, nėra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citotoksiškas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, nedirgina žaizdos ir odos, sudėtyje neturi sunkiųjų metalų, neutralus pH,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hipotoninis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6A635F89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sumažina įvairių bakterijų, taip pat grybelių, sporų ir virusų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proliferaciją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iki 99,99% per ne daugiau kaip 5 minutes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in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vitro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0155044F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galima vartoti valyti ūminėms ar lėtinėms žaizdoms, taip pat paviršinėms žaizdoms,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įpjovimams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, įbrėžimams ir 1 ir 2 laipsnio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nudegimams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, labai kolonizuotoms ar užkrėstoms žaizdoms;</w:t>
      </w:r>
    </w:p>
    <w:p w14:paraId="3592EFA4" w14:textId="77777777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atitinka standartų EN 1041 ir EN 62366 reikalavimus ar lygiaverčius;</w:t>
      </w:r>
    </w:p>
    <w:p w14:paraId="61002F1C" w14:textId="027DF5FA" w:rsidR="00C50C94" w:rsidRPr="00527194" w:rsidRDefault="00C50C94" w:rsidP="00527194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galiojimo laikas</w:t>
      </w:r>
      <w:r w:rsidR="00936477"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mėnesiais.</w:t>
      </w:r>
    </w:p>
    <w:p w14:paraId="5F1C23E1" w14:textId="77777777" w:rsidR="00C50C94" w:rsidRPr="00527194" w:rsidRDefault="00C50C94" w:rsidP="00527194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527194">
        <w:rPr>
          <w:rFonts w:ascii="Cambria" w:eastAsia="Calibri" w:hAnsi="Cambria" w:cs="Times New Roman"/>
          <w:i/>
          <w:iCs/>
          <w:sz w:val="24"/>
          <w:szCs w:val="24"/>
        </w:rPr>
        <w:t>Orientacinis poreikis: 24 vnt.</w:t>
      </w:r>
    </w:p>
    <w:p w14:paraId="55995F5B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77EC001F" w14:textId="170BDAD9" w:rsidR="00C50C94" w:rsidRPr="00527194" w:rsidRDefault="00936477" w:rsidP="00527194">
      <w:pPr>
        <w:spacing w:after="0" w:line="240" w:lineRule="auto"/>
        <w:ind w:left="6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5.1.-5.3. </w:t>
      </w:r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Geliu virstantis (</w:t>
      </w:r>
      <w:proofErr w:type="spellStart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alginatinis</w:t>
      </w:r>
      <w:proofErr w:type="spellEnd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) ar lygiavertis  tvarstis:</w:t>
      </w:r>
    </w:p>
    <w:p w14:paraId="33CD8BD7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6F7A8434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4A2EBB92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geliu ar lygiaverčiu virstantis tvarstis, sugeriantis ir sulaikantis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eksudatą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7DDEB377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tvarstis pagamintas iš neaustinės medžiagos, 55 ±10 %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karboksimetilceliuliozės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pluošto ir 45 ±10 %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alginato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pluošto ar lygiaverčių medžiagų;</w:t>
      </w:r>
    </w:p>
    <w:p w14:paraId="6397DDDB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sukontaktavęs su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eksudatu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, tvarstis virsta geliu ar lygiaverčiu ir palaiko drėgną žaizdos gijimo aplinką, sumažina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maceracijos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riziką, tačiau neplyšta, išlieka vientisas ir yra lengvai pašalinamas;</w:t>
      </w:r>
    </w:p>
    <w:p w14:paraId="5426FDB0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gali būti karpomas;</w:t>
      </w:r>
    </w:p>
    <w:p w14:paraId="76DF2EB0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AE88AD0" w14:textId="6BA794FF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pagaminimo ir galiojimo laikas</w:t>
      </w:r>
      <w:r w:rsidR="00936477" w:rsidRPr="00527194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253"/>
        <w:gridCol w:w="3685"/>
      </w:tblGrid>
      <w:tr w:rsidR="00C50C94" w:rsidRPr="00527194" w14:paraId="35129DD0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11AD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 xml:space="preserve">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D198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9374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527194" w14:paraId="0FA44E29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F1C8" w14:textId="2ED8D2D4" w:rsidR="00C50C94" w:rsidRPr="00527194" w:rsidRDefault="000E2EB3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487F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10 ± 1 x 20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E483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800</w:t>
            </w:r>
          </w:p>
        </w:tc>
      </w:tr>
      <w:tr w:rsidR="00C50C94" w:rsidRPr="00527194" w14:paraId="05801C3C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2D5" w14:textId="4F1CE22F" w:rsidR="00C50C94" w:rsidRPr="00527194" w:rsidRDefault="000E2EB3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81B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15 ± 1 x 15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54D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527194" w14:paraId="2CFC7471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EB70" w14:textId="775B3F8D" w:rsidR="00C50C94" w:rsidRPr="00527194" w:rsidRDefault="000E2EB3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FA8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2,5 ± 0,5 x 45 ± 5 cm (juostelė)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42B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</w:tbl>
    <w:p w14:paraId="6C0BDF66" w14:textId="77777777" w:rsidR="00C50C94" w:rsidRPr="00527194" w:rsidRDefault="00C50C94" w:rsidP="00527194">
      <w:pPr>
        <w:spacing w:after="0" w:line="240" w:lineRule="auto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</w:p>
    <w:p w14:paraId="1E864FC8" w14:textId="77777777" w:rsidR="00C50C94" w:rsidRPr="00527194" w:rsidRDefault="00C50C94" w:rsidP="0052719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21AF6BB9" w14:textId="711C44B1" w:rsidR="00C50C94" w:rsidRPr="00527194" w:rsidRDefault="00936477" w:rsidP="00527194">
      <w:pPr>
        <w:spacing w:after="0" w:line="240" w:lineRule="auto"/>
        <w:ind w:left="6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6.1.-6.3. </w:t>
      </w:r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Geliu virstantis (</w:t>
      </w:r>
      <w:proofErr w:type="spellStart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karboksimetilceliuliozės</w:t>
      </w:r>
      <w:proofErr w:type="spellEnd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) ar lygiavertis  tvarstis:</w:t>
      </w:r>
    </w:p>
    <w:p w14:paraId="61C4574B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4455D633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2C074955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skirtas gilių žaizdų gydymui ir tamponavimui;</w:t>
      </w:r>
    </w:p>
    <w:p w14:paraId="2E94FD73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geliu ar lygiaverčiu virstantis tvarstis, sugeriantis ir sulaikantis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eksudatą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24CBE7C4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tvarstis pagamintas iš neaustinės medžiagos, 100 ±10 %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karboksimetilceliuliozės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pluošto ar lygiaverčių medžiagų;</w:t>
      </w:r>
    </w:p>
    <w:p w14:paraId="3D870C84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sukontaktavęs su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eksudatu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, tvarstis virsta geliu ar lygiaverčiu ir palaiko drėgną žaizdos gijimo aplinką, sumažina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maceracijos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riziką, tačiau neplyšta, išlieka vientisas ir yra lengvai pašalinamas;</w:t>
      </w:r>
    </w:p>
    <w:p w14:paraId="00F7F448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gali būti karpomas;</w:t>
      </w:r>
    </w:p>
    <w:p w14:paraId="436316D8" w14:textId="77777777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4B702826" w14:textId="14287C73" w:rsidR="00C50C94" w:rsidRPr="00527194" w:rsidRDefault="00C50C94" w:rsidP="0052719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lastRenderedPageBreak/>
        <w:t>ant pakuotės pažymėtas produkto pagaminimo ir galiojimo laikas</w:t>
      </w:r>
      <w:r w:rsidR="00936477" w:rsidRPr="00527194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</w:rPr>
        <w:t>.</w:t>
      </w:r>
    </w:p>
    <w:p w14:paraId="28C10A48" w14:textId="1562AEB6" w:rsidR="00C50C94" w:rsidRPr="00527194" w:rsidRDefault="00C50C94" w:rsidP="00527194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253"/>
        <w:gridCol w:w="3685"/>
      </w:tblGrid>
      <w:tr w:rsidR="00C50C94" w:rsidRPr="00527194" w14:paraId="17739248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22C8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 xml:space="preserve">. Nr.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1617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5C7A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527194" w14:paraId="620C2277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A574" w14:textId="5FD025AD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300E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10 ± 1 x 20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458D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800</w:t>
            </w:r>
          </w:p>
        </w:tc>
      </w:tr>
      <w:tr w:rsidR="00C50C94" w:rsidRPr="00527194" w14:paraId="4CE02317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CD2" w14:textId="723634E0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BE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15 ± 1 x 15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48A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527194" w14:paraId="57DC4009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D8" w14:textId="61488E10" w:rsidR="00C50C94" w:rsidRPr="00527194" w:rsidRDefault="00936477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3FD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2,5 ± 0,5 x 45 ± 5 cm (juostelė)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2B9" w14:textId="77777777" w:rsidR="00C50C94" w:rsidRPr="00527194" w:rsidRDefault="00C50C94" w:rsidP="00527194">
            <w:pPr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</w:tbl>
    <w:p w14:paraId="37918AA3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6580623C" w14:textId="77777777" w:rsidR="00C50C94" w:rsidRPr="00527194" w:rsidRDefault="00C50C94" w:rsidP="00527194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09457B88" w14:textId="6BCD3D37" w:rsidR="00C50C94" w:rsidRPr="00527194" w:rsidRDefault="00936477" w:rsidP="00527194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7. </w:t>
      </w:r>
      <w:proofErr w:type="spellStart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Hidroaktyvus</w:t>
      </w:r>
      <w:proofErr w:type="spellEnd"/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tepalas žaizdoms 20 ±1 g:</w:t>
      </w:r>
    </w:p>
    <w:p w14:paraId="49A0BAD1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medicinės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paskirties medaus tepalas ar lygiavertis besiliesdamas su žaizdos paviršiumi palaiko drėgną žaizdos aplinką, skatina žaizdų gijimo procesą, palengvindama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nekrozinės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devitalizuotos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medžiagos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autolizę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, padeda paruošti žaizdos dugną ir skatina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epitelizaciją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, bei pasižymi antibakterinėmis savybėmis;</w:t>
      </w:r>
    </w:p>
    <w:p w14:paraId="362BB66C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galima naudoti ūminėms ir lėtinėms žaizdoms, praguloms, veninėms, arterinėms ir diabetinėms opoms, grybelių sukeltoms  žaizdoms gydyti (dezodoruoti ir išvalyti), ūmioms žaizdos ir pooperacinėms chirurginėms žaizdoms.</w:t>
      </w:r>
    </w:p>
    <w:p w14:paraId="4602268D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Sudėtis: </w:t>
      </w:r>
    </w:p>
    <w:p w14:paraId="5B8DB67A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48 +/-2% medicininio medaus (pateikti patvirtinančius dokumentus),</w:t>
      </w:r>
    </w:p>
    <w:p w14:paraId="669E5C8E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medicininės klasės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hipoalerginis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lanolinas,</w:t>
      </w:r>
    </w:p>
    <w:p w14:paraId="6451A58D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saulėgrąžų aliejaus,</w:t>
      </w:r>
    </w:p>
    <w:p w14:paraId="2B48F6A1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menkių kepenų aliejaus,</w:t>
      </w:r>
    </w:p>
    <w:p w14:paraId="292A4140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Calendula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Officinalis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,</w:t>
      </w:r>
    </w:p>
    <w:p w14:paraId="55160805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Aloe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Barbadensis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>,</w:t>
      </w:r>
    </w:p>
    <w:p w14:paraId="493E8481" w14:textId="77777777" w:rsidR="00C50C94" w:rsidRPr="00527194" w:rsidRDefault="00C50C94" w:rsidP="00527194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vitamino C ir E bei cinko oksidas;</w:t>
      </w:r>
    </w:p>
    <w:p w14:paraId="7E6E16C9" w14:textId="4A99BD4B" w:rsidR="00C50C94" w:rsidRPr="00527194" w:rsidRDefault="00C50C94" w:rsidP="00527194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pagaminimo ir galiojimo laikas</w:t>
      </w:r>
      <w:r w:rsidR="00FA6423"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.</w:t>
      </w:r>
    </w:p>
    <w:p w14:paraId="606D19A0" w14:textId="77777777" w:rsidR="00C50C94" w:rsidRPr="00527194" w:rsidRDefault="00C50C94" w:rsidP="00527194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527194">
        <w:rPr>
          <w:rFonts w:ascii="Cambria" w:eastAsia="Calibri" w:hAnsi="Cambria" w:cs="Times New Roman"/>
          <w:i/>
          <w:iCs/>
          <w:sz w:val="24"/>
          <w:szCs w:val="24"/>
        </w:rPr>
        <w:t>Orientacinis poreikis: 300 vnt.</w:t>
      </w:r>
    </w:p>
    <w:p w14:paraId="547CEBA9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576998BF" w14:textId="49EBE43F" w:rsidR="00C50C94" w:rsidRPr="00527194" w:rsidRDefault="00FA6423" w:rsidP="00527194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8. </w:t>
      </w:r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Priemonė skirta mechaniniam sudėtingų žaizdų valymui</w:t>
      </w:r>
      <w:r w:rsidR="00C50C94" w:rsidRPr="00527194">
        <w:rPr>
          <w:rFonts w:ascii="Cambria" w:eastAsia="Calibri" w:hAnsi="Cambria" w:cs="Times New Roman"/>
          <w:sz w:val="24"/>
          <w:szCs w:val="24"/>
          <w:u w:val="single"/>
        </w:rPr>
        <w:t>:</w:t>
      </w:r>
    </w:p>
    <w:p w14:paraId="0915B5E0" w14:textId="46D8826B" w:rsidR="00C50C94" w:rsidRPr="00527194" w:rsidRDefault="00FA6423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p</w:t>
      </w:r>
      <w:r w:rsidR="00C50C94" w:rsidRPr="00527194">
        <w:rPr>
          <w:rFonts w:ascii="Cambria" w:eastAsia="Calibri" w:hAnsi="Cambria" w:cs="Times New Roman"/>
          <w:sz w:val="24"/>
          <w:szCs w:val="24"/>
        </w:rPr>
        <w:t xml:space="preserve">irštinė/kempinėlė pagaminta iš minkšto </w:t>
      </w:r>
      <w:proofErr w:type="spellStart"/>
      <w:r w:rsidR="00C50C94" w:rsidRPr="00527194">
        <w:rPr>
          <w:rFonts w:ascii="Cambria" w:eastAsia="Calibri" w:hAnsi="Cambria" w:cs="Times New Roman"/>
          <w:sz w:val="24"/>
          <w:szCs w:val="24"/>
        </w:rPr>
        <w:t>monofilamentinio</w:t>
      </w:r>
      <w:proofErr w:type="spellEnd"/>
      <w:r w:rsidR="00C50C94" w:rsidRPr="00527194">
        <w:rPr>
          <w:rFonts w:ascii="Cambria" w:eastAsia="Calibri" w:hAnsi="Cambria" w:cs="Times New Roman"/>
          <w:sz w:val="24"/>
          <w:szCs w:val="24"/>
        </w:rPr>
        <w:t xml:space="preserve"> poliesterio ar lygiaverčio pluošto;</w:t>
      </w:r>
    </w:p>
    <w:p w14:paraId="20EF07BA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skirta greitam ir efektyviam sudėtingų žaizdų mechaniniam valymui. Ji švelniai pašalina „negyvus audinius“, šiukšles ir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hiperkeratozę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 iš žaizdos;</w:t>
      </w:r>
    </w:p>
    <w:p w14:paraId="0D082AA3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vandeniui atsparus pagrindas, apsaugantis nuo skysčių pratekėjimo, geras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sugeriamumas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eksudato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veiksmingas mechaninis valymas, pašalinimas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bioplėvelės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ir bakterijų iš žaizdos;</w:t>
      </w:r>
    </w:p>
    <w:p w14:paraId="0D586E4F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dydis 14x10 +/-1 cm;</w:t>
      </w:r>
    </w:p>
    <w:p w14:paraId="148C7DEE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6CC7D3E6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vienkartinė (pažymėta simboliu ant pakuotės);</w:t>
      </w:r>
    </w:p>
    <w:p w14:paraId="4919007C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be  latekso (pažymėta simboliu ant pakuotės);</w:t>
      </w:r>
    </w:p>
    <w:p w14:paraId="5F347E78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7BE4B13C" w14:textId="7D2C1FCA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galiojimo laikas</w:t>
      </w:r>
      <w:r w:rsidR="00FA6423" w:rsidRPr="00527194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</w:rPr>
        <w:t>;</w:t>
      </w:r>
    </w:p>
    <w:p w14:paraId="0F703D5E" w14:textId="77777777" w:rsidR="00C50C94" w:rsidRPr="00527194" w:rsidRDefault="00C50C94" w:rsidP="00527194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5FEEE848" w14:textId="3BB15136" w:rsidR="00C50C94" w:rsidRPr="00527194" w:rsidRDefault="00FA6423" w:rsidP="00527194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527194">
        <w:rPr>
          <w:rFonts w:ascii="Cambria" w:eastAsia="Calibri" w:hAnsi="Cambria" w:cs="Times New Roman"/>
          <w:i/>
          <w:sz w:val="24"/>
          <w:szCs w:val="24"/>
        </w:rPr>
        <w:t>Orientacinis poreikis: 3</w:t>
      </w:r>
      <w:r w:rsidR="00C50C94" w:rsidRPr="00527194">
        <w:rPr>
          <w:rFonts w:ascii="Cambria" w:eastAsia="Calibri" w:hAnsi="Cambria" w:cs="Times New Roman"/>
          <w:i/>
          <w:sz w:val="24"/>
          <w:szCs w:val="24"/>
        </w:rPr>
        <w:t>00 vnt.</w:t>
      </w:r>
    </w:p>
    <w:p w14:paraId="6B5207A4" w14:textId="77777777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44FC1796" w14:textId="2318286F" w:rsidR="00C50C94" w:rsidRPr="00527194" w:rsidRDefault="00FA6423" w:rsidP="0052719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9.1.-9.3. </w:t>
      </w:r>
      <w:r w:rsidR="00C50C94" w:rsidRPr="00527194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tvarsčiai:</w:t>
      </w:r>
    </w:p>
    <w:p w14:paraId="1621BCD2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27558A46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17A66BEF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668774C2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75971482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antimikrobiniai;</w:t>
      </w:r>
    </w:p>
    <w:p w14:paraId="3FFABDDB" w14:textId="77777777" w:rsidR="00C50C94" w:rsidRPr="00527194" w:rsidRDefault="00C50C94" w:rsidP="00527194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lastRenderedPageBreak/>
        <w:t>dviejų sluoksnių neaustinio pluošto tvarsčiai, kurių sudėtyje yra vario oksido ar lygiavertės medžiagos;</w:t>
      </w:r>
    </w:p>
    <w:p w14:paraId="11525380" w14:textId="77777777" w:rsidR="00C50C94" w:rsidRPr="00527194" w:rsidRDefault="00C50C94" w:rsidP="005271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vidinis absorbuojantis celiuliozės ir poliesterio ar lygiavertis sluoksnis su vario oksidu ar lygiaverte medžiaga;</w:t>
      </w:r>
    </w:p>
    <w:p w14:paraId="1E5A2048" w14:textId="77777777" w:rsidR="00C50C94" w:rsidRPr="00527194" w:rsidRDefault="00C50C94" w:rsidP="005271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išorinis nelipnus neaustinio polipropileno ar lygiavertis sluoksnis su vario oksidu ar lygiaverte medžiaga;</w:t>
      </w:r>
    </w:p>
    <w:p w14:paraId="02952847" w14:textId="77777777" w:rsidR="00C50C94" w:rsidRPr="00527194" w:rsidRDefault="00C50C94" w:rsidP="00527194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2F36CF29" w14:textId="77777777" w:rsidR="00C50C94" w:rsidRPr="00527194" w:rsidRDefault="00C50C94" w:rsidP="00527194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64B6278B" w14:textId="77777777" w:rsidR="00C50C94" w:rsidRPr="00527194" w:rsidRDefault="00C50C94" w:rsidP="00527194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Style w:val="TableGrid"/>
        <w:tblpPr w:leftFromText="180" w:rightFromText="180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921"/>
        <w:gridCol w:w="4799"/>
        <w:gridCol w:w="3685"/>
      </w:tblGrid>
      <w:tr w:rsidR="00C50C94" w:rsidRPr="00527194" w14:paraId="4BA7513F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F390" w14:textId="77777777" w:rsidR="00C50C94" w:rsidRPr="00527194" w:rsidRDefault="00C50C94" w:rsidP="00527194">
            <w:pPr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 xml:space="preserve">. Nr.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9CA7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7520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527194" w14:paraId="260356B2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CB34" w14:textId="09641133" w:rsidR="00C50C94" w:rsidRPr="00527194" w:rsidRDefault="00FA6423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9.1.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8A9F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20 x 20 ± 3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ABA2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527194" w14:paraId="511DCB7C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B344" w14:textId="1C4BF0D3" w:rsidR="00C50C94" w:rsidRPr="00527194" w:rsidRDefault="00FA6423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9.2.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848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>10 x 12 ± 3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F04E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527194" w14:paraId="5EC3BEAC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424" w14:textId="6D507E18" w:rsidR="00C50C94" w:rsidRPr="00527194" w:rsidRDefault="00FA6423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9.3.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FF3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bCs/>
                <w:sz w:val="24"/>
                <w:szCs w:val="24"/>
              </w:rPr>
              <w:t xml:space="preserve">5 x 6 ± 1 cm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552" w14:textId="77777777" w:rsidR="00C50C94" w:rsidRPr="00527194" w:rsidRDefault="00C50C94" w:rsidP="00527194">
            <w:pPr>
              <w:ind w:firstLine="340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500</w:t>
            </w:r>
          </w:p>
        </w:tc>
      </w:tr>
    </w:tbl>
    <w:p w14:paraId="64192A51" w14:textId="44025DB9" w:rsidR="00C50C94" w:rsidRPr="00527194" w:rsidRDefault="00C50C94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34795F56" w14:textId="27339BAC" w:rsidR="00C50C94" w:rsidRPr="00527194" w:rsidRDefault="00FA6423" w:rsidP="0052719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10. </w:t>
      </w:r>
      <w:r w:rsidR="00C50C94" w:rsidRPr="00527194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 su lipniu kraštu 10 x 25 ± 5cm:</w:t>
      </w:r>
    </w:p>
    <w:p w14:paraId="2F4B2E06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72317677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6E9AAEB6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3F2D6325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4B4152FD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antimikrobiniai;</w:t>
      </w:r>
    </w:p>
    <w:p w14:paraId="241997DE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dviejų sluoksnių neaustinio pluošto tvarsčiai, kurių sudėtyje yra vario oksido ar lygiavertė medžiaga;</w:t>
      </w:r>
    </w:p>
    <w:p w14:paraId="04E3DEF7" w14:textId="77777777" w:rsidR="00C50C94" w:rsidRPr="00527194" w:rsidRDefault="00C50C94" w:rsidP="00527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vidinis absorbuojantis celiuliozės ir poliesterio ar lygiavertis sluoksnis su vario oksidu ar lygiaverte medžiaga;</w:t>
      </w:r>
    </w:p>
    <w:p w14:paraId="34ED6FDD" w14:textId="77777777" w:rsidR="00C50C94" w:rsidRPr="00527194" w:rsidRDefault="00C50C94" w:rsidP="00527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išorinis lipnus neaustinio polipropileno ar lygiavertis sluoksnis;</w:t>
      </w:r>
    </w:p>
    <w:p w14:paraId="13E94BBA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dydis: 10 x 25 ± 5cm</w:t>
      </w:r>
    </w:p>
    <w:p w14:paraId="780ADB42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538A7820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022F34ED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680E1EA5" w14:textId="77777777" w:rsidR="00C50C94" w:rsidRPr="00527194" w:rsidRDefault="00C50C94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27194">
        <w:rPr>
          <w:rFonts w:ascii="Cambria" w:eastAsia="Calibri" w:hAnsi="Cambria" w:cs="Times New Roman"/>
          <w:i/>
          <w:sz w:val="24"/>
          <w:szCs w:val="24"/>
        </w:rPr>
        <w:t>Orientacinis poreikis: 1000 vnt.</w:t>
      </w:r>
    </w:p>
    <w:p w14:paraId="27A76A75" w14:textId="77777777" w:rsidR="000E2EB3" w:rsidRPr="00527194" w:rsidRDefault="000E2EB3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00BA82C7" w14:textId="116902E8" w:rsidR="00C50C94" w:rsidRPr="00527194" w:rsidRDefault="00FA6423" w:rsidP="00527194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52719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11. </w:t>
      </w:r>
      <w:r w:rsidR="00C50C94" w:rsidRPr="00527194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 su lipniu kraštu 10 x 10 ± 1cm:</w:t>
      </w:r>
    </w:p>
    <w:p w14:paraId="0E37C6D1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0CD2EE16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13047CC7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2E3391A8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0B67B470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antimikrobiniai;</w:t>
      </w:r>
    </w:p>
    <w:p w14:paraId="2481D2B7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dviejų sluoksnių neaustinio pluošto tvarsčiai, kurių sudėtyje yra vario oksido ar lygiavertė medžiaga;</w:t>
      </w:r>
    </w:p>
    <w:p w14:paraId="237D8425" w14:textId="77777777" w:rsidR="00C50C94" w:rsidRPr="00527194" w:rsidRDefault="00C50C94" w:rsidP="00527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vidinis absorbuojantis celiuliozės ir poliesterio ar lygiavertis sluoksnis su vario oksidu ar lygiaverte medžiaga;</w:t>
      </w:r>
    </w:p>
    <w:p w14:paraId="2143507B" w14:textId="77777777" w:rsidR="00C50C94" w:rsidRPr="00527194" w:rsidRDefault="00C50C94" w:rsidP="005271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išorinis lipnus neaustinio polipropileno ar lygiavertis sluoksnis;</w:t>
      </w:r>
    </w:p>
    <w:p w14:paraId="2E733006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dydis: 10 x 10 ± 1cm</w:t>
      </w:r>
    </w:p>
    <w:p w14:paraId="14063441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4D0F6A2E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6369509F" w14:textId="77777777" w:rsidR="00C50C94" w:rsidRPr="00527194" w:rsidRDefault="00C50C94" w:rsidP="00527194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5A46C71E" w14:textId="77777777" w:rsidR="00C50C94" w:rsidRPr="00527194" w:rsidRDefault="00C50C94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27194">
        <w:rPr>
          <w:rFonts w:ascii="Cambria" w:eastAsia="Calibri" w:hAnsi="Cambria" w:cs="Times New Roman"/>
          <w:i/>
          <w:sz w:val="24"/>
          <w:szCs w:val="24"/>
        </w:rPr>
        <w:t>Orientacinis poreikis: 1000 vnt.</w:t>
      </w:r>
    </w:p>
    <w:p w14:paraId="5CABC28D" w14:textId="77777777" w:rsidR="000E2EB3" w:rsidRPr="00527194" w:rsidRDefault="000E2EB3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151D2B53" w14:textId="77777777" w:rsidR="002D3A66" w:rsidRPr="00527194" w:rsidRDefault="002D3A66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1B13BE5C" w14:textId="77777777" w:rsidR="002D3A66" w:rsidRPr="00527194" w:rsidRDefault="002D3A66" w:rsidP="00527194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6AE78339" w14:textId="375E4A00" w:rsidR="00FA6423" w:rsidRPr="00527194" w:rsidRDefault="00FA6423" w:rsidP="00527194">
      <w:pPr>
        <w:spacing w:after="0" w:line="240" w:lineRule="auto"/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</w:pPr>
      <w:r w:rsidRPr="00527194"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  <w:lastRenderedPageBreak/>
        <w:t>12. Antimikrobinis žaizdų valymo tirpalas 350 ml (sterilus):</w:t>
      </w:r>
    </w:p>
    <w:p w14:paraId="4EA211F3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plaunamasis žaizdų tirpalas, skirtas ūminėms neinfekuotoms ir infekuotoms trauminėms žaizdoms, pooperacinėms žaizdoms, lėtinėms neinfekuotoms ir infekuotoms žaizdoms (pvz., praguloms, veninėms kojų opoms, diabetinėms pėdų opoms), terminėms ir cheminėms žaizdoms: I ir II laipsnių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nudegimams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, cheminiams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nudegimams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, po gydymo spinduliuote atsiradusioms žaizdoms, fistulėms ir pūliniams, urologinių kateterių, PEG / PEJ arba drenažo vamzdelių įvedimo jungtims,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peristominei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odai,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bioplėvelės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suardymui;</w:t>
      </w:r>
    </w:p>
    <w:p w14:paraId="3A977503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sudėtis: išgrynintas vanduo,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betaino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paviršinio aktyvumo medžiaga, 0,1 %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poliaminopropilo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biguanido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(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poliheksanido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) ar lygiavertės medžiagos;</w:t>
      </w:r>
    </w:p>
    <w:p w14:paraId="5F70D6D8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sterilus (simbolis ant flakono);</w:t>
      </w:r>
    </w:p>
    <w:p w14:paraId="06EF05BF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galima lašinti vykdant žaizdų gydymą neigiamu slėgiu;</w:t>
      </w:r>
    </w:p>
    <w:p w14:paraId="1ABC2BBC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nedirginantis ir gerai toleruojamas; neskausmingas; netrikdo granuliacijos ir </w:t>
      </w:r>
      <w:proofErr w:type="spellStart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epitelizacijos</w:t>
      </w:r>
      <w:proofErr w:type="spellEnd"/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procesų;</w:t>
      </w:r>
    </w:p>
    <w:p w14:paraId="3FE67961" w14:textId="2F7AE0A0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pagaminimo ir galiojimo laikas mėnesiais;</w:t>
      </w:r>
    </w:p>
    <w:p w14:paraId="07CB4CEB" w14:textId="77777777" w:rsidR="00FA6423" w:rsidRPr="00527194" w:rsidRDefault="00FA6423" w:rsidP="00527194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flakonas 350±50 ml.</w:t>
      </w:r>
    </w:p>
    <w:p w14:paraId="1D527C36" w14:textId="77777777" w:rsidR="00FA6423" w:rsidRPr="00527194" w:rsidRDefault="00FA6423" w:rsidP="00527194">
      <w:pPr>
        <w:spacing w:after="0" w:line="240" w:lineRule="auto"/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</w:pPr>
      <w:r w:rsidRPr="00527194"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  <w:t>Orientacinis poreikis 300 vnt.</w:t>
      </w:r>
    </w:p>
    <w:p w14:paraId="44536FF7" w14:textId="77777777" w:rsidR="000E2EB3" w:rsidRPr="00527194" w:rsidRDefault="000E2EB3" w:rsidP="00527194">
      <w:pPr>
        <w:spacing w:after="0" w:line="240" w:lineRule="auto"/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</w:pPr>
    </w:p>
    <w:p w14:paraId="68519E31" w14:textId="5D0EA4B6" w:rsidR="00C50C94" w:rsidRPr="00527194" w:rsidRDefault="00FA6423" w:rsidP="00527194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13.1.-13.2. </w:t>
      </w:r>
      <w:r w:rsidR="00C50C94" w:rsidRPr="00527194">
        <w:rPr>
          <w:rFonts w:ascii="Cambria" w:eastAsia="Calibri" w:hAnsi="Cambria" w:cs="Times New Roman"/>
          <w:b/>
          <w:bCs/>
          <w:sz w:val="24"/>
          <w:szCs w:val="24"/>
          <w:u w:val="single"/>
        </w:rPr>
        <w:t>Vienkartinė sidabro nitrato 75 proc. lazdelė:</w:t>
      </w:r>
    </w:p>
    <w:p w14:paraId="1E2EA4E8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sidabro nitrato – kalio nitrato pagaliukai;</w:t>
      </w:r>
    </w:p>
    <w:p w14:paraId="7E79095B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vienkartinė (simbolis ant pakuotės);</w:t>
      </w:r>
    </w:p>
    <w:p w14:paraId="0468E74A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477DC5D8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lazdelės, skirtos: ginekologijai,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stomų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priežiūrai, karpų ir nuospaudų šalinimui, kapiliarų prideginimui, po biopsijų ir kt.;</w:t>
      </w:r>
    </w:p>
    <w:p w14:paraId="3F1BBFA4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turi turėti antibakterinį, sutraukiantį, koaguliacinį poveikį;</w:t>
      </w:r>
    </w:p>
    <w:p w14:paraId="2693DE0E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 xml:space="preserve">dėl nedidelio galvutės dydžio, lazdeles patogu </w:t>
      </w:r>
      <w:proofErr w:type="spellStart"/>
      <w:r w:rsidRPr="00527194">
        <w:rPr>
          <w:rFonts w:ascii="Cambria" w:eastAsia="Calibri" w:hAnsi="Cambria" w:cs="Times New Roman"/>
          <w:sz w:val="24"/>
          <w:szCs w:val="24"/>
        </w:rPr>
        <w:t>aplikuoti</w:t>
      </w:r>
      <w:proofErr w:type="spellEnd"/>
      <w:r w:rsidRPr="00527194">
        <w:rPr>
          <w:rFonts w:ascii="Cambria" w:eastAsia="Calibri" w:hAnsi="Cambria" w:cs="Times New Roman"/>
          <w:sz w:val="24"/>
          <w:szCs w:val="24"/>
        </w:rPr>
        <w:t xml:space="preserve"> į konkrečią vietą;</w:t>
      </w:r>
    </w:p>
    <w:p w14:paraId="11BA9302" w14:textId="77777777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DA677FD" w14:textId="6685589C" w:rsidR="00C50C94" w:rsidRPr="00527194" w:rsidRDefault="00C50C94" w:rsidP="00527194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pagaminimo ir galiojimo laikas</w:t>
      </w:r>
      <w:r w:rsidR="005909B7" w:rsidRPr="00527194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527194">
        <w:rPr>
          <w:rFonts w:ascii="Cambria" w:eastAsia="Calibri" w:hAnsi="Cambria" w:cs="Times New Roman"/>
          <w:sz w:val="24"/>
          <w:szCs w:val="24"/>
        </w:rPr>
        <w:t>.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266"/>
        <w:gridCol w:w="3714"/>
        <w:gridCol w:w="2368"/>
      </w:tblGrid>
      <w:tr w:rsidR="00C50C94" w:rsidRPr="00527194" w14:paraId="57063B43" w14:textId="77777777" w:rsidTr="00F230F7"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EA98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A037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Lazdelės ilgis (cm)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0D08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Lazdelės struktūros savybė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EECF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527194" w14:paraId="220E1F73" w14:textId="77777777" w:rsidTr="004C06E3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5ECB" w14:textId="246567B8" w:rsidR="00C50C94" w:rsidRPr="00527194" w:rsidRDefault="00FA6423" w:rsidP="00527194">
            <w:pPr>
              <w:spacing w:after="0" w:line="240" w:lineRule="auto"/>
              <w:rPr>
                <w:rFonts w:ascii="Cambria" w:eastAsia="Calibri" w:hAnsi="Cambria" w:cs="Times New Roman"/>
                <w:iCs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iCs/>
                <w:sz w:val="24"/>
                <w:szCs w:val="24"/>
              </w:rPr>
              <w:t>13.1.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6956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Calibri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20  ± 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F0C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Kieta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5AED" w14:textId="77777777" w:rsidR="00C50C94" w:rsidRPr="00527194" w:rsidRDefault="00C50C94" w:rsidP="0052719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17 000</w:t>
            </w:r>
          </w:p>
        </w:tc>
      </w:tr>
      <w:tr w:rsidR="00C50C94" w:rsidRPr="00527194" w14:paraId="07E50FD4" w14:textId="77777777" w:rsidTr="004C06E3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4118" w14:textId="72080B8F" w:rsidR="00C50C94" w:rsidRPr="00527194" w:rsidRDefault="00FA6423" w:rsidP="0052719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13.2.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DFAE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Calibri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11,5 ± 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E544" w14:textId="77777777" w:rsidR="00C50C94" w:rsidRPr="00527194" w:rsidRDefault="00C50C94" w:rsidP="00527194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Elastinga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70704" w14:textId="233F4D56" w:rsidR="00C50C94" w:rsidRPr="00527194" w:rsidRDefault="00C50C94" w:rsidP="005271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45" w:hanging="142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27194">
              <w:rPr>
                <w:rFonts w:ascii="Cambria" w:eastAsia="Calibri" w:hAnsi="Cambria" w:cs="Times New Roman"/>
                <w:sz w:val="24"/>
                <w:szCs w:val="24"/>
              </w:rPr>
              <w:t>000</w:t>
            </w:r>
          </w:p>
        </w:tc>
      </w:tr>
    </w:tbl>
    <w:p w14:paraId="799CF6A7" w14:textId="77777777" w:rsidR="00C50C94" w:rsidRPr="00527194" w:rsidRDefault="00C50C94" w:rsidP="00527194">
      <w:pPr>
        <w:spacing w:after="0" w:line="240" w:lineRule="auto"/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</w:pPr>
    </w:p>
    <w:p w14:paraId="0C8B2B71" w14:textId="4C97BC35" w:rsidR="00FA6423" w:rsidRPr="00527194" w:rsidRDefault="0066296B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527194">
        <w:rPr>
          <w:rFonts w:ascii="Cambria" w:hAnsi="Cambria"/>
          <w:b/>
          <w:bCs/>
          <w:sz w:val="24"/>
          <w:szCs w:val="24"/>
        </w:rPr>
        <w:t xml:space="preserve">14. </w:t>
      </w:r>
      <w:proofErr w:type="spellStart"/>
      <w:r w:rsidR="00FA6423"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Accutron</w:t>
      </w:r>
      <w:proofErr w:type="spellEnd"/>
      <w:r w:rsidR="00FA6423"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MR </w:t>
      </w:r>
      <w:proofErr w:type="spellStart"/>
      <w:r w:rsidR="00FA6423"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injektoriaus</w:t>
      </w:r>
      <w:proofErr w:type="spellEnd"/>
      <w:r w:rsidR="00FA6423" w:rsidRPr="00527194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vienkartinių švirkštų rinkinys:</w:t>
      </w:r>
    </w:p>
    <w:p w14:paraId="520E4B31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suderintas darbui su </w:t>
      </w:r>
      <w:proofErr w:type="spellStart"/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Medtron</w:t>
      </w:r>
      <w:proofErr w:type="spellEnd"/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 sistema;</w:t>
      </w:r>
    </w:p>
    <w:p w14:paraId="09677909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sterilus </w:t>
      </w:r>
      <w:r w:rsidRPr="00527194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;</w:t>
      </w:r>
    </w:p>
    <w:p w14:paraId="619B06C4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vienkartinis (pažymėta simboliu);</w:t>
      </w:r>
    </w:p>
    <w:p w14:paraId="135F6566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individualiame įpakavime;</w:t>
      </w:r>
    </w:p>
    <w:p w14:paraId="4DC1A583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18F779EB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su numatyta pakuotės atidarymo vieta;</w:t>
      </w:r>
    </w:p>
    <w:p w14:paraId="690CF25A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bCs/>
          <w:color w:val="000000"/>
          <w:sz w:val="24"/>
          <w:szCs w:val="24"/>
        </w:rPr>
        <w:t>rinkinį sudaro:</w:t>
      </w:r>
    </w:p>
    <w:p w14:paraId="30BA5990" w14:textId="77777777" w:rsidR="00FA6423" w:rsidRPr="00527194" w:rsidRDefault="00FA6423" w:rsidP="005271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</w:rPr>
        <w:t>ELS 65 ml švirkštas – 1 vnt;</w:t>
      </w:r>
    </w:p>
    <w:p w14:paraId="780AAE3E" w14:textId="77777777" w:rsidR="00FA6423" w:rsidRPr="00527194" w:rsidRDefault="00FA6423" w:rsidP="005271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</w:rPr>
        <w:t>ELS 200 ml švirkštas – 1 vnt;</w:t>
      </w:r>
    </w:p>
    <w:p w14:paraId="4CCB84EC" w14:textId="77777777" w:rsidR="00FA6423" w:rsidRPr="00527194" w:rsidRDefault="00FA6423" w:rsidP="005271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</w:rPr>
        <w:t>MR vamzdelių sistema su vožtuvais  - 1 vnt;</w:t>
      </w:r>
    </w:p>
    <w:p w14:paraId="36B72A13" w14:textId="77777777" w:rsidR="00FA6423" w:rsidRPr="00527194" w:rsidRDefault="00FA6423" w:rsidP="005271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standartinis smaigas – 1 vnt;</w:t>
      </w:r>
    </w:p>
    <w:p w14:paraId="2BD5FAAA" w14:textId="77777777" w:rsidR="00FA6423" w:rsidRPr="00527194" w:rsidRDefault="00FA6423" w:rsidP="0052719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Mini-smaigas – 1 vnt;</w:t>
      </w:r>
    </w:p>
    <w:p w14:paraId="3394DE80" w14:textId="77777777" w:rsidR="0066296B" w:rsidRPr="00527194" w:rsidRDefault="0066296B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maksimalus slėgis ≥ 305 PSI;</w:t>
      </w:r>
    </w:p>
    <w:p w14:paraId="0DFEA96B" w14:textId="09022D6A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švirkštai pagaminti iš aukščiausios kokybės polimerinės ar lygiavertės medžiagos sertifikuotos ES;</w:t>
      </w:r>
    </w:p>
    <w:p w14:paraId="7DB63354" w14:textId="77777777" w:rsidR="00FA6423" w:rsidRPr="00527194" w:rsidRDefault="00FA6423" w:rsidP="00527194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proofErr w:type="spellStart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injektoriaus</w:t>
      </w:r>
      <w:proofErr w:type="spellEnd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gamintojo pažyma, patvirtinanti, kad siūlomas  švirkštų rinkinys tinkamas darbui  su </w:t>
      </w:r>
      <w:proofErr w:type="spellStart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Accutron</w:t>
      </w:r>
      <w:proofErr w:type="spellEnd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MR </w:t>
      </w:r>
      <w:proofErr w:type="spellStart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injektoriumi</w:t>
      </w:r>
      <w:proofErr w:type="spellEnd"/>
      <w:r w:rsidRPr="00527194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.</w:t>
      </w:r>
    </w:p>
    <w:p w14:paraId="51DC05F7" w14:textId="77777777" w:rsidR="00FA6423" w:rsidRPr="00527194" w:rsidRDefault="00FA6423" w:rsidP="00527194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527194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500 vnt.</w:t>
      </w:r>
    </w:p>
    <w:p w14:paraId="0574724C" w14:textId="437A3139" w:rsidR="00D21D99" w:rsidRPr="00527194" w:rsidRDefault="0066296B" w:rsidP="00527194">
      <w:pPr>
        <w:spacing w:after="0" w:line="240" w:lineRule="auto"/>
        <w:rPr>
          <w:rFonts w:ascii="Cambria" w:hAnsi="Cambria"/>
          <w:b/>
          <w:bCs/>
          <w:color w:val="FF0000"/>
          <w:sz w:val="24"/>
          <w:szCs w:val="24"/>
          <w:u w:val="single"/>
        </w:rPr>
      </w:pPr>
      <w:r w:rsidRPr="00527194">
        <w:rPr>
          <w:rFonts w:ascii="Cambria" w:hAnsi="Cambria"/>
          <w:b/>
          <w:bCs/>
          <w:sz w:val="24"/>
          <w:szCs w:val="24"/>
          <w:u w:val="single"/>
        </w:rPr>
        <w:lastRenderedPageBreak/>
        <w:t xml:space="preserve">15. </w:t>
      </w:r>
      <w:r w:rsidR="000E2347" w:rsidRPr="00527194">
        <w:rPr>
          <w:rFonts w:ascii="Cambria" w:hAnsi="Cambria"/>
          <w:b/>
          <w:bCs/>
          <w:sz w:val="24"/>
          <w:szCs w:val="24"/>
          <w:u w:val="single"/>
        </w:rPr>
        <w:t>Vienkartiniai pincetai</w:t>
      </w:r>
      <w:r w:rsidRPr="0052719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268BDF3" w14:textId="008DCAD7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sterilus (simbolis ant pakuotės);</w:t>
      </w:r>
    </w:p>
    <w:p w14:paraId="274BCD33" w14:textId="0501D2A3" w:rsidR="0066296B" w:rsidRPr="00527194" w:rsidRDefault="00750D1D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15-20</w:t>
      </w:r>
      <w:r w:rsidR="0066296B" w:rsidRPr="00527194">
        <w:rPr>
          <w:rFonts w:ascii="Cambria" w:hAnsi="Cambria"/>
          <w:sz w:val="24"/>
          <w:szCs w:val="24"/>
        </w:rPr>
        <w:t xml:space="preserve"> cm;</w:t>
      </w:r>
    </w:p>
    <w:p w14:paraId="220BE0AA" w14:textId="09A54425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vienkartinis (pažymėta simboliu);</w:t>
      </w:r>
    </w:p>
    <w:p w14:paraId="3CB6AA02" w14:textId="3648B03A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pagamintas iš plastiko ar lygiavertės medžiagos;</w:t>
      </w:r>
    </w:p>
    <w:p w14:paraId="7AF3CE60" w14:textId="796D4EA1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ergonomiško dizaino;</w:t>
      </w:r>
    </w:p>
    <w:p w14:paraId="7641219F" w14:textId="716E5E30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spyruoklinis;</w:t>
      </w:r>
    </w:p>
    <w:p w14:paraId="3BB3CE91" w14:textId="437B42A0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neslystanti rankena;</w:t>
      </w:r>
    </w:p>
    <w:p w14:paraId="7C08699D" w14:textId="6AB7BC6E" w:rsidR="0066296B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dantytais snapeliai;</w:t>
      </w:r>
    </w:p>
    <w:p w14:paraId="231A94CA" w14:textId="2C2FDE91" w:rsidR="000E2347" w:rsidRPr="00527194" w:rsidRDefault="0066296B" w:rsidP="00527194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pakuotėje po 1 vnt.</w:t>
      </w:r>
    </w:p>
    <w:p w14:paraId="75D8D44C" w14:textId="0C8717DD" w:rsidR="000E2347" w:rsidRPr="00527194" w:rsidRDefault="000E2347" w:rsidP="00527194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527194">
        <w:rPr>
          <w:rFonts w:ascii="Cambria" w:hAnsi="Cambria"/>
          <w:i/>
          <w:sz w:val="24"/>
          <w:szCs w:val="24"/>
        </w:rPr>
        <w:t>Orientacinis poreikis: 400 vnt.</w:t>
      </w:r>
    </w:p>
    <w:p w14:paraId="035F80D3" w14:textId="77777777" w:rsidR="000E2347" w:rsidRPr="00527194" w:rsidRDefault="000E2347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69E018B" w14:textId="08C5DF6C" w:rsidR="001773A1" w:rsidRPr="00527194" w:rsidRDefault="0066296B" w:rsidP="00527194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527194">
        <w:rPr>
          <w:rFonts w:ascii="Cambria" w:hAnsi="Cambria"/>
          <w:b/>
          <w:bCs/>
          <w:sz w:val="24"/>
          <w:szCs w:val="24"/>
          <w:u w:val="single"/>
        </w:rPr>
        <w:t xml:space="preserve">16. </w:t>
      </w:r>
      <w:r w:rsidR="001773A1" w:rsidRPr="00527194">
        <w:rPr>
          <w:rFonts w:ascii="Cambria" w:hAnsi="Cambria"/>
          <w:b/>
          <w:bCs/>
          <w:sz w:val="24"/>
          <w:szCs w:val="24"/>
          <w:u w:val="single"/>
        </w:rPr>
        <w:t xml:space="preserve">Vietiškai </w:t>
      </w:r>
      <w:proofErr w:type="spellStart"/>
      <w:r w:rsidR="001773A1" w:rsidRPr="00527194">
        <w:rPr>
          <w:rFonts w:ascii="Cambria" w:hAnsi="Cambria"/>
          <w:b/>
          <w:bCs/>
          <w:sz w:val="24"/>
          <w:szCs w:val="24"/>
          <w:u w:val="single"/>
        </w:rPr>
        <w:t>dehidratuo</w:t>
      </w:r>
      <w:r w:rsidR="00750D1D" w:rsidRPr="00527194">
        <w:rPr>
          <w:rFonts w:ascii="Cambria" w:hAnsi="Cambria"/>
          <w:b/>
          <w:bCs/>
          <w:sz w:val="24"/>
          <w:szCs w:val="24"/>
          <w:u w:val="single"/>
        </w:rPr>
        <w:t>jantis</w:t>
      </w:r>
      <w:proofErr w:type="spellEnd"/>
      <w:r w:rsidR="00750D1D" w:rsidRPr="00527194">
        <w:rPr>
          <w:rFonts w:ascii="Cambria" w:hAnsi="Cambria"/>
          <w:b/>
          <w:bCs/>
          <w:sz w:val="24"/>
          <w:szCs w:val="24"/>
          <w:u w:val="single"/>
        </w:rPr>
        <w:t xml:space="preserve"> žaizdų valymo gelis</w:t>
      </w:r>
      <w:r w:rsidR="0025113E" w:rsidRPr="00527194">
        <w:rPr>
          <w:rFonts w:ascii="Cambria" w:hAnsi="Cambria"/>
          <w:b/>
          <w:bCs/>
          <w:sz w:val="24"/>
          <w:szCs w:val="24"/>
          <w:u w:val="single"/>
        </w:rPr>
        <w:t xml:space="preserve"> arba lygiavertis</w:t>
      </w:r>
      <w:r w:rsidR="00750D1D" w:rsidRPr="0052719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6AE23EA" w14:textId="613A357C" w:rsidR="001773A1" w:rsidRPr="00527194" w:rsidRDefault="001773A1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medicininės paskirti</w:t>
      </w:r>
      <w:r w:rsidR="0025113E" w:rsidRPr="00527194">
        <w:rPr>
          <w:rFonts w:ascii="Cambria" w:hAnsi="Cambria"/>
          <w:sz w:val="24"/>
          <w:szCs w:val="24"/>
        </w:rPr>
        <w:t>es prekė;</w:t>
      </w:r>
    </w:p>
    <w:p w14:paraId="61A4897E" w14:textId="716BC31D" w:rsidR="001773A1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skirta žaizdų išvalymui;</w:t>
      </w:r>
    </w:p>
    <w:p w14:paraId="003B9D8A" w14:textId="2D3C97F1" w:rsidR="001773A1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išoriniam naudojimui;</w:t>
      </w:r>
    </w:p>
    <w:p w14:paraId="0A1766CA" w14:textId="5F9FD4EA" w:rsidR="001773A1" w:rsidRPr="00527194" w:rsidRDefault="001773A1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 xml:space="preserve">užpylus ant žaizdos laikomas ne ilgiau kaip 60 </w:t>
      </w:r>
      <w:r w:rsidR="0025113E" w:rsidRPr="00527194">
        <w:rPr>
          <w:rFonts w:ascii="Cambria" w:hAnsi="Cambria"/>
          <w:sz w:val="24"/>
          <w:szCs w:val="24"/>
        </w:rPr>
        <w:t>sekundžių;</w:t>
      </w:r>
    </w:p>
    <w:p w14:paraId="3ECF1AF1" w14:textId="404FF453" w:rsidR="001773A1" w:rsidRPr="00527194" w:rsidRDefault="001773A1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proofErr w:type="spellStart"/>
      <w:r w:rsidRPr="00527194">
        <w:rPr>
          <w:rFonts w:ascii="Cambria" w:hAnsi="Cambria"/>
          <w:sz w:val="24"/>
          <w:szCs w:val="24"/>
        </w:rPr>
        <w:t>metansulfon</w:t>
      </w:r>
      <w:r w:rsidR="0025113E" w:rsidRPr="00527194">
        <w:rPr>
          <w:rFonts w:ascii="Cambria" w:hAnsi="Cambria"/>
          <w:sz w:val="24"/>
          <w:szCs w:val="24"/>
        </w:rPr>
        <w:t>rūgštis</w:t>
      </w:r>
      <w:proofErr w:type="spellEnd"/>
      <w:r w:rsidR="0025113E" w:rsidRPr="00527194">
        <w:rPr>
          <w:rFonts w:ascii="Cambria" w:hAnsi="Cambria"/>
          <w:sz w:val="24"/>
          <w:szCs w:val="24"/>
        </w:rPr>
        <w:t>, garų pavidalo silicis;</w:t>
      </w:r>
    </w:p>
    <w:p w14:paraId="2A496350" w14:textId="5D9B5565" w:rsidR="001773A1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raudonos spalvos klampus gelis arba lygiavertis;</w:t>
      </w:r>
    </w:p>
    <w:p w14:paraId="5C73C176" w14:textId="08DCAE83" w:rsidR="001773A1" w:rsidRPr="00527194" w:rsidRDefault="001773A1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3ml</w:t>
      </w:r>
      <w:r w:rsidR="0025113E" w:rsidRPr="00527194">
        <w:rPr>
          <w:rFonts w:ascii="Cambria" w:hAnsi="Cambria"/>
          <w:sz w:val="24"/>
          <w:szCs w:val="24"/>
        </w:rPr>
        <w:t xml:space="preserve"> (± 2ml)  buteliukas;</w:t>
      </w:r>
    </w:p>
    <w:p w14:paraId="5FD1BE0E" w14:textId="51F41AA3" w:rsidR="001773A1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įpakuota po vieną buteliuką;</w:t>
      </w:r>
    </w:p>
    <w:p w14:paraId="7F28B70C" w14:textId="77777777" w:rsidR="0025113E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>pažymėta ES CE ženklu;</w:t>
      </w:r>
    </w:p>
    <w:p w14:paraId="785689DC" w14:textId="77777777" w:rsidR="0025113E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608139C8" w14:textId="6C72385E" w:rsidR="0025113E" w:rsidRPr="00527194" w:rsidRDefault="0025113E" w:rsidP="00527194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ant pakuotės pažymėtas produkto pagaminimo ir galiojimo laikas mėnesiais.</w:t>
      </w:r>
    </w:p>
    <w:p w14:paraId="37543C55" w14:textId="1820D386" w:rsidR="00791639" w:rsidRPr="00527194" w:rsidRDefault="00B3693C" w:rsidP="00527194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527194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182BA119" w14:textId="77777777" w:rsidR="00791639" w:rsidRPr="00527194" w:rsidRDefault="00791639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E5F70A8" w14:textId="5CCFEB83" w:rsidR="00791639" w:rsidRPr="00527194" w:rsidRDefault="00791639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3DFE916" w14:textId="77777777" w:rsidR="004C06E3" w:rsidRPr="00527194" w:rsidRDefault="004C06E3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FDB732" w14:textId="77777777" w:rsidR="004C06E3" w:rsidRPr="00527194" w:rsidRDefault="004C06E3" w:rsidP="0052719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E28B672" w14:textId="77777777" w:rsidR="00791639" w:rsidRPr="00527194" w:rsidRDefault="00791639" w:rsidP="0052719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hAnsi="Cambria"/>
          <w:sz w:val="24"/>
          <w:szCs w:val="24"/>
        </w:rPr>
        <w:tab/>
      </w:r>
      <w:r w:rsidRPr="00527194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4AEBFDAB" w14:textId="77777777" w:rsidR="00791639" w:rsidRPr="00527194" w:rsidRDefault="00791639" w:rsidP="0052719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5A6F632F" w14:textId="77777777" w:rsidR="00791639" w:rsidRPr="00527194" w:rsidRDefault="00791639" w:rsidP="00527194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527194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7E3CE8A6" w14:textId="77777777" w:rsidR="00791639" w:rsidRPr="00527194" w:rsidRDefault="00791639" w:rsidP="0052719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FFB4147" w14:textId="77777777" w:rsidR="000E2EB3" w:rsidRPr="00527194" w:rsidRDefault="000E2EB3" w:rsidP="00527194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F8AD99B" w14:textId="7CCAE10D" w:rsidR="000E2347" w:rsidRPr="00527194" w:rsidRDefault="000E2347" w:rsidP="00527194">
      <w:pPr>
        <w:tabs>
          <w:tab w:val="left" w:pos="2415"/>
        </w:tabs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0E2347" w:rsidRPr="00527194" w:rsidSect="000E2E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0318"/>
    <w:multiLevelType w:val="hybridMultilevel"/>
    <w:tmpl w:val="D8D04C08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73C5"/>
    <w:multiLevelType w:val="hybridMultilevel"/>
    <w:tmpl w:val="36941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883"/>
    <w:multiLevelType w:val="multilevel"/>
    <w:tmpl w:val="FCB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D1E491C"/>
    <w:multiLevelType w:val="hybridMultilevel"/>
    <w:tmpl w:val="E2AEE6D6"/>
    <w:lvl w:ilvl="0" w:tplc="A2C4DF7E">
      <w:start w:val="1007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63987"/>
    <w:multiLevelType w:val="multilevel"/>
    <w:tmpl w:val="6324E7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51131"/>
    <w:multiLevelType w:val="hybridMultilevel"/>
    <w:tmpl w:val="4F388204"/>
    <w:lvl w:ilvl="0" w:tplc="9C96CB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1603DF"/>
    <w:multiLevelType w:val="hybridMultilevel"/>
    <w:tmpl w:val="7CBEEC46"/>
    <w:lvl w:ilvl="0" w:tplc="1BFC0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204E7"/>
    <w:multiLevelType w:val="multilevel"/>
    <w:tmpl w:val="6CC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55605"/>
    <w:multiLevelType w:val="hybridMultilevel"/>
    <w:tmpl w:val="940AE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313A"/>
    <w:multiLevelType w:val="hybridMultilevel"/>
    <w:tmpl w:val="B21EB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222D"/>
    <w:multiLevelType w:val="hybridMultilevel"/>
    <w:tmpl w:val="A1027B28"/>
    <w:lvl w:ilvl="0" w:tplc="196CC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61937"/>
    <w:multiLevelType w:val="multilevel"/>
    <w:tmpl w:val="1F46355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903D4"/>
    <w:multiLevelType w:val="multilevel"/>
    <w:tmpl w:val="F06C07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2197C"/>
    <w:multiLevelType w:val="hybridMultilevel"/>
    <w:tmpl w:val="9ADEA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0D85"/>
    <w:multiLevelType w:val="hybridMultilevel"/>
    <w:tmpl w:val="91CE1610"/>
    <w:lvl w:ilvl="0" w:tplc="D0C0DEB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4CFC"/>
    <w:multiLevelType w:val="multilevel"/>
    <w:tmpl w:val="3FB46A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E6BFE"/>
    <w:multiLevelType w:val="hybridMultilevel"/>
    <w:tmpl w:val="77740F2E"/>
    <w:lvl w:ilvl="0" w:tplc="1D4A1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D371E"/>
    <w:multiLevelType w:val="hybridMultilevel"/>
    <w:tmpl w:val="589A688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0BB"/>
    <w:multiLevelType w:val="hybridMultilevel"/>
    <w:tmpl w:val="1228E6E2"/>
    <w:lvl w:ilvl="0" w:tplc="1DF80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7032"/>
    <w:multiLevelType w:val="hybridMultilevel"/>
    <w:tmpl w:val="F9329328"/>
    <w:lvl w:ilvl="0" w:tplc="9C96C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ACB"/>
    <w:multiLevelType w:val="hybridMultilevel"/>
    <w:tmpl w:val="219E33CC"/>
    <w:lvl w:ilvl="0" w:tplc="D5C6CDC2">
      <w:start w:val="4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B3471E"/>
    <w:multiLevelType w:val="hybridMultilevel"/>
    <w:tmpl w:val="1A12901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822A2"/>
    <w:multiLevelType w:val="hybridMultilevel"/>
    <w:tmpl w:val="282A3E5E"/>
    <w:lvl w:ilvl="0" w:tplc="9C96C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74892"/>
    <w:multiLevelType w:val="hybridMultilevel"/>
    <w:tmpl w:val="76725388"/>
    <w:lvl w:ilvl="0" w:tplc="D5C6CDC2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FA30C8D"/>
    <w:multiLevelType w:val="hybridMultilevel"/>
    <w:tmpl w:val="6CBA94E8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E3CF0"/>
    <w:multiLevelType w:val="hybridMultilevel"/>
    <w:tmpl w:val="043A86E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D27E4"/>
    <w:multiLevelType w:val="hybridMultilevel"/>
    <w:tmpl w:val="FBCC54EE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24"/>
  </w:num>
  <w:num w:numId="5">
    <w:abstractNumId w:val="22"/>
  </w:num>
  <w:num w:numId="6">
    <w:abstractNumId w:val="25"/>
  </w:num>
  <w:num w:numId="7">
    <w:abstractNumId w:val="0"/>
  </w:num>
  <w:num w:numId="8">
    <w:abstractNumId w:val="28"/>
  </w:num>
  <w:num w:numId="9">
    <w:abstractNumId w:val="26"/>
  </w:num>
  <w:num w:numId="10">
    <w:abstractNumId w:val="16"/>
  </w:num>
  <w:num w:numId="11">
    <w:abstractNumId w:val="10"/>
  </w:num>
  <w:num w:numId="12">
    <w:abstractNumId w:val="19"/>
  </w:num>
  <w:num w:numId="13">
    <w:abstractNumId w:val="2"/>
  </w:num>
  <w:num w:numId="14">
    <w:abstractNumId w:val="23"/>
  </w:num>
  <w:num w:numId="15">
    <w:abstractNumId w:val="5"/>
  </w:num>
  <w:num w:numId="16">
    <w:abstractNumId w:val="11"/>
  </w:num>
  <w:num w:numId="17">
    <w:abstractNumId w:val="18"/>
  </w:num>
  <w:num w:numId="18">
    <w:abstractNumId w:val="6"/>
  </w:num>
  <w:num w:numId="19">
    <w:abstractNumId w:val="7"/>
  </w:num>
  <w:num w:numId="20">
    <w:abstractNumId w:val="21"/>
  </w:num>
  <w:num w:numId="21">
    <w:abstractNumId w:val="4"/>
  </w:num>
  <w:num w:numId="22">
    <w:abstractNumId w:val="8"/>
  </w:num>
  <w:num w:numId="23">
    <w:abstractNumId w:val="1"/>
  </w:num>
  <w:num w:numId="24">
    <w:abstractNumId w:val="20"/>
  </w:num>
  <w:num w:numId="25">
    <w:abstractNumId w:val="9"/>
  </w:num>
  <w:num w:numId="26">
    <w:abstractNumId w:val="14"/>
  </w:num>
  <w:num w:numId="27">
    <w:abstractNumId w:val="17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C"/>
    <w:rsid w:val="00003FB4"/>
    <w:rsid w:val="00006148"/>
    <w:rsid w:val="00011C62"/>
    <w:rsid w:val="00034180"/>
    <w:rsid w:val="00062496"/>
    <w:rsid w:val="00086A8B"/>
    <w:rsid w:val="00094FCC"/>
    <w:rsid w:val="000A55AA"/>
    <w:rsid w:val="000C2FA5"/>
    <w:rsid w:val="000E2347"/>
    <w:rsid w:val="000E2EB3"/>
    <w:rsid w:val="00113B1B"/>
    <w:rsid w:val="0015463D"/>
    <w:rsid w:val="001773A1"/>
    <w:rsid w:val="001C3A4B"/>
    <w:rsid w:val="001D4B39"/>
    <w:rsid w:val="001F65AA"/>
    <w:rsid w:val="00210F8E"/>
    <w:rsid w:val="0025113E"/>
    <w:rsid w:val="002C3CA5"/>
    <w:rsid w:val="002D3418"/>
    <w:rsid w:val="002D3A66"/>
    <w:rsid w:val="002D7C18"/>
    <w:rsid w:val="00300171"/>
    <w:rsid w:val="0030314D"/>
    <w:rsid w:val="0036790B"/>
    <w:rsid w:val="0037099D"/>
    <w:rsid w:val="00384620"/>
    <w:rsid w:val="003A556D"/>
    <w:rsid w:val="003E1747"/>
    <w:rsid w:val="003E5E7F"/>
    <w:rsid w:val="0043216B"/>
    <w:rsid w:val="00461227"/>
    <w:rsid w:val="004855BE"/>
    <w:rsid w:val="004A3247"/>
    <w:rsid w:val="004C06E3"/>
    <w:rsid w:val="004F5FAD"/>
    <w:rsid w:val="00507B46"/>
    <w:rsid w:val="005159FA"/>
    <w:rsid w:val="00527194"/>
    <w:rsid w:val="00572E65"/>
    <w:rsid w:val="005909B7"/>
    <w:rsid w:val="005B0305"/>
    <w:rsid w:val="005C7437"/>
    <w:rsid w:val="005F680E"/>
    <w:rsid w:val="00610937"/>
    <w:rsid w:val="00654166"/>
    <w:rsid w:val="0066296B"/>
    <w:rsid w:val="006744F0"/>
    <w:rsid w:val="00674697"/>
    <w:rsid w:val="0068110D"/>
    <w:rsid w:val="006E3DCE"/>
    <w:rsid w:val="00703054"/>
    <w:rsid w:val="00716A98"/>
    <w:rsid w:val="0074289A"/>
    <w:rsid w:val="007431BF"/>
    <w:rsid w:val="00750D1D"/>
    <w:rsid w:val="00771B5C"/>
    <w:rsid w:val="00791639"/>
    <w:rsid w:val="007C6D6C"/>
    <w:rsid w:val="007D4AA2"/>
    <w:rsid w:val="007E554A"/>
    <w:rsid w:val="00860BFB"/>
    <w:rsid w:val="00874A60"/>
    <w:rsid w:val="008824ED"/>
    <w:rsid w:val="00894FEE"/>
    <w:rsid w:val="008A5BB0"/>
    <w:rsid w:val="008C5FE0"/>
    <w:rsid w:val="00927E9C"/>
    <w:rsid w:val="00936477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3693C"/>
    <w:rsid w:val="00B62F13"/>
    <w:rsid w:val="00B8773C"/>
    <w:rsid w:val="00C1755A"/>
    <w:rsid w:val="00C50C94"/>
    <w:rsid w:val="00C54B61"/>
    <w:rsid w:val="00C9391D"/>
    <w:rsid w:val="00C93988"/>
    <w:rsid w:val="00CB198A"/>
    <w:rsid w:val="00D17E55"/>
    <w:rsid w:val="00D21D99"/>
    <w:rsid w:val="00D428DE"/>
    <w:rsid w:val="00D47BA6"/>
    <w:rsid w:val="00D629A8"/>
    <w:rsid w:val="00DA2571"/>
    <w:rsid w:val="00DD2C36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A6423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2850"/>
  <w15:chartTrackingRefBased/>
  <w15:docId w15:val="{FFCA62B0-6FF6-4BB4-9927-8292EE1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F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1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6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2C814-93D4-4307-90D2-CE70F407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45B49-B238-4E88-B537-A66A2A57B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4AFAE-399E-4E7B-8959-DCC3D8044E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7843</Words>
  <Characters>4472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5</cp:revision>
  <dcterms:created xsi:type="dcterms:W3CDTF">2025-01-29T08:40:00Z</dcterms:created>
  <dcterms:modified xsi:type="dcterms:W3CDTF">2025-01-29T09:23:00Z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