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spacing w:before="0" w:after="150"/>
        <w:ind w:hanging="360" w:left="720"/>
        <w:rPr>
          <w:rFonts w:ascii="Times New Roman" w:hAnsi="Times New Roman" w:cs="Times New Roman"/>
          <w:b/>
          <w:bCs/>
          <w:lang w:val="lt-LT"/>
        </w:rPr>
      </w:pPr>
      <w:r>
        <w:rPr>
          <w:rFonts w:cs="Times New Roman" w:ascii="Times New Roman" w:hAnsi="Times New Roman"/>
          <w:b/>
          <w:bCs/>
          <w:lang w:val="lt-LT"/>
        </w:rPr>
        <w:t>DĖL ATSAKYMŲ Į KLAUSIMUS</w:t>
      </w:r>
    </w:p>
    <w:p>
      <w:pPr>
        <w:pStyle w:val="Normal"/>
        <w:shd w:val="clear" w:color="auto" w:fill="FFFFFF"/>
        <w:spacing w:before="0" w:after="150"/>
        <w:ind w:hanging="360" w:left="720"/>
        <w:jc w:val="center"/>
        <w:rPr>
          <w:rFonts w:ascii="Times New Roman" w:hAnsi="Times New Roman" w:cs="Times New Roman"/>
          <w:sz w:val="28"/>
          <w:szCs w:val="28"/>
          <w:lang w:val="lt-LT"/>
        </w:rPr>
      </w:pPr>
      <w:r>
        <w:rPr>
          <w:rFonts w:cs="Times New Roman" w:ascii="Times New Roman" w:hAnsi="Times New Roman"/>
          <w:sz w:val="28"/>
          <w:szCs w:val="28"/>
          <w:lang w:val="lt-LT"/>
        </w:rPr>
      </w:r>
    </w:p>
    <w:p>
      <w:pPr>
        <w:pStyle w:val="Normal"/>
        <w:shd w:val="clear" w:color="auto" w:fill="FFFFFF"/>
        <w:spacing w:lineRule="auto" w:line="360"/>
        <w:ind w:firstLine="992"/>
        <w:jc w:val="both"/>
        <w:rPr>
          <w:rFonts w:ascii="Times New Roman" w:hAnsi="Times New Roman" w:cs="Times New Roman"/>
          <w:lang w:val="lt-LT"/>
        </w:rPr>
      </w:pPr>
      <w:r>
        <w:rPr>
          <w:rFonts w:cs="Times New Roman" w:ascii="Times New Roman" w:hAnsi="Times New Roman"/>
          <w:lang w:val="en-US"/>
        </w:rPr>
        <w:t>Higienos institut</w:t>
      </w:r>
      <w:r>
        <w:rPr>
          <w:rFonts w:cs="Times New Roman" w:ascii="Times New Roman" w:hAnsi="Times New Roman"/>
          <w:lang w:val="lt-LT"/>
        </w:rPr>
        <w:t>o</w:t>
      </w:r>
      <w:r>
        <w:rPr>
          <w:rFonts w:cs="Times New Roman" w:ascii="Times New Roman" w:hAnsi="Times New Roman"/>
          <w:lang w:val="en-US"/>
        </w:rPr>
        <w:t xml:space="preserve"> vie</w:t>
      </w:r>
      <w:r>
        <w:rPr>
          <w:rFonts w:cs="Times New Roman" w:ascii="Times New Roman" w:hAnsi="Times New Roman"/>
          <w:lang w:val="lt-LT"/>
        </w:rPr>
        <w:t>šojo pirkimo komisija</w:t>
      </w:r>
      <w:r>
        <w:rPr>
          <w:rFonts w:cs="Times New Roman" w:ascii="Times New Roman" w:hAnsi="Times New Roman"/>
          <w:lang w:val="en-US"/>
        </w:rPr>
        <w:t xml:space="preserve"> </w:t>
      </w:r>
      <w:r>
        <w:rPr>
          <w:rFonts w:cs="Times New Roman" w:ascii="Times New Roman" w:hAnsi="Times New Roman"/>
          <w:lang w:val="lt-LT"/>
        </w:rPr>
        <w:t xml:space="preserve">vykdydama </w:t>
      </w:r>
      <w:r>
        <w:rPr>
          <w:rFonts w:cs="Times New Roman" w:ascii="Times New Roman" w:hAnsi="Times New Roman"/>
          <w:color w:val="000000"/>
          <w:sz w:val="24"/>
          <w:szCs w:val="24"/>
          <w:lang w:val="lt-LT"/>
        </w:rPr>
        <w:t>„</w:t>
      </w:r>
      <w:r>
        <w:rPr>
          <w:rStyle w:val="Strong"/>
          <w:rFonts w:eastAsia="Times New Roman" w:cs="Times New Roman" w:ascii="Times New Roman" w:hAnsi="Times New Roman"/>
          <w:b w:val="false"/>
          <w:bCs w:val="false"/>
          <w:color w:val="000000"/>
          <w:kern w:val="0"/>
          <w:sz w:val="24"/>
          <w:szCs w:val="24"/>
          <w:lang w:val="lt-LT" w:eastAsia="lt-LT"/>
        </w:rPr>
        <w:t>Mokymo paslaugos, Projektas „Specialistų mokymas ir kvalifikacijos kėlimas“</w:t>
      </w:r>
      <w:r>
        <w:rPr>
          <w:rFonts w:cs="Times New Roman" w:ascii="Times New Roman" w:hAnsi="Times New Roman"/>
          <w:color w:val="000000"/>
          <w:sz w:val="24"/>
          <w:szCs w:val="24"/>
          <w:lang w:val="lt-LT"/>
        </w:rPr>
        <w:t xml:space="preserve">“ pirkimą (ID. </w:t>
      </w:r>
      <w:r>
        <w:rPr>
          <w:rFonts w:cs="Times New Roman" w:ascii="Times New Roman" w:hAnsi="Times New Roman"/>
          <w:color w:val="000000"/>
          <w:sz w:val="24"/>
          <w:szCs w:val="24"/>
          <w:lang w:val="en-US"/>
        </w:rPr>
        <w:t>9443481</w:t>
      </w:r>
      <w:r>
        <w:rPr>
          <w:rFonts w:cs="Times New Roman" w:ascii="Times New Roman" w:hAnsi="Times New Roman"/>
          <w:color w:val="000000"/>
          <w:sz w:val="24"/>
          <w:szCs w:val="24"/>
          <w:lang w:val="lt-LT"/>
        </w:rPr>
        <w:t>)</w:t>
      </w:r>
      <w:r>
        <w:rPr>
          <w:rFonts w:cs="Times New Roman" w:ascii="Times New Roman" w:hAnsi="Times New Roman"/>
          <w:lang w:val="lt-LT"/>
        </w:rPr>
        <w:t xml:space="preserve"> gavo klausimus iš tiekėj</w:t>
      </w:r>
      <w:r>
        <w:rPr>
          <w:rFonts w:cs="Times New Roman" w:ascii="Times New Roman" w:hAnsi="Times New Roman"/>
          <w:lang w:val="lt-LT"/>
        </w:rPr>
        <w:t>ų</w:t>
      </w:r>
      <w:r>
        <w:rPr>
          <w:rFonts w:cs="Times New Roman" w:ascii="Times New Roman" w:hAnsi="Times New Roman"/>
          <w:lang w:val="lt-LT"/>
        </w:rPr>
        <w:t>. Higienos instituto viešojo pirkimo komisija išnagrinėjo gautus klausimus ir pateikia atsakymus:</w:t>
      </w:r>
    </w:p>
    <w:p>
      <w:pPr>
        <w:pStyle w:val="Normal"/>
        <w:shd w:val="clear" w:color="auto" w:fill="FFFFFF"/>
        <w:spacing w:before="0" w:after="150"/>
        <w:ind w:hanging="360" w:left="720"/>
        <w:jc w:val="center"/>
        <w:rPr>
          <w:rFonts w:ascii="Times New Roman" w:hAnsi="Times New Roman" w:cs="Times New Roman"/>
          <w:sz w:val="28"/>
          <w:szCs w:val="28"/>
          <w:lang w:val="lt-LT"/>
        </w:rPr>
      </w:pPr>
      <w:r>
        <w:rPr>
          <w:rFonts w:cs="Times New Roman" w:ascii="Times New Roman" w:hAnsi="Times New Roman"/>
          <w:sz w:val="28"/>
          <w:szCs w:val="28"/>
          <w:lang w:val="lt-LT"/>
        </w:rPr>
      </w:r>
    </w:p>
    <w:p>
      <w:pPr>
        <w:pStyle w:val="NormalWeb"/>
        <w:numPr>
          <w:ilvl w:val="0"/>
          <w:numId w:val="2"/>
        </w:numPr>
        <w:shd w:val="clear" w:color="auto" w:fill="FFFFFF"/>
        <w:spacing w:lineRule="auto" w:line="360" w:beforeAutospacing="0" w:before="0" w:afterAutospacing="0" w:after="0"/>
        <w:jc w:val="both"/>
        <w:rPr>
          <w:rFonts w:ascii="Times New Roman" w:hAnsi="Times New Roman"/>
        </w:rPr>
      </w:pPr>
      <w:r>
        <w:rPr>
          <w:b/>
          <w:bCs/>
          <w:lang w:val="lt-LT"/>
        </w:rPr>
        <w:t>Klausimas</w:t>
      </w:r>
    </w:p>
    <w:p>
      <w:pPr>
        <w:pStyle w:val="NormalWeb"/>
        <w:shd w:val="clear" w:color="auto" w:fill="FFFFFF"/>
        <w:spacing w:lineRule="auto" w:line="360" w:beforeAutospacing="0" w:before="0" w:afterAutospacing="0" w:after="0"/>
        <w:ind w:left="714"/>
        <w:jc w:val="both"/>
        <w:rPr>
          <w:rFonts w:ascii="Times New Roman" w:hAnsi="Times New Roman"/>
        </w:rPr>
      </w:pPr>
      <w:r>
        <w:rPr>
          <w:lang w:val="lt-LT"/>
        </w:rPr>
        <w:t>„</w:t>
      </w:r>
      <w:r>
        <w:rPr>
          <w:rFonts w:cs="Calibri"/>
          <w:i/>
          <w:iCs/>
          <w:color w:val="333333"/>
          <w:sz w:val="23"/>
          <w:szCs w:val="23"/>
          <w:shd w:fill="FFFFFF" w:val="clear"/>
          <w:lang w:val="lt-LT"/>
        </w:rPr>
        <w:t>Gal perkančioji organizacija galėtų nurodyti maksimalią pirkimo vertę?</w:t>
      </w:r>
      <w:r>
        <w:rPr>
          <w:rFonts w:cs="Calibri"/>
          <w:color w:val="333333"/>
          <w:sz w:val="23"/>
          <w:szCs w:val="23"/>
          <w:shd w:fill="FFFFFF" w:val="clear"/>
        </w:rPr>
        <w:t>“</w:t>
      </w:r>
    </w:p>
    <w:p>
      <w:pPr>
        <w:pStyle w:val="NormalWeb"/>
        <w:shd w:val="clear" w:color="auto" w:fill="FFFFFF"/>
        <w:spacing w:lineRule="auto" w:line="360" w:beforeAutospacing="0" w:before="0" w:afterAutospacing="0" w:after="0"/>
        <w:ind w:left="714"/>
        <w:jc w:val="both"/>
        <w:rPr>
          <w:rFonts w:ascii="Times New Roman" w:hAnsi="Times New Roman"/>
          <w:sz w:val="28"/>
          <w:szCs w:val="28"/>
        </w:rPr>
      </w:pPr>
      <w:r>
        <w:rPr>
          <w:sz w:val="28"/>
          <w:szCs w:val="28"/>
        </w:rPr>
      </w:r>
    </w:p>
    <w:p>
      <w:pPr>
        <w:pStyle w:val="NormalWeb"/>
        <w:numPr>
          <w:ilvl w:val="0"/>
          <w:numId w:val="1"/>
        </w:numPr>
        <w:shd w:val="clear" w:color="auto" w:fill="FFFFFF"/>
        <w:spacing w:lineRule="auto" w:line="360" w:beforeAutospacing="0" w:before="0" w:afterAutospacing="0" w:after="0"/>
        <w:jc w:val="both"/>
        <w:rPr>
          <w:rFonts w:ascii="Times New Roman" w:hAnsi="Times New Roman"/>
        </w:rPr>
      </w:pPr>
      <w:r>
        <w:rPr>
          <w:b/>
          <w:bCs/>
          <w:lang w:val="lt-LT"/>
        </w:rPr>
        <w:t>Atsakymas</w:t>
      </w:r>
    </w:p>
    <w:p>
      <w:pPr>
        <w:pStyle w:val="NormalWeb"/>
        <w:numPr>
          <w:ilvl w:val="0"/>
          <w:numId w:val="0"/>
        </w:numPr>
        <w:shd w:val="clear" w:color="auto" w:fill="FFFFFF"/>
        <w:spacing w:lineRule="auto" w:line="360" w:beforeAutospacing="0" w:before="0" w:afterAutospacing="0" w:after="0"/>
        <w:ind w:hanging="0" w:left="1080"/>
        <w:jc w:val="both"/>
        <w:rPr>
          <w:b w:val="false"/>
          <w:bCs w:val="false"/>
        </w:rPr>
      </w:pPr>
      <w:r>
        <w:rPr>
          <w:b w:val="false"/>
          <w:bCs w:val="false"/>
          <w:lang w:val="lt-LT"/>
        </w:rPr>
        <w:t>18 028 eurai be PVM.</w:t>
      </w:r>
    </w:p>
    <w:p>
      <w:pPr>
        <w:pStyle w:val="Normal"/>
        <w:shd w:val="clear" w:color="auto" w:fill="FFFFFF"/>
        <w:spacing w:before="0" w:after="150"/>
        <w:ind w:hanging="360" w:left="720"/>
        <w:jc w:val="center"/>
        <w:rPr>
          <w:rFonts w:ascii="Times New Roman" w:hAnsi="Times New Roman" w:cs="Times New Roman"/>
          <w:b w:val="false"/>
          <w:bCs w:val="false"/>
          <w:sz w:val="28"/>
          <w:szCs w:val="28"/>
          <w:lang w:val="lt-LT"/>
        </w:rPr>
      </w:pPr>
      <w:r>
        <w:rPr>
          <w:rFonts w:cs="Times New Roman" w:ascii="Times New Roman" w:hAnsi="Times New Roman"/>
          <w:b w:val="false"/>
          <w:bCs w:val="false"/>
          <w:sz w:val="28"/>
          <w:szCs w:val="28"/>
          <w:lang w:val="lt-LT"/>
        </w:rPr>
      </w:r>
    </w:p>
    <w:p>
      <w:pPr>
        <w:pStyle w:val="NormalWeb"/>
        <w:numPr>
          <w:ilvl w:val="0"/>
          <w:numId w:val="2"/>
        </w:numPr>
        <w:shd w:val="clear" w:color="auto" w:fill="FFFFFF"/>
        <w:spacing w:lineRule="auto" w:line="360" w:beforeAutospacing="0" w:before="0" w:afterAutospacing="0" w:after="0"/>
        <w:jc w:val="both"/>
        <w:rPr>
          <w:rFonts w:ascii="Times New Roman" w:hAnsi="Times New Roman"/>
        </w:rPr>
      </w:pPr>
      <w:r>
        <w:rPr>
          <w:b/>
          <w:bCs/>
          <w:lang w:val="lt-LT"/>
        </w:rPr>
        <w:t>Klausimas</w:t>
      </w:r>
    </w:p>
    <w:p>
      <w:pPr>
        <w:pStyle w:val="NormalWeb"/>
        <w:shd w:val="clear" w:color="auto" w:fill="FFFFFF"/>
        <w:spacing w:lineRule="auto" w:line="360" w:beforeAutospacing="0" w:before="0" w:afterAutospacing="0" w:after="0"/>
        <w:ind w:left="714"/>
        <w:jc w:val="both"/>
        <w:rPr>
          <w:rFonts w:ascii="Times New Roman" w:hAnsi="Times New Roman"/>
        </w:rPr>
      </w:pPr>
      <w:r>
        <w:rPr>
          <w:lang w:val="lt-LT"/>
        </w:rPr>
        <w:t>„</w:t>
      </w:r>
      <w:r>
        <w:rPr>
          <w:rFonts w:cs="Calibri"/>
          <w:color w:val="333333"/>
          <w:sz w:val="23"/>
          <w:szCs w:val="23"/>
          <w:shd w:fill="FFFFFF" w:val="clear"/>
          <w:lang w:val="lt-LT"/>
        </w:rPr>
        <w:t xml:space="preserve">Dėl programos derinimo su SAM termino: Kuriame etape programa turi būti suderinta su SAM? Ar suderinta programa (arba pažyma apie pateiktą paraišką) turi būti teikiama jau kartu su pasiūlymu, ar programa derinama su SAM jau po pirkimo sutarties pasirašymo (sutarties vykdymo metu)? </w:t>
      </w:r>
      <w:r>
        <w:rPr>
          <w:rFonts w:cs="Calibri"/>
          <w:color w:val="333333"/>
          <w:sz w:val="23"/>
          <w:szCs w:val="23"/>
          <w:shd w:fill="FFFFFF" w:val="clear"/>
        </w:rPr>
        <w:t>“</w:t>
      </w:r>
    </w:p>
    <w:p>
      <w:pPr>
        <w:pStyle w:val="NormalWeb"/>
        <w:shd w:val="clear" w:color="auto" w:fill="FFFFFF"/>
        <w:spacing w:lineRule="auto" w:line="360" w:beforeAutospacing="0" w:before="0" w:afterAutospacing="0" w:after="0"/>
        <w:ind w:left="714"/>
        <w:jc w:val="both"/>
        <w:rPr>
          <w:rFonts w:ascii="Times New Roman" w:hAnsi="Times New Roman"/>
          <w:sz w:val="28"/>
          <w:szCs w:val="28"/>
        </w:rPr>
      </w:pPr>
      <w:r>
        <w:rPr>
          <w:sz w:val="28"/>
          <w:szCs w:val="28"/>
        </w:rPr>
      </w:r>
    </w:p>
    <w:p>
      <w:pPr>
        <w:pStyle w:val="NormalWeb"/>
        <w:numPr>
          <w:ilvl w:val="0"/>
          <w:numId w:val="1"/>
        </w:numPr>
        <w:shd w:val="clear" w:color="auto" w:fill="FFFFFF"/>
        <w:spacing w:lineRule="auto" w:line="360" w:beforeAutospacing="0" w:before="0" w:afterAutospacing="0" w:after="0"/>
        <w:jc w:val="both"/>
        <w:rPr>
          <w:rFonts w:ascii="Times New Roman" w:hAnsi="Times New Roman"/>
        </w:rPr>
      </w:pPr>
      <w:r>
        <w:rPr>
          <w:b/>
          <w:bCs/>
          <w:lang w:val="lt-LT"/>
        </w:rPr>
        <w:t>Atsakymas</w:t>
      </w:r>
    </w:p>
    <w:p>
      <w:pPr>
        <w:pStyle w:val="Normal"/>
        <w:shd w:val="clear" w:color="auto" w:fill="FFFFFF"/>
        <w:spacing w:lineRule="auto" w:line="360" w:beforeAutospacing="0" w:before="0" w:afterAutospacing="0" w:after="0"/>
        <w:ind w:left="714"/>
        <w:jc w:val="both"/>
        <w:rPr>
          <w:rFonts w:ascii="Times New Roman" w:hAnsi="Times New Roman"/>
        </w:rPr>
      </w:pPr>
      <w:r>
        <w:rPr>
          <w:rFonts w:cs="Calibri" w:ascii="Times New Roman" w:hAnsi="Times New Roman"/>
          <w:b w:val="false"/>
          <w:bCs w:val="false"/>
          <w:color w:val="333333"/>
          <w:sz w:val="24"/>
          <w:szCs w:val="24"/>
          <w:shd w:fill="FFFFFF" w:val="clear"/>
          <w:lang w:val="lt-LT"/>
        </w:rPr>
        <w:t xml:space="preserve">Programa rengiama ir derinama su SAM Profesinės kvalifikacijos tobulinimo programų derinimo komisija po pirkimo sutarties pasirašymo (sutarties vykdymo metu). </w:t>
      </w:r>
    </w:p>
    <w:p>
      <w:pPr>
        <w:pStyle w:val="Normal"/>
        <w:shd w:val="clear" w:color="auto" w:fill="FFFFFF"/>
        <w:spacing w:before="0" w:after="150"/>
        <w:ind w:hanging="360" w:left="720"/>
        <w:jc w:val="center"/>
        <w:rPr>
          <w:rFonts w:ascii="Times New Roman" w:hAnsi="Times New Roman" w:cs="Times New Roman"/>
          <w:sz w:val="28"/>
          <w:szCs w:val="28"/>
          <w:lang w:val="lt-LT"/>
        </w:rPr>
      </w:pPr>
      <w:r>
        <w:rPr>
          <w:rFonts w:cs="Times New Roman" w:ascii="Times New Roman" w:hAnsi="Times New Roman"/>
          <w:sz w:val="28"/>
          <w:szCs w:val="28"/>
          <w:lang w:val="lt-LT"/>
        </w:rPr>
      </w:r>
    </w:p>
    <w:p>
      <w:pPr>
        <w:pStyle w:val="NormalWeb"/>
        <w:numPr>
          <w:ilvl w:val="0"/>
          <w:numId w:val="2"/>
        </w:numPr>
        <w:shd w:val="clear" w:color="auto" w:fill="FFFFFF"/>
        <w:spacing w:lineRule="auto" w:line="360" w:beforeAutospacing="0" w:before="0" w:afterAutospacing="0" w:after="0"/>
        <w:jc w:val="both"/>
        <w:rPr>
          <w:rFonts w:ascii="Times New Roman" w:hAnsi="Times New Roman"/>
        </w:rPr>
      </w:pPr>
      <w:r>
        <w:rPr>
          <w:b/>
          <w:bCs/>
          <w:lang w:val="lt-LT"/>
        </w:rPr>
        <w:t>Klausimas</w:t>
      </w:r>
    </w:p>
    <w:p>
      <w:pPr>
        <w:pStyle w:val="NormalWeb"/>
        <w:shd w:val="clear" w:color="auto" w:fill="FFFFFF"/>
        <w:spacing w:lineRule="auto" w:line="360" w:beforeAutospacing="0" w:before="0" w:afterAutospacing="0" w:after="0"/>
        <w:ind w:left="714"/>
        <w:jc w:val="both"/>
        <w:rPr>
          <w:rFonts w:ascii="Times New Roman" w:hAnsi="Times New Roman"/>
        </w:rPr>
      </w:pPr>
      <w:r>
        <w:rPr>
          <w:lang w:val="lt-LT"/>
        </w:rPr>
        <w:t>„</w:t>
      </w:r>
      <w:r>
        <w:rPr>
          <w:rFonts w:cs="Calibri"/>
          <w:color w:val="333333"/>
          <w:sz w:val="23"/>
          <w:szCs w:val="23"/>
          <w:shd w:fill="FFFFFF" w:val="clear"/>
          <w:lang w:val="lt-LT"/>
        </w:rPr>
        <w:t> </w:t>
      </w:r>
      <w:r>
        <w:rPr>
          <w:rFonts w:cs="Calibri"/>
          <w:i/>
          <w:iCs/>
          <w:color w:val="333333"/>
          <w:sz w:val="23"/>
          <w:szCs w:val="23"/>
          <w:shd w:fill="FFFFFF" w:val="clear"/>
          <w:lang w:val="lt-LT"/>
        </w:rPr>
        <w:t>Dėl derinimo eiliškumo: Kadangi dokumentuose minimas programos turinio derinimas ir su Perkančiąja organizacija, prašome patvirtinti, ar teisingai suprantame, jog laimėjęs tiekėjas iš pradžių suderina programos projektą su Perkančiąja organizacija, ir tik tada teikia ją oficialiam derinimui su SAM?</w:t>
      </w:r>
      <w:r>
        <w:rPr>
          <w:rFonts w:cs="Calibri"/>
          <w:color w:val="333333"/>
          <w:sz w:val="23"/>
          <w:szCs w:val="23"/>
          <w:shd w:fill="FFFFFF" w:val="clear"/>
        </w:rPr>
        <w:t>“</w:t>
      </w:r>
    </w:p>
    <w:p>
      <w:pPr>
        <w:pStyle w:val="NormalWeb"/>
        <w:shd w:val="clear" w:color="auto" w:fill="FFFFFF"/>
        <w:spacing w:lineRule="auto" w:line="360" w:beforeAutospacing="0" w:before="0" w:afterAutospacing="0" w:after="0"/>
        <w:ind w:left="714"/>
        <w:jc w:val="both"/>
        <w:rPr>
          <w:rFonts w:ascii="Times New Roman" w:hAnsi="Times New Roman"/>
          <w:sz w:val="28"/>
          <w:szCs w:val="28"/>
        </w:rPr>
      </w:pPr>
      <w:r>
        <w:rPr>
          <w:sz w:val="28"/>
          <w:szCs w:val="28"/>
        </w:rPr>
      </w:r>
    </w:p>
    <w:p>
      <w:pPr>
        <w:pStyle w:val="NormalWeb"/>
        <w:numPr>
          <w:ilvl w:val="0"/>
          <w:numId w:val="1"/>
        </w:numPr>
        <w:shd w:val="clear" w:color="auto" w:fill="FFFFFF"/>
        <w:spacing w:lineRule="auto" w:line="360" w:beforeAutospacing="0" w:before="0" w:afterAutospacing="0" w:after="0"/>
        <w:jc w:val="both"/>
        <w:rPr>
          <w:rFonts w:ascii="Times New Roman" w:hAnsi="Times New Roman"/>
        </w:rPr>
      </w:pPr>
      <w:r>
        <w:rPr>
          <w:b/>
          <w:bCs/>
          <w:lang w:val="lt-LT"/>
        </w:rPr>
        <w:t>Atsakymas</w:t>
      </w:r>
    </w:p>
    <w:p>
      <w:pPr>
        <w:pStyle w:val="BodyText"/>
        <w:shd w:val="clear" w:color="auto" w:fill="FFFFFF"/>
        <w:spacing w:lineRule="auto" w:line="360" w:beforeAutospacing="0" w:before="0" w:afterAutospacing="0" w:after="0"/>
        <w:ind w:left="714"/>
        <w:jc w:val="both"/>
        <w:rPr>
          <w:rFonts w:ascii="Times New Roman" w:hAnsi="Times New Roman"/>
        </w:rPr>
      </w:pPr>
      <w:r>
        <w:rPr>
          <w:rFonts w:cs="Calibri" w:ascii="Times New Roman" w:hAnsi="Times New Roman"/>
          <w:b w:val="false"/>
          <w:bCs w:val="false"/>
          <w:color w:val="333333"/>
          <w:sz w:val="24"/>
          <w:szCs w:val="24"/>
          <w:shd w:fill="FFFFFF" w:val="clear"/>
          <w:lang w:val="lt-LT"/>
        </w:rPr>
        <w:t xml:space="preserve">Pasirašius sutartį tiekėjas (laimėtojas) rengia mokymo programą </w:t>
      </w:r>
      <w:hyperlink r:id="rId2" w:tgtFrame="_blank">
        <w:r>
          <w:rPr>
            <w:rStyle w:val="Hyperlink"/>
            <w:rFonts w:cs="Calibri" w:ascii="Times New Roman" w:hAnsi="Times New Roman"/>
            <w:b w:val="false"/>
            <w:bCs w:val="false"/>
            <w:color w:val="333333"/>
            <w:sz w:val="24"/>
            <w:szCs w:val="24"/>
            <w:shd w:fill="FFFFFF" w:val="clear"/>
            <w:lang w:val="lt-LT"/>
          </w:rPr>
          <w:t>V-645 Dėl Sveikatos priežiūros ir farmacijos specialistų profesinės kvalifikacijos tobulinimo programų ...</w:t>
        </w:r>
      </w:hyperlink>
      <w:r>
        <w:rPr>
          <w:rFonts w:cs="Calibri" w:ascii="Times New Roman" w:hAnsi="Times New Roman"/>
          <w:b w:val="false"/>
          <w:bCs w:val="false"/>
          <w:color w:val="333333"/>
          <w:sz w:val="24"/>
          <w:szCs w:val="24"/>
          <w:shd w:fill="FFFFFF" w:val="clear"/>
          <w:lang w:val="lt-LT"/>
        </w:rPr>
        <w:t xml:space="preserve"> nustatyta tvarka. Parengtą mokymo programos projektą tiekėjas pateikia Perkančiajai organizacijai suderinti. Suderinus mokymo programos projektą su Perkančiąja organizacija, tiekėjas Perkančiajai organizacijai perduoda galutinę mokymo programą ir visus su jos rengimu/vertinimu susijusius dokumentus. Mokymo programą SAM komisijai derinti teikia Perkančioji organizacija. </w:t>
      </w:r>
    </w:p>
    <w:p>
      <w:pPr>
        <w:pStyle w:val="Normal"/>
        <w:shd w:val="clear" w:color="auto" w:fill="FFFFFF"/>
        <w:spacing w:lineRule="auto" w:line="360" w:beforeAutospacing="0" w:before="0" w:afterAutospacing="0" w:after="0"/>
        <w:ind w:left="714"/>
        <w:jc w:val="both"/>
        <w:rPr>
          <w:rFonts w:ascii="Times New Roman" w:hAnsi="Times New Roman"/>
        </w:rPr>
      </w:pPr>
      <w:r>
        <w:rPr>
          <w:rFonts w:ascii="Times New Roman" w:hAnsi="Times New Roman"/>
        </w:rPr>
      </w:r>
    </w:p>
    <w:p>
      <w:pPr>
        <w:pStyle w:val="NormalWeb"/>
        <w:numPr>
          <w:ilvl w:val="0"/>
          <w:numId w:val="2"/>
        </w:numPr>
        <w:shd w:val="clear" w:color="auto" w:fill="FFFFFF"/>
        <w:spacing w:lineRule="auto" w:line="360" w:beforeAutospacing="0" w:before="0" w:afterAutospacing="0" w:after="0"/>
        <w:jc w:val="both"/>
        <w:rPr>
          <w:rFonts w:ascii="Times New Roman" w:hAnsi="Times New Roman"/>
        </w:rPr>
      </w:pPr>
      <w:r>
        <w:rPr>
          <w:b/>
          <w:bCs/>
          <w:lang w:val="lt-LT"/>
        </w:rPr>
        <w:t>Klausimas</w:t>
      </w:r>
    </w:p>
    <w:p>
      <w:pPr>
        <w:pStyle w:val="NormalWeb"/>
        <w:shd w:val="clear" w:color="auto" w:fill="FFFFFF"/>
        <w:spacing w:lineRule="auto" w:line="360" w:beforeAutospacing="0" w:before="0" w:afterAutospacing="0" w:after="0"/>
        <w:ind w:left="714"/>
        <w:jc w:val="both"/>
        <w:rPr>
          <w:rFonts w:ascii="Times New Roman" w:hAnsi="Times New Roman"/>
        </w:rPr>
      </w:pPr>
      <w:r>
        <w:rPr>
          <w:lang w:val="lt-LT"/>
        </w:rPr>
        <w:t>„</w:t>
      </w:r>
      <w:r>
        <w:rPr>
          <w:rFonts w:cs="Calibri"/>
          <w:i/>
          <w:iCs/>
          <w:color w:val="333333"/>
          <w:sz w:val="23"/>
          <w:szCs w:val="23"/>
          <w:shd w:fill="FFFFFF" w:val="clear"/>
          <w:lang w:val="lt-LT"/>
        </w:rPr>
        <w:t>Dėl dalomosios medžiagos formato: Prašome patikslinti, ar dalomoji / metodinė medžiaga mokymų dalyviams turi būti pateikiama spausdinta forma, ar pakanka skaitmeninės (elektroninės) versijos?</w:t>
      </w:r>
      <w:r>
        <w:rPr>
          <w:rFonts w:cs="Calibri"/>
          <w:color w:val="333333"/>
          <w:sz w:val="23"/>
          <w:szCs w:val="23"/>
          <w:shd w:fill="FFFFFF" w:val="clear"/>
        </w:rPr>
        <w:t>“</w:t>
      </w:r>
    </w:p>
    <w:p>
      <w:pPr>
        <w:pStyle w:val="NormalWeb"/>
        <w:shd w:val="clear" w:color="auto" w:fill="FFFFFF"/>
        <w:spacing w:lineRule="auto" w:line="360" w:beforeAutospacing="0" w:before="0" w:afterAutospacing="0" w:after="0"/>
        <w:ind w:left="714"/>
        <w:jc w:val="both"/>
        <w:rPr>
          <w:rFonts w:ascii="Times New Roman" w:hAnsi="Times New Roman"/>
          <w:sz w:val="28"/>
          <w:szCs w:val="28"/>
        </w:rPr>
      </w:pPr>
      <w:r>
        <w:rPr>
          <w:sz w:val="28"/>
          <w:szCs w:val="28"/>
        </w:rPr>
      </w:r>
    </w:p>
    <w:p>
      <w:pPr>
        <w:pStyle w:val="NormalWeb"/>
        <w:numPr>
          <w:ilvl w:val="0"/>
          <w:numId w:val="1"/>
        </w:numPr>
        <w:shd w:val="clear" w:color="auto" w:fill="FFFFFF"/>
        <w:spacing w:lineRule="auto" w:line="360" w:beforeAutospacing="0" w:before="0" w:afterAutospacing="0" w:after="0"/>
        <w:jc w:val="both"/>
        <w:rPr>
          <w:rFonts w:ascii="Times New Roman" w:hAnsi="Times New Roman"/>
        </w:rPr>
      </w:pPr>
      <w:r>
        <w:rPr>
          <w:b/>
          <w:bCs/>
          <w:lang w:val="lt-LT"/>
        </w:rPr>
        <w:t>Atsakymas</w:t>
      </w:r>
    </w:p>
    <w:p>
      <w:pPr>
        <w:pStyle w:val="Normal"/>
        <w:shd w:val="clear" w:color="auto" w:fill="FFFFFF"/>
        <w:spacing w:lineRule="auto" w:line="360" w:beforeAutospacing="0" w:before="0" w:afterAutospacing="0" w:after="0"/>
        <w:ind w:left="714"/>
        <w:jc w:val="both"/>
        <w:rPr>
          <w:rFonts w:ascii="Times New Roman" w:hAnsi="Times New Roman"/>
        </w:rPr>
      </w:pPr>
      <w:r>
        <w:rPr>
          <w:rFonts w:cs="Calibri" w:ascii="Times New Roman" w:hAnsi="Times New Roman"/>
          <w:b w:val="false"/>
          <w:bCs w:val="false"/>
          <w:color w:val="333333"/>
          <w:sz w:val="24"/>
          <w:szCs w:val="24"/>
          <w:shd w:fill="FFFFFF" w:val="clear"/>
          <w:lang w:val="lt-LT"/>
        </w:rPr>
        <w:t xml:space="preserve">Dalomoji medžiaga dalyviams gali būti pateikiama skaitmenine (elektronine) versija </w:t>
      </w:r>
    </w:p>
    <w:p>
      <w:pPr>
        <w:pStyle w:val="Normal"/>
        <w:shd w:val="clear" w:color="auto" w:fill="FFFFFF"/>
        <w:spacing w:before="0" w:after="150"/>
        <w:ind w:hanging="360" w:left="720"/>
        <w:jc w:val="center"/>
        <w:rPr>
          <w:rFonts w:ascii="Times New Roman" w:hAnsi="Times New Roman" w:cs="Times New Roman"/>
          <w:sz w:val="28"/>
          <w:szCs w:val="28"/>
          <w:lang w:val="lt-LT"/>
        </w:rPr>
      </w:pPr>
      <w:r>
        <w:rPr>
          <w:rFonts w:cs="Times New Roman" w:ascii="Times New Roman" w:hAnsi="Times New Roman"/>
          <w:sz w:val="28"/>
          <w:szCs w:val="28"/>
          <w:lang w:val="lt-LT"/>
        </w:rPr>
      </w:r>
    </w:p>
    <w:p>
      <w:pPr>
        <w:pStyle w:val="NormalWeb"/>
        <w:numPr>
          <w:ilvl w:val="0"/>
          <w:numId w:val="2"/>
        </w:numPr>
        <w:shd w:val="clear" w:color="auto" w:fill="FFFFFF"/>
        <w:spacing w:lineRule="auto" w:line="360" w:beforeAutospacing="0" w:before="0" w:afterAutospacing="0" w:after="0"/>
        <w:jc w:val="both"/>
        <w:rPr>
          <w:rFonts w:ascii="Times New Roman" w:hAnsi="Times New Roman"/>
        </w:rPr>
      </w:pPr>
      <w:r>
        <w:rPr>
          <w:b/>
          <w:bCs/>
          <w:lang w:val="lt-LT"/>
        </w:rPr>
        <w:t>Klausimas</w:t>
      </w:r>
    </w:p>
    <w:p>
      <w:pPr>
        <w:pStyle w:val="NormalWeb"/>
        <w:shd w:val="clear" w:color="auto" w:fill="FFFFFF"/>
        <w:spacing w:lineRule="auto" w:line="360" w:beforeAutospacing="0" w:before="0" w:afterAutospacing="0" w:after="0"/>
        <w:ind w:left="714"/>
        <w:jc w:val="both"/>
        <w:rPr>
          <w:rFonts w:ascii="Times New Roman" w:hAnsi="Times New Roman"/>
        </w:rPr>
      </w:pPr>
      <w:r>
        <w:rPr>
          <w:lang w:val="lt-LT"/>
        </w:rPr>
        <w:t>„</w:t>
      </w:r>
      <w:r>
        <w:rPr>
          <w:rFonts w:cs="Calibri"/>
          <w:color w:val="333333"/>
          <w:sz w:val="23"/>
          <w:szCs w:val="23"/>
          <w:shd w:fill="FFFFFF" w:val="clear"/>
          <w:lang w:val="lt-LT"/>
        </w:rPr>
        <w:t> </w:t>
      </w:r>
      <w:r>
        <w:rPr>
          <w:rFonts w:cs="Calibri"/>
          <w:i/>
          <w:iCs/>
          <w:color w:val="333333"/>
          <w:sz w:val="23"/>
          <w:szCs w:val="23"/>
          <w:shd w:fill="FFFFFF" w:val="clear"/>
          <w:lang w:val="lt-LT"/>
        </w:rPr>
        <w:t>Punktuose 9 ir 10 nurodote skirtingą dalyvių skaičių grupėje. Remiantis 9 punktu suprantame, kad grupėje iki 20 asmenų, o žiūrint į 10 punktą nurodote, kad iki 25 asmenų. Maitinimas kompensuojamas 20 asmenų, tai jei ateis pvz 25 dalyviai, kaip bus su maitinimu likusiems 5 asmenims? Ar tai yra jau papildomos mokymo tiekėjo išlaidos</w:t>
      </w:r>
      <w:r>
        <w:rPr>
          <w:rFonts w:cs="Calibri"/>
          <w:color w:val="333333"/>
          <w:sz w:val="23"/>
          <w:szCs w:val="23"/>
          <w:shd w:fill="FFFFFF" w:val="clear"/>
          <w:lang w:val="lt-LT"/>
        </w:rPr>
        <w:t>?</w:t>
      </w:r>
      <w:r>
        <w:rPr>
          <w:rFonts w:cs="Calibri"/>
          <w:color w:val="333333"/>
          <w:sz w:val="23"/>
          <w:szCs w:val="23"/>
          <w:shd w:fill="FFFFFF" w:val="clear"/>
        </w:rPr>
        <w:t>“</w:t>
      </w:r>
    </w:p>
    <w:p>
      <w:pPr>
        <w:pStyle w:val="NormalWeb"/>
        <w:shd w:val="clear" w:color="auto" w:fill="FFFFFF"/>
        <w:spacing w:lineRule="auto" w:line="360" w:beforeAutospacing="0" w:before="0" w:afterAutospacing="0" w:after="0"/>
        <w:ind w:left="714"/>
        <w:jc w:val="both"/>
        <w:rPr>
          <w:rFonts w:ascii="Times New Roman" w:hAnsi="Times New Roman"/>
          <w:sz w:val="28"/>
          <w:szCs w:val="28"/>
        </w:rPr>
      </w:pPr>
      <w:r>
        <w:rPr>
          <w:sz w:val="28"/>
          <w:szCs w:val="28"/>
        </w:rPr>
      </w:r>
    </w:p>
    <w:p>
      <w:pPr>
        <w:pStyle w:val="NormalWeb"/>
        <w:numPr>
          <w:ilvl w:val="0"/>
          <w:numId w:val="1"/>
        </w:numPr>
        <w:shd w:val="clear" w:color="auto" w:fill="FFFFFF"/>
        <w:spacing w:lineRule="auto" w:line="360" w:beforeAutospacing="0" w:before="0" w:afterAutospacing="0" w:after="0"/>
        <w:jc w:val="both"/>
        <w:rPr>
          <w:rFonts w:ascii="Times New Roman" w:hAnsi="Times New Roman"/>
        </w:rPr>
      </w:pPr>
      <w:r>
        <w:rPr>
          <w:b/>
          <w:bCs/>
          <w:lang w:val="lt-LT"/>
        </w:rPr>
        <w:t>Atsakymas</w:t>
      </w:r>
    </w:p>
    <w:p>
      <w:pPr>
        <w:pStyle w:val="Normal"/>
        <w:shd w:val="clear" w:color="auto" w:fill="FFFFFF"/>
        <w:spacing w:lineRule="auto" w:line="360" w:beforeAutospacing="0" w:before="0" w:afterAutospacing="0" w:after="0"/>
        <w:ind w:left="714"/>
        <w:jc w:val="both"/>
        <w:rPr>
          <w:rFonts w:ascii="Times New Roman" w:hAnsi="Times New Roman"/>
        </w:rPr>
      </w:pPr>
      <w:r>
        <w:rPr>
          <w:rFonts w:cs="Calibri" w:ascii="Times New Roman" w:hAnsi="Times New Roman"/>
          <w:b w:val="false"/>
          <w:bCs w:val="false"/>
          <w:color w:val="333333"/>
          <w:sz w:val="24"/>
          <w:szCs w:val="24"/>
          <w:shd w:fill="FFFFFF" w:val="clear"/>
          <w:lang w:val="lt-LT"/>
        </w:rPr>
        <w:t>Tiekėjas privalo pasiekti rodiklius nurodytus techninėje specifikacijoje. Perkančioji organizacija supranta, kad praktikoje Tiekėjui gali nepavykti surinkti tiksliai  tokio skaičiaus dalyvių, kaip planuoja, gali dalis dalyvių į mokymus neateiti, susirgti, todėl 9 punkte yra nurodyta, kad minimalus rodikliai, kuriuos turi tiekėjas turi pasiekti, nurodant „ne mažiau“. Kad nenukentėtų mokymų kokybė, Techninės specifikacijos 10 punkte nurodytas maksimalus vienos grupės dalyvių skaičius.</w:t>
      </w:r>
    </w:p>
    <w:p>
      <w:pPr>
        <w:pStyle w:val="Normal"/>
        <w:shd w:val="clear" w:color="auto" w:fill="FFFFFF"/>
        <w:spacing w:before="0" w:after="150"/>
        <w:ind w:hanging="360" w:left="720"/>
        <w:jc w:val="center"/>
        <w:rPr>
          <w:rFonts w:ascii="Times New Roman" w:hAnsi="Times New Roman" w:cs="Times New Roman"/>
          <w:sz w:val="28"/>
          <w:szCs w:val="28"/>
          <w:lang w:val="lt-LT"/>
        </w:rPr>
      </w:pPr>
      <w:r>
        <w:rPr>
          <w:rFonts w:cs="Times New Roman" w:ascii="Times New Roman" w:hAnsi="Times New Roman"/>
          <w:sz w:val="28"/>
          <w:szCs w:val="28"/>
          <w:lang w:val="lt-LT"/>
        </w:rPr>
      </w:r>
    </w:p>
    <w:p>
      <w:pPr>
        <w:pStyle w:val="NormalWeb"/>
        <w:numPr>
          <w:ilvl w:val="0"/>
          <w:numId w:val="2"/>
        </w:numPr>
        <w:shd w:val="clear" w:color="auto" w:fill="FFFFFF"/>
        <w:spacing w:lineRule="auto" w:line="360" w:beforeAutospacing="0" w:before="0" w:afterAutospacing="0" w:after="0"/>
        <w:jc w:val="both"/>
        <w:rPr>
          <w:rFonts w:ascii="Times New Roman" w:hAnsi="Times New Roman"/>
        </w:rPr>
      </w:pPr>
      <w:r>
        <w:rPr>
          <w:b/>
          <w:bCs/>
          <w:lang w:val="lt-LT"/>
        </w:rPr>
        <w:t>Klausimas</w:t>
      </w:r>
    </w:p>
    <w:p>
      <w:pPr>
        <w:pStyle w:val="NormalWeb"/>
        <w:shd w:val="clear" w:color="auto" w:fill="FFFFFF"/>
        <w:spacing w:lineRule="auto" w:line="360" w:beforeAutospacing="0" w:before="0" w:afterAutospacing="0" w:after="0"/>
        <w:ind w:left="714"/>
        <w:jc w:val="both"/>
        <w:rPr>
          <w:rFonts w:ascii="Times New Roman" w:hAnsi="Times New Roman"/>
        </w:rPr>
      </w:pPr>
      <w:r>
        <w:rPr>
          <w:lang w:val="lt-LT"/>
        </w:rPr>
        <w:t>„</w:t>
      </w:r>
      <w:r>
        <w:rPr>
          <w:rFonts w:cs="Calibri"/>
          <w:i/>
          <w:iCs/>
          <w:color w:val="333333"/>
          <w:sz w:val="23"/>
          <w:szCs w:val="23"/>
          <w:shd w:fill="FFFFFF" w:val="clear"/>
          <w:lang w:val="lt-LT"/>
        </w:rPr>
        <w:t>Prašome patikslinti, kokiose miestuose bus organizuojami užsiėmimai. Remiantis TS 9 punktu, nėra aišku.</w:t>
      </w:r>
      <w:r>
        <w:rPr>
          <w:rFonts w:cs="Calibri"/>
          <w:color w:val="333333"/>
          <w:sz w:val="23"/>
          <w:szCs w:val="23"/>
          <w:shd w:fill="FFFFFF" w:val="clear"/>
        </w:rPr>
        <w:t>“</w:t>
      </w:r>
    </w:p>
    <w:p>
      <w:pPr>
        <w:pStyle w:val="NormalWeb"/>
        <w:shd w:val="clear" w:color="auto" w:fill="FFFFFF"/>
        <w:spacing w:lineRule="auto" w:line="360" w:beforeAutospacing="0" w:before="0" w:afterAutospacing="0" w:after="0"/>
        <w:ind w:left="714"/>
        <w:jc w:val="both"/>
        <w:rPr>
          <w:rFonts w:ascii="Times New Roman" w:hAnsi="Times New Roman"/>
          <w:sz w:val="28"/>
          <w:szCs w:val="28"/>
        </w:rPr>
      </w:pPr>
      <w:r>
        <w:rPr>
          <w:sz w:val="28"/>
          <w:szCs w:val="28"/>
        </w:rPr>
      </w:r>
    </w:p>
    <w:p>
      <w:pPr>
        <w:pStyle w:val="NormalWeb"/>
        <w:numPr>
          <w:ilvl w:val="0"/>
          <w:numId w:val="1"/>
        </w:numPr>
        <w:shd w:val="clear" w:color="auto" w:fill="FFFFFF"/>
        <w:spacing w:lineRule="auto" w:line="360" w:beforeAutospacing="0" w:before="0" w:afterAutospacing="0" w:after="0"/>
        <w:jc w:val="both"/>
        <w:rPr>
          <w:rFonts w:ascii="Times New Roman" w:hAnsi="Times New Roman"/>
        </w:rPr>
      </w:pPr>
      <w:r>
        <w:rPr>
          <w:b/>
          <w:bCs/>
          <w:lang w:val="lt-LT"/>
        </w:rPr>
        <w:t>Atsakymas</w:t>
      </w:r>
    </w:p>
    <w:p>
      <w:pPr>
        <w:pStyle w:val="Normal"/>
        <w:shd w:val="clear" w:color="auto" w:fill="FFFFFF"/>
        <w:spacing w:lineRule="auto" w:line="360" w:beforeAutospacing="0" w:before="0" w:afterAutospacing="0" w:after="0"/>
        <w:ind w:left="714"/>
        <w:jc w:val="both"/>
        <w:rPr>
          <w:rFonts w:ascii="Times New Roman" w:hAnsi="Times New Roman"/>
        </w:rPr>
      </w:pPr>
      <w:r>
        <w:rPr>
          <w:rFonts w:cs="Calibri" w:ascii="Times New Roman" w:hAnsi="Times New Roman"/>
          <w:b w:val="false"/>
          <w:bCs w:val="false"/>
          <w:color w:val="333333"/>
          <w:sz w:val="24"/>
          <w:szCs w:val="24"/>
          <w:shd w:fill="FFFFFF" w:val="clear"/>
          <w:lang w:val="lt-LT"/>
        </w:rPr>
        <w:t xml:space="preserve">Perkančioji organizacija Techninėje specifikacijoje nenurodo konkrečių miestų, kuriuose vyktų mokymai, tiekėjas pats renkasi vietoves kuriose bus vykdomi mokymai, tik privalo išlaikyti proporcijas pagal regionus (Sostinės regionas ir </w:t>
      </w:r>
      <w:r>
        <w:rPr>
          <w:rFonts w:cs="Times New Roman" w:ascii="Times New Roman" w:hAnsi="Times New Roman"/>
          <w:b w:val="false"/>
          <w:bCs w:val="false"/>
          <w:color w:val="000000"/>
          <w:sz w:val="24"/>
          <w:szCs w:val="24"/>
          <w:shd w:fill="FFFFFF" w:val="clear"/>
          <w:lang w:val="lt-LT"/>
        </w:rPr>
        <w:t>Vidurio ir vakarų Lietuvos regionas</w:t>
      </w:r>
      <w:r>
        <w:rPr>
          <w:rFonts w:cs="Calibri" w:ascii="Times New Roman" w:hAnsi="Times New Roman"/>
          <w:b w:val="false"/>
          <w:bCs w:val="false"/>
          <w:color w:val="333333"/>
          <w:sz w:val="24"/>
          <w:szCs w:val="24"/>
          <w:shd w:fill="FFFFFF" w:val="clear"/>
          <w:lang w:val="lt-LT"/>
        </w:rPr>
        <w:t>), kaip tai nurodyta Techninės specifikacijos 9 punkte.</w:t>
      </w:r>
    </w:p>
    <w:p>
      <w:pPr>
        <w:pStyle w:val="Normal"/>
        <w:shd w:val="clear" w:color="auto" w:fill="FFFFFF"/>
        <w:spacing w:before="0" w:after="150"/>
        <w:ind w:hanging="360" w:left="720"/>
        <w:jc w:val="center"/>
        <w:rPr>
          <w:rFonts w:ascii="Times New Roman" w:hAnsi="Times New Roman" w:cs="Times New Roman"/>
          <w:sz w:val="28"/>
          <w:szCs w:val="28"/>
          <w:lang w:val="lt-LT"/>
        </w:rPr>
      </w:pPr>
      <w:r>
        <w:rPr>
          <w:rFonts w:cs="Times New Roman" w:ascii="Times New Roman" w:hAnsi="Times New Roman"/>
          <w:sz w:val="28"/>
          <w:szCs w:val="28"/>
          <w:lang w:val="lt-LT"/>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1080" w:hanging="360"/>
      </w:pPr>
      <w:rPr/>
    </w:lvl>
    <w:lvl w:ilvl="1">
      <w:start w:val="1"/>
      <w:numFmt w:val="lowerLetter"/>
      <w:lvlText w:val="%2."/>
      <w:lvlJc w:val="left"/>
      <w:pPr>
        <w:tabs>
          <w:tab w:val="num" w:pos="0"/>
        </w:tabs>
        <w:ind w:left="1800" w:hanging="360"/>
      </w:pPr>
      <w:rPr/>
    </w:lvl>
    <w:lvl w:ilvl="2">
      <w:start w:val="1"/>
      <w:numFmt w:val="lowerRoman"/>
      <w:lvlText w:val="%3."/>
      <w:lvlJc w:val="right"/>
      <w:pPr>
        <w:tabs>
          <w:tab w:val="num" w:pos="0"/>
        </w:tabs>
        <w:ind w:left="2520" w:hanging="180"/>
      </w:pPr>
      <w:rPr/>
    </w:lvl>
    <w:lvl w:ilvl="3">
      <w:start w:val="1"/>
      <w:numFmt w:val="decimal"/>
      <w:lvlText w:val="%4."/>
      <w:lvlJc w:val="left"/>
      <w:pPr>
        <w:tabs>
          <w:tab w:val="num" w:pos="0"/>
        </w:tabs>
        <w:ind w:left="3240" w:hanging="360"/>
      </w:pPr>
      <w:rPr/>
    </w:lvl>
    <w:lvl w:ilvl="4">
      <w:start w:val="1"/>
      <w:numFmt w:val="lowerLetter"/>
      <w:lvlText w:val="%5."/>
      <w:lvlJc w:val="left"/>
      <w:pPr>
        <w:tabs>
          <w:tab w:val="num" w:pos="0"/>
        </w:tabs>
        <w:ind w:left="3960" w:hanging="360"/>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lowerLetter"/>
      <w:lvlText w:val="%8."/>
      <w:lvlJc w:val="left"/>
      <w:pPr>
        <w:tabs>
          <w:tab w:val="num" w:pos="0"/>
        </w:tabs>
        <w:ind w:left="6120" w:hanging="360"/>
      </w:pPr>
      <w:rPr/>
    </w:lvl>
    <w:lvl w:ilvl="8">
      <w:start w:val="1"/>
      <w:numFmt w:val="lowerRoman"/>
      <w:lvlText w:val="%9."/>
      <w:lvlJc w:val="right"/>
      <w:pPr>
        <w:tabs>
          <w:tab w:val="num" w:pos="0"/>
        </w:tabs>
        <w:ind w:left="6840" w:hanging="180"/>
      </w:pPr>
      <w:rPr/>
    </w:lvl>
  </w:abstractNum>
  <w:abstractNum w:abstractNumId="2">
    <w:lvl w:ilvl="0">
      <w:start w:val="1"/>
      <w:numFmt w:val="decimal"/>
      <w:lvlText w:val="%1."/>
      <w:lvlJc w:val="left"/>
      <w:pPr>
        <w:tabs>
          <w:tab w:val="num" w:pos="0"/>
        </w:tabs>
        <w:ind w:left="1074" w:hanging="360"/>
      </w:pPr>
      <w:rPr/>
    </w:lvl>
    <w:lvl w:ilvl="1">
      <w:start w:val="1"/>
      <w:numFmt w:val="lowerLetter"/>
      <w:lvlText w:val="%2."/>
      <w:lvlJc w:val="left"/>
      <w:pPr>
        <w:tabs>
          <w:tab w:val="num" w:pos="0"/>
        </w:tabs>
        <w:ind w:left="1794" w:hanging="360"/>
      </w:pPr>
      <w:rPr/>
    </w:lvl>
    <w:lvl w:ilvl="2">
      <w:start w:val="1"/>
      <w:numFmt w:val="lowerRoman"/>
      <w:lvlText w:val="%3."/>
      <w:lvlJc w:val="right"/>
      <w:pPr>
        <w:tabs>
          <w:tab w:val="num" w:pos="0"/>
        </w:tabs>
        <w:ind w:left="2514" w:hanging="180"/>
      </w:pPr>
      <w:rPr/>
    </w:lvl>
    <w:lvl w:ilvl="3">
      <w:start w:val="1"/>
      <w:numFmt w:val="decimal"/>
      <w:lvlText w:val="%4."/>
      <w:lvlJc w:val="left"/>
      <w:pPr>
        <w:tabs>
          <w:tab w:val="num" w:pos="0"/>
        </w:tabs>
        <w:ind w:left="3234" w:hanging="360"/>
      </w:pPr>
      <w:rPr/>
    </w:lvl>
    <w:lvl w:ilvl="4">
      <w:start w:val="1"/>
      <w:numFmt w:val="lowerLetter"/>
      <w:lvlText w:val="%5."/>
      <w:lvlJc w:val="left"/>
      <w:pPr>
        <w:tabs>
          <w:tab w:val="num" w:pos="0"/>
        </w:tabs>
        <w:ind w:left="3954" w:hanging="360"/>
      </w:pPr>
      <w:rPr/>
    </w:lvl>
    <w:lvl w:ilvl="5">
      <w:start w:val="1"/>
      <w:numFmt w:val="lowerRoman"/>
      <w:lvlText w:val="%6."/>
      <w:lvlJc w:val="right"/>
      <w:pPr>
        <w:tabs>
          <w:tab w:val="num" w:pos="0"/>
        </w:tabs>
        <w:ind w:left="4674" w:hanging="180"/>
      </w:pPr>
      <w:rPr/>
    </w:lvl>
    <w:lvl w:ilvl="6">
      <w:start w:val="1"/>
      <w:numFmt w:val="decimal"/>
      <w:lvlText w:val="%7."/>
      <w:lvlJc w:val="left"/>
      <w:pPr>
        <w:tabs>
          <w:tab w:val="num" w:pos="0"/>
        </w:tabs>
        <w:ind w:left="5394" w:hanging="360"/>
      </w:pPr>
      <w:rPr/>
    </w:lvl>
    <w:lvl w:ilvl="7">
      <w:start w:val="1"/>
      <w:numFmt w:val="lowerLetter"/>
      <w:lvlText w:val="%8."/>
      <w:lvlJc w:val="left"/>
      <w:pPr>
        <w:tabs>
          <w:tab w:val="num" w:pos="0"/>
        </w:tabs>
        <w:ind w:left="6114" w:hanging="360"/>
      </w:pPr>
      <w:rPr/>
    </w:lvl>
    <w:lvl w:ilvl="8">
      <w:start w:val="1"/>
      <w:numFmt w:val="lowerRoman"/>
      <w:lvlText w:val="%9."/>
      <w:lvlJc w:val="right"/>
      <w:pPr>
        <w:tabs>
          <w:tab w:val="num" w:pos="0"/>
        </w:tabs>
        <w:ind w:left="6834"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4"/>
      <w:szCs w:val="24"/>
      <w:lang w:val="en-US" w:eastAsia="en-US" w:bidi="ar-SA"/>
    </w:rPr>
  </w:style>
  <w:style w:type="paragraph" w:styleId="Heading2">
    <w:name w:val="Heading 2"/>
    <w:basedOn w:val="Normal"/>
    <w:next w:val="Normal"/>
    <w:qFormat/>
    <w:pPr>
      <w:keepNext w:val="true"/>
      <w:keepLines/>
      <w:spacing w:lineRule="auto" w:line="240" w:before="120" w:after="0"/>
      <w:outlineLvl w:val="1"/>
    </w:pPr>
    <w:rPr>
      <w:rFonts w:ascii="Calibri Light" w:hAnsi="Calibri Light" w:eastAsia="" w:cs="" w:asciiTheme="majorHAnsi" w:cstheme="majorBidi" w:eastAsiaTheme="majorEastAsia" w:hAnsiTheme="majorHAnsi"/>
      <w:color w:themeColor="accent2" w:val="ED7D31"/>
      <w:sz w:val="36"/>
      <w:szCs w:val="36"/>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336007"/>
    <w:rPr>
      <w:color w:val="0000FF"/>
      <w:u w:val="single"/>
    </w:rPr>
  </w:style>
  <w:style w:type="character" w:styleId="Apple-converted-space" w:customStyle="1">
    <w:name w:val="apple-converted-space"/>
    <w:basedOn w:val="DefaultParagraphFont"/>
    <w:qFormat/>
    <w:rsid w:val="00336007"/>
    <w:rPr/>
  </w:style>
  <w:style w:type="character" w:styleId="UnresolvedMention">
    <w:name w:val="Unresolved Mention"/>
    <w:basedOn w:val="DefaultParagraphFont"/>
    <w:uiPriority w:val="99"/>
    <w:semiHidden/>
    <w:unhideWhenUsed/>
    <w:qFormat/>
    <w:rsid w:val="00822fb7"/>
    <w:rPr>
      <w:color w:val="605E5C"/>
      <w:shd w:fill="E1DFDD" w:val="clear"/>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C10">
    <w:name w:val="c10"/>
    <w:basedOn w:val="DefaultParagraphFont"/>
    <w:qFormat/>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unhideWhenUsed/>
    <w:qFormat/>
    <w:rsid w:val="00336007"/>
    <w:pPr>
      <w:spacing w:beforeAutospacing="1" w:afterAutospacing="1"/>
    </w:pPr>
    <w:rPr>
      <w:rFonts w:ascii="Times New Roman" w:hAnsi="Times New Roman" w:eastAsia="Times New Roman" w:cs="Times New Roman"/>
      <w:lang w:eastAsia="en-GB"/>
    </w:rPr>
  </w:style>
  <w:style w:type="paragraph" w:styleId="P1" w:customStyle="1">
    <w:name w:val="p1"/>
    <w:basedOn w:val="Normal"/>
    <w:qFormat/>
    <w:rsid w:val="00336007"/>
    <w:pPr>
      <w:spacing w:beforeAutospacing="1" w:afterAutospacing="1"/>
    </w:pPr>
    <w:rPr>
      <w:rFonts w:ascii="Times New Roman" w:hAnsi="Times New Roman" w:eastAsia="Times New Roman" w:cs="Times New Roman"/>
      <w:lang w:eastAsia="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tar.lt/portal/lt/legalAct/TAR.5BA4DD32320E/asr"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273</TotalTime>
  <Application>LibreOffice/7.6.4.1$Windows_X86_64 LibreOffice_project/e19e193f88cd6c0525a17fb7a176ed8e6a3e2aa1</Application>
  <AppVersion>15.0000</AppVersion>
  <Pages>3</Pages>
  <Words>430</Words>
  <Characters>2944</Characters>
  <CharactersWithSpaces>3340</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2023-03-29T13:47:00Z</dcterms:created>
  <dc:creator>Ignas Stanislovaitis</dc:creator>
  <dc:description/>
  <dc:language>en-US</dc:language>
  <cp:lastModifiedBy/>
  <dcterms:modified xsi:type="dcterms:W3CDTF">2026-09-12T15:03:28Z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file>