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D43FDA" w14:textId="199FDB1E" w:rsidR="007B24CC" w:rsidRPr="00CC4CE5" w:rsidRDefault="008666CE" w:rsidP="00613628">
      <w:pPr>
        <w:spacing w:line="276" w:lineRule="auto"/>
        <w:jc w:val="center"/>
        <w:rPr>
          <w:rFonts w:ascii="Trebuchet MS" w:hAnsi="Trebuchet MS"/>
          <w:b/>
          <w:bCs/>
          <w:sz w:val="28"/>
          <w:szCs w:val="28"/>
          <w:lang w:val="lt-LT"/>
        </w:rPr>
      </w:pPr>
      <w:r w:rsidRPr="00CC4CE5">
        <w:rPr>
          <w:rFonts w:ascii="Trebuchet MS" w:hAnsi="Trebuchet MS"/>
          <w:b/>
          <w:bCs/>
          <w:sz w:val="28"/>
          <w:szCs w:val="28"/>
          <w:lang w:val="lt-LT"/>
        </w:rPr>
        <w:t>CDE</w:t>
      </w:r>
      <w:r w:rsidR="002D0F33" w:rsidRPr="00CC4CE5">
        <w:rPr>
          <w:rFonts w:ascii="Trebuchet MS" w:hAnsi="Trebuchet MS"/>
          <w:b/>
          <w:bCs/>
          <w:sz w:val="28"/>
          <w:szCs w:val="28"/>
          <w:lang w:val="lt-LT"/>
        </w:rPr>
        <w:t xml:space="preserve"> </w:t>
      </w:r>
      <w:r w:rsidR="00965B6D" w:rsidRPr="00CC4CE5">
        <w:rPr>
          <w:rFonts w:ascii="Trebuchet MS" w:hAnsi="Trebuchet MS"/>
          <w:b/>
          <w:bCs/>
          <w:sz w:val="28"/>
          <w:szCs w:val="28"/>
          <w:lang w:val="lt-LT"/>
        </w:rPr>
        <w:t xml:space="preserve">SISTEMOS </w:t>
      </w:r>
      <w:r w:rsidR="001F019E" w:rsidRPr="00CC4CE5">
        <w:rPr>
          <w:rFonts w:ascii="Trebuchet MS" w:hAnsi="Trebuchet MS" w:cstheme="minorHAnsi"/>
          <w:b/>
          <w:bCs/>
          <w:sz w:val="28"/>
          <w:szCs w:val="28"/>
          <w:lang w:val="lt-LT" w:eastAsia="lt-LT"/>
        </w:rPr>
        <w:t>LICENCIJŲ PRENUMERATOS</w:t>
      </w:r>
      <w:r w:rsidR="00397576" w:rsidRPr="00CC4CE5">
        <w:rPr>
          <w:rFonts w:ascii="Trebuchet MS" w:hAnsi="Trebuchet MS" w:cstheme="minorHAnsi"/>
          <w:b/>
          <w:bCs/>
          <w:sz w:val="28"/>
          <w:szCs w:val="28"/>
          <w:lang w:val="lt-LT" w:eastAsia="lt-LT"/>
        </w:rPr>
        <w:t xml:space="preserve"> IR DIEGIMO</w:t>
      </w:r>
      <w:r w:rsidR="001F019E" w:rsidRPr="00CC4CE5">
        <w:rPr>
          <w:rFonts w:ascii="Trebuchet MS" w:hAnsi="Trebuchet MS" w:cstheme="minorHAnsi"/>
          <w:b/>
          <w:bCs/>
          <w:sz w:val="28"/>
          <w:szCs w:val="28"/>
          <w:lang w:val="lt-LT" w:eastAsia="lt-LT"/>
        </w:rPr>
        <w:t xml:space="preserve"> </w:t>
      </w:r>
      <w:r w:rsidR="0022032E" w:rsidRPr="00CC4CE5">
        <w:rPr>
          <w:rFonts w:ascii="Trebuchet MS" w:hAnsi="Trebuchet MS"/>
          <w:b/>
          <w:bCs/>
          <w:caps/>
          <w:sz w:val="28"/>
          <w:szCs w:val="28"/>
          <w:lang w:val="lt-LT"/>
        </w:rPr>
        <w:t xml:space="preserve">PASLAUGŲ </w:t>
      </w:r>
      <w:r w:rsidR="007B24CC" w:rsidRPr="00CC4CE5">
        <w:rPr>
          <w:rFonts w:ascii="Trebuchet MS" w:hAnsi="Trebuchet MS"/>
          <w:b/>
          <w:bCs/>
          <w:sz w:val="28"/>
          <w:szCs w:val="28"/>
          <w:lang w:val="lt-LT"/>
        </w:rPr>
        <w:t>PIRKIMO TECHNINĖ SPECIFIKACIJA</w:t>
      </w:r>
    </w:p>
    <w:p w14:paraId="7B5BF160" w14:textId="77777777" w:rsidR="00ED1B23" w:rsidRPr="00CC4CE5" w:rsidRDefault="00ED1B23" w:rsidP="00613628">
      <w:pPr>
        <w:spacing w:line="276" w:lineRule="auto"/>
        <w:jc w:val="center"/>
        <w:rPr>
          <w:rFonts w:ascii="Trebuchet MS" w:hAnsi="Trebuchet MS"/>
          <w:b/>
          <w:bCs/>
          <w:sz w:val="28"/>
          <w:szCs w:val="28"/>
          <w:lang w:val="lt-LT"/>
        </w:rPr>
      </w:pPr>
    </w:p>
    <w:p w14:paraId="7DFA43E9" w14:textId="00A6B057" w:rsidR="007B24CC" w:rsidRPr="00CC4CE5" w:rsidRDefault="007F7A13" w:rsidP="00613628">
      <w:pPr>
        <w:tabs>
          <w:tab w:val="left" w:pos="3209"/>
        </w:tabs>
        <w:spacing w:line="276" w:lineRule="auto"/>
        <w:rPr>
          <w:rFonts w:ascii="Trebuchet MS" w:hAnsi="Trebuchet MS" w:cs="Segoe UI"/>
          <w:sz w:val="22"/>
          <w:szCs w:val="22"/>
          <w:lang w:val="lt-LT"/>
        </w:rPr>
      </w:pPr>
      <w:r w:rsidRPr="00CC4CE5">
        <w:rPr>
          <w:rFonts w:ascii="Trebuchet MS" w:hAnsi="Trebuchet MS" w:cs="Segoe UI"/>
          <w:sz w:val="22"/>
          <w:szCs w:val="22"/>
          <w:lang w:val="lt-LT"/>
        </w:rPr>
        <w:tab/>
      </w:r>
    </w:p>
    <w:p w14:paraId="741E7B42" w14:textId="3D6BFC7E" w:rsidR="008A150D" w:rsidRPr="00CC4CE5" w:rsidRDefault="00F240CF" w:rsidP="00F229C4">
      <w:pPr>
        <w:pStyle w:val="ListParagraph"/>
        <w:numPr>
          <w:ilvl w:val="0"/>
          <w:numId w:val="26"/>
        </w:numPr>
        <w:tabs>
          <w:tab w:val="num" w:pos="426"/>
        </w:tabs>
        <w:spacing w:after="120" w:line="276" w:lineRule="auto"/>
        <w:jc w:val="both"/>
        <w:rPr>
          <w:rFonts w:ascii="Trebuchet MS" w:hAnsi="Trebuchet MS"/>
          <w:b/>
          <w:sz w:val="22"/>
          <w:szCs w:val="22"/>
          <w:lang w:val="lt-LT"/>
        </w:rPr>
      </w:pPr>
      <w:r w:rsidRPr="00CC4CE5">
        <w:rPr>
          <w:rFonts w:ascii="Trebuchet MS" w:hAnsi="Trebuchet MS"/>
          <w:b/>
          <w:sz w:val="22"/>
          <w:szCs w:val="22"/>
          <w:lang w:val="lt-LT"/>
        </w:rPr>
        <w:t xml:space="preserve">Pirkėjas: </w:t>
      </w:r>
      <w:r w:rsidR="00126DF3" w:rsidRPr="00CC4CE5">
        <w:rPr>
          <w:rFonts w:ascii="Trebuchet MS" w:hAnsi="Trebuchet MS"/>
          <w:bCs/>
          <w:sz w:val="22"/>
          <w:szCs w:val="22"/>
          <w:lang w:val="lt-LT"/>
        </w:rPr>
        <w:t xml:space="preserve">Litgrid AB ir </w:t>
      </w:r>
      <w:proofErr w:type="spellStart"/>
      <w:r w:rsidR="00C00B6F" w:rsidRPr="00CC4CE5">
        <w:rPr>
          <w:rFonts w:ascii="Trebuchet MS" w:hAnsi="Trebuchet MS"/>
          <w:bCs/>
          <w:sz w:val="22"/>
          <w:szCs w:val="22"/>
          <w:lang w:val="lt-LT"/>
        </w:rPr>
        <w:t>Amber</w:t>
      </w:r>
      <w:proofErr w:type="spellEnd"/>
      <w:r w:rsidR="00C00B6F" w:rsidRPr="00CC4CE5">
        <w:rPr>
          <w:rFonts w:ascii="Trebuchet MS" w:hAnsi="Trebuchet MS"/>
          <w:bCs/>
          <w:sz w:val="22"/>
          <w:szCs w:val="22"/>
          <w:lang w:val="lt-LT"/>
        </w:rPr>
        <w:t xml:space="preserve"> </w:t>
      </w:r>
      <w:proofErr w:type="spellStart"/>
      <w:r w:rsidR="00C00B6F" w:rsidRPr="00CC4CE5">
        <w:rPr>
          <w:rFonts w:ascii="Trebuchet MS" w:hAnsi="Trebuchet MS"/>
          <w:bCs/>
          <w:sz w:val="22"/>
          <w:szCs w:val="22"/>
          <w:lang w:val="lt-LT"/>
        </w:rPr>
        <w:t>Grid</w:t>
      </w:r>
      <w:proofErr w:type="spellEnd"/>
      <w:r w:rsidR="00C00B6F" w:rsidRPr="00CC4CE5">
        <w:rPr>
          <w:rFonts w:ascii="Trebuchet MS" w:hAnsi="Trebuchet MS"/>
          <w:bCs/>
          <w:sz w:val="22"/>
          <w:szCs w:val="22"/>
          <w:lang w:val="lt-LT"/>
        </w:rPr>
        <w:t xml:space="preserve"> AB</w:t>
      </w:r>
    </w:p>
    <w:p w14:paraId="6E382A90" w14:textId="77777777" w:rsidR="00BD7160" w:rsidRPr="00CC4CE5" w:rsidRDefault="00BD7160" w:rsidP="00BD7160">
      <w:pPr>
        <w:pStyle w:val="ListParagraph"/>
        <w:tabs>
          <w:tab w:val="num" w:pos="426"/>
        </w:tabs>
        <w:spacing w:after="120" w:line="276" w:lineRule="auto"/>
        <w:jc w:val="both"/>
        <w:rPr>
          <w:rFonts w:ascii="Trebuchet MS" w:hAnsi="Trebuchet MS"/>
          <w:b/>
          <w:sz w:val="22"/>
          <w:szCs w:val="22"/>
          <w:lang w:val="lt-LT"/>
        </w:rPr>
      </w:pPr>
    </w:p>
    <w:p w14:paraId="21E24EEF" w14:textId="7FB853EC" w:rsidR="00120B43" w:rsidRPr="00CC4CE5" w:rsidRDefault="007B24CC" w:rsidP="00F229C4">
      <w:pPr>
        <w:pStyle w:val="ListParagraph"/>
        <w:numPr>
          <w:ilvl w:val="0"/>
          <w:numId w:val="26"/>
        </w:numPr>
        <w:tabs>
          <w:tab w:val="num" w:pos="426"/>
        </w:tabs>
        <w:spacing w:after="120" w:line="276" w:lineRule="auto"/>
        <w:jc w:val="both"/>
        <w:rPr>
          <w:rFonts w:ascii="Trebuchet MS" w:hAnsi="Trebuchet MS"/>
          <w:b/>
          <w:sz w:val="22"/>
          <w:szCs w:val="22"/>
          <w:lang w:val="lt-LT"/>
        </w:rPr>
      </w:pPr>
      <w:r w:rsidRPr="00CC4CE5">
        <w:rPr>
          <w:rFonts w:ascii="Trebuchet MS" w:hAnsi="Trebuchet MS"/>
          <w:b/>
          <w:sz w:val="22"/>
          <w:szCs w:val="22"/>
          <w:lang w:val="lt-LT"/>
        </w:rPr>
        <w:t>P</w:t>
      </w:r>
      <w:r w:rsidR="00F240CF" w:rsidRPr="00CC4CE5">
        <w:rPr>
          <w:rFonts w:ascii="Trebuchet MS" w:hAnsi="Trebuchet MS"/>
          <w:b/>
          <w:sz w:val="22"/>
          <w:szCs w:val="22"/>
          <w:lang w:val="lt-LT"/>
        </w:rPr>
        <w:t>e</w:t>
      </w:r>
      <w:r w:rsidRPr="00CC4CE5">
        <w:rPr>
          <w:rFonts w:ascii="Trebuchet MS" w:hAnsi="Trebuchet MS"/>
          <w:b/>
          <w:sz w:val="22"/>
          <w:szCs w:val="22"/>
          <w:lang w:val="lt-LT"/>
        </w:rPr>
        <w:t>rk</w:t>
      </w:r>
      <w:r w:rsidR="00F240CF" w:rsidRPr="00CC4CE5">
        <w:rPr>
          <w:rFonts w:ascii="Trebuchet MS" w:hAnsi="Trebuchet MS"/>
          <w:b/>
          <w:sz w:val="22"/>
          <w:szCs w:val="22"/>
          <w:lang w:val="lt-LT"/>
        </w:rPr>
        <w:t>a</w:t>
      </w:r>
      <w:r w:rsidRPr="00CC4CE5">
        <w:rPr>
          <w:rFonts w:ascii="Trebuchet MS" w:hAnsi="Trebuchet MS"/>
          <w:b/>
          <w:sz w:val="22"/>
          <w:szCs w:val="22"/>
          <w:lang w:val="lt-LT"/>
        </w:rPr>
        <w:t>m</w:t>
      </w:r>
      <w:r w:rsidR="00F240CF" w:rsidRPr="00CC4CE5">
        <w:rPr>
          <w:rFonts w:ascii="Trebuchet MS" w:hAnsi="Trebuchet MS"/>
          <w:b/>
          <w:sz w:val="22"/>
          <w:szCs w:val="22"/>
          <w:lang w:val="lt-LT"/>
        </w:rPr>
        <w:t>as</w:t>
      </w:r>
      <w:r w:rsidRPr="00CC4CE5">
        <w:rPr>
          <w:rFonts w:ascii="Trebuchet MS" w:hAnsi="Trebuchet MS"/>
          <w:b/>
          <w:sz w:val="22"/>
          <w:szCs w:val="22"/>
          <w:lang w:val="lt-LT"/>
        </w:rPr>
        <w:t xml:space="preserve"> objektas</w:t>
      </w:r>
      <w:r w:rsidR="00B367CC" w:rsidRPr="00CC4CE5">
        <w:rPr>
          <w:rFonts w:ascii="Trebuchet MS" w:hAnsi="Trebuchet MS"/>
          <w:b/>
          <w:sz w:val="22"/>
          <w:szCs w:val="22"/>
          <w:lang w:val="lt-LT"/>
        </w:rPr>
        <w:t>:</w:t>
      </w:r>
    </w:p>
    <w:p w14:paraId="689A757A" w14:textId="06088023" w:rsidR="00B13EC7" w:rsidRPr="00CC4CE5" w:rsidRDefault="00F229C4" w:rsidP="00F229C4">
      <w:pPr>
        <w:spacing w:after="120" w:line="276" w:lineRule="auto"/>
        <w:ind w:left="720"/>
        <w:jc w:val="both"/>
        <w:rPr>
          <w:rFonts w:ascii="Trebuchet MS" w:hAnsi="Trebuchet MS" w:cs="Arial"/>
          <w:bCs/>
          <w:sz w:val="22"/>
          <w:szCs w:val="22"/>
          <w:lang w:val="lt-LT"/>
        </w:rPr>
      </w:pPr>
      <w:r w:rsidRPr="00CC4CE5">
        <w:rPr>
          <w:rFonts w:ascii="Trebuchet MS" w:hAnsi="Trebuchet MS"/>
          <w:bCs/>
          <w:sz w:val="22"/>
          <w:szCs w:val="22"/>
          <w:lang w:val="lt-LT"/>
        </w:rPr>
        <w:t xml:space="preserve">2.1. </w:t>
      </w:r>
      <w:r w:rsidR="00790421" w:rsidRPr="00CC4CE5">
        <w:rPr>
          <w:rFonts w:ascii="Trebuchet MS" w:hAnsi="Trebuchet MS"/>
          <w:bCs/>
          <w:sz w:val="22"/>
          <w:szCs w:val="22"/>
          <w:lang w:val="lt-LT"/>
        </w:rPr>
        <w:t xml:space="preserve">Bendrosios duomenų aplinkos, angl. </w:t>
      </w:r>
      <w:proofErr w:type="spellStart"/>
      <w:r w:rsidR="00790421" w:rsidRPr="00CC4CE5">
        <w:rPr>
          <w:rFonts w:ascii="Trebuchet MS" w:hAnsi="Trebuchet MS"/>
          <w:bCs/>
          <w:sz w:val="22"/>
          <w:szCs w:val="22"/>
          <w:lang w:val="lt-LT"/>
        </w:rPr>
        <w:t>Common</w:t>
      </w:r>
      <w:proofErr w:type="spellEnd"/>
      <w:r w:rsidR="00790421" w:rsidRPr="00CC4CE5">
        <w:rPr>
          <w:rFonts w:ascii="Trebuchet MS" w:hAnsi="Trebuchet MS"/>
          <w:bCs/>
          <w:sz w:val="22"/>
          <w:szCs w:val="22"/>
          <w:lang w:val="lt-LT"/>
        </w:rPr>
        <w:t xml:space="preserve"> Data </w:t>
      </w:r>
      <w:proofErr w:type="spellStart"/>
      <w:r w:rsidR="00790421" w:rsidRPr="00CC4CE5">
        <w:rPr>
          <w:rFonts w:ascii="Trebuchet MS" w:hAnsi="Trebuchet MS"/>
          <w:bCs/>
          <w:sz w:val="22"/>
          <w:szCs w:val="22"/>
          <w:lang w:val="lt-LT"/>
        </w:rPr>
        <w:t>Environment</w:t>
      </w:r>
      <w:proofErr w:type="spellEnd"/>
      <w:r w:rsidR="00B13EC7" w:rsidRPr="00CC4CE5">
        <w:rPr>
          <w:rFonts w:ascii="Trebuchet MS" w:hAnsi="Trebuchet MS" w:cs="Arial"/>
          <w:bCs/>
          <w:sz w:val="22"/>
          <w:szCs w:val="22"/>
          <w:lang w:val="lt-LT"/>
        </w:rPr>
        <w:t xml:space="preserve"> (toliau </w:t>
      </w:r>
      <w:r w:rsidR="000C67BD" w:rsidRPr="00CC4CE5">
        <w:rPr>
          <w:rFonts w:ascii="Trebuchet MS" w:hAnsi="Trebuchet MS" w:cs="Arial"/>
          <w:bCs/>
          <w:sz w:val="22"/>
          <w:szCs w:val="22"/>
          <w:lang w:val="lt-LT"/>
        </w:rPr>
        <w:t>–</w:t>
      </w:r>
      <w:r w:rsidR="00B13EC7" w:rsidRPr="00CC4CE5">
        <w:rPr>
          <w:rFonts w:ascii="Trebuchet MS" w:hAnsi="Trebuchet MS" w:cs="Arial"/>
          <w:bCs/>
          <w:sz w:val="22"/>
          <w:szCs w:val="22"/>
          <w:lang w:val="lt-LT"/>
        </w:rPr>
        <w:t xml:space="preserve"> </w:t>
      </w:r>
      <w:r w:rsidR="003E2DC2" w:rsidRPr="00CC4CE5">
        <w:rPr>
          <w:rFonts w:ascii="Trebuchet MS" w:hAnsi="Trebuchet MS" w:cs="Arial"/>
          <w:bCs/>
          <w:sz w:val="22"/>
          <w:szCs w:val="22"/>
          <w:lang w:val="lt-LT"/>
        </w:rPr>
        <w:t>CDE</w:t>
      </w:r>
      <w:r w:rsidR="00B13EC7" w:rsidRPr="00CC4CE5">
        <w:rPr>
          <w:rFonts w:ascii="Trebuchet MS" w:hAnsi="Trebuchet MS" w:cs="Arial"/>
          <w:bCs/>
          <w:sz w:val="22"/>
          <w:szCs w:val="22"/>
          <w:lang w:val="lt-LT"/>
        </w:rPr>
        <w:t xml:space="preserve">) </w:t>
      </w:r>
      <w:r w:rsidR="001D0DD0" w:rsidRPr="00CC4CE5">
        <w:rPr>
          <w:rFonts w:ascii="Trebuchet MS" w:hAnsi="Trebuchet MS" w:cs="Arial"/>
          <w:bCs/>
          <w:sz w:val="22"/>
          <w:szCs w:val="22"/>
          <w:lang w:val="lt-LT"/>
        </w:rPr>
        <w:t xml:space="preserve">programinės įrangos </w:t>
      </w:r>
      <w:r w:rsidR="00FB1A3A" w:rsidRPr="00CC4CE5">
        <w:rPr>
          <w:rFonts w:ascii="Trebuchet MS" w:hAnsi="Trebuchet MS" w:cs="Arial"/>
          <w:bCs/>
          <w:sz w:val="22"/>
          <w:szCs w:val="22"/>
          <w:lang w:val="lt-LT"/>
        </w:rPr>
        <w:t>licencij</w:t>
      </w:r>
      <w:r w:rsidR="001D0DD0" w:rsidRPr="00CC4CE5">
        <w:rPr>
          <w:rFonts w:ascii="Trebuchet MS" w:hAnsi="Trebuchet MS" w:cs="Arial"/>
          <w:bCs/>
          <w:sz w:val="22"/>
          <w:szCs w:val="22"/>
          <w:lang w:val="lt-LT"/>
        </w:rPr>
        <w:t>ų nuoma</w:t>
      </w:r>
      <w:r w:rsidR="00B13EC7" w:rsidRPr="00CC4CE5">
        <w:rPr>
          <w:rFonts w:ascii="Trebuchet MS" w:hAnsi="Trebuchet MS" w:cs="Arial"/>
          <w:bCs/>
          <w:sz w:val="22"/>
          <w:szCs w:val="22"/>
          <w:lang w:val="lt-LT"/>
        </w:rPr>
        <w:t xml:space="preserve"> </w:t>
      </w:r>
      <w:r w:rsidR="00E80C38" w:rsidRPr="00CC4CE5">
        <w:rPr>
          <w:rFonts w:ascii="Trebuchet MS" w:hAnsi="Trebuchet MS" w:cs="Arial"/>
          <w:bCs/>
          <w:sz w:val="22"/>
          <w:szCs w:val="22"/>
          <w:lang w:val="lt-LT"/>
        </w:rPr>
        <w:t xml:space="preserve"> ir CDE konfigūravimas, duomenų </w:t>
      </w:r>
      <w:r w:rsidR="004F28B0" w:rsidRPr="00CC4CE5">
        <w:rPr>
          <w:rFonts w:ascii="Trebuchet MS" w:hAnsi="Trebuchet MS" w:cs="Arial"/>
          <w:bCs/>
          <w:sz w:val="22"/>
          <w:szCs w:val="22"/>
          <w:lang w:val="lt-LT"/>
        </w:rPr>
        <w:t xml:space="preserve">migravimo bei naudotojų mokymo paslaugos (toliau – </w:t>
      </w:r>
      <w:r w:rsidR="004F28B0" w:rsidRPr="00097120">
        <w:rPr>
          <w:rFonts w:ascii="Trebuchet MS" w:hAnsi="Trebuchet MS" w:cs="Arial"/>
          <w:bCs/>
          <w:sz w:val="22"/>
          <w:szCs w:val="22"/>
          <w:lang w:val="lt-LT"/>
        </w:rPr>
        <w:t>Licencijų nuoma</w:t>
      </w:r>
      <w:r w:rsidR="004F28B0" w:rsidRPr="00CC4CE5">
        <w:rPr>
          <w:rFonts w:ascii="Trebuchet MS" w:hAnsi="Trebuchet MS" w:cs="Arial"/>
          <w:bCs/>
          <w:sz w:val="22"/>
          <w:szCs w:val="22"/>
          <w:lang w:val="lt-LT"/>
        </w:rPr>
        <w:t>)</w:t>
      </w:r>
      <w:r w:rsidR="00B13EC7" w:rsidRPr="00CC4CE5">
        <w:rPr>
          <w:rFonts w:ascii="Trebuchet MS" w:hAnsi="Trebuchet MS" w:cs="Arial"/>
          <w:bCs/>
          <w:sz w:val="22"/>
          <w:szCs w:val="22"/>
          <w:lang w:val="lt-LT"/>
        </w:rPr>
        <w:t>.</w:t>
      </w:r>
      <w:r w:rsidR="00CA0A2F" w:rsidRPr="00CC4CE5">
        <w:rPr>
          <w:bCs/>
          <w:sz w:val="22"/>
          <w:szCs w:val="22"/>
          <w:lang w:val="lt-LT"/>
        </w:rPr>
        <w:t xml:space="preserve"> </w:t>
      </w:r>
      <w:r w:rsidR="00CA0A2F" w:rsidRPr="00CC4CE5">
        <w:rPr>
          <w:rFonts w:ascii="Trebuchet MS" w:hAnsi="Trebuchet MS" w:cs="Arial"/>
          <w:bCs/>
          <w:sz w:val="22"/>
          <w:szCs w:val="22"/>
          <w:lang w:val="lt-LT"/>
        </w:rPr>
        <w:t>Siekiant užtikrinti efektyvų</w:t>
      </w:r>
      <w:r w:rsidR="000653F2" w:rsidRPr="00CC4CE5">
        <w:rPr>
          <w:rFonts w:ascii="Trebuchet MS" w:hAnsi="Trebuchet MS" w:cs="Arial"/>
          <w:bCs/>
          <w:sz w:val="22"/>
          <w:szCs w:val="22"/>
          <w:lang w:val="lt-LT"/>
        </w:rPr>
        <w:t xml:space="preserve"> einamųjų bei būsimųjų BIM projektų valdymą</w:t>
      </w:r>
      <w:r w:rsidR="00CA0A2F" w:rsidRPr="00CC4CE5">
        <w:rPr>
          <w:rFonts w:ascii="Trebuchet MS" w:hAnsi="Trebuchet MS" w:cs="Arial"/>
          <w:bCs/>
          <w:sz w:val="22"/>
          <w:szCs w:val="22"/>
          <w:lang w:val="lt-LT"/>
        </w:rPr>
        <w:t xml:space="preserve"> bei veiklos tęstinumą</w:t>
      </w:r>
      <w:r w:rsidR="001B0888" w:rsidRPr="00CC4CE5">
        <w:rPr>
          <w:rFonts w:ascii="Trebuchet MS" w:hAnsi="Trebuchet MS" w:cs="Arial"/>
          <w:bCs/>
          <w:sz w:val="22"/>
          <w:szCs w:val="22"/>
          <w:lang w:val="lt-LT"/>
        </w:rPr>
        <w:t>.</w:t>
      </w:r>
    </w:p>
    <w:p w14:paraId="56627F00" w14:textId="4BBD0A77" w:rsidR="007B24CC" w:rsidRPr="00CC4CE5" w:rsidRDefault="00F229C4" w:rsidP="00F229C4">
      <w:pPr>
        <w:spacing w:after="120" w:line="276" w:lineRule="auto"/>
        <w:ind w:left="720"/>
        <w:jc w:val="both"/>
        <w:rPr>
          <w:rFonts w:ascii="Trebuchet MS" w:hAnsi="Trebuchet MS" w:cs="Arial"/>
          <w:bCs/>
          <w:sz w:val="22"/>
          <w:szCs w:val="22"/>
          <w:lang w:val="lt-LT"/>
        </w:rPr>
      </w:pPr>
      <w:r w:rsidRPr="00CC4CE5">
        <w:rPr>
          <w:rFonts w:ascii="Trebuchet MS" w:hAnsi="Trebuchet MS"/>
          <w:bCs/>
          <w:sz w:val="22"/>
          <w:szCs w:val="22"/>
          <w:lang w:val="lt-LT"/>
        </w:rPr>
        <w:t xml:space="preserve">2.2. </w:t>
      </w:r>
      <w:r w:rsidR="001B5A47" w:rsidRPr="00CC4CE5">
        <w:rPr>
          <w:rFonts w:ascii="Trebuchet MS" w:hAnsi="Trebuchet MS" w:cs="Arial"/>
          <w:bCs/>
          <w:sz w:val="22"/>
          <w:szCs w:val="22"/>
          <w:lang w:val="lt-LT"/>
        </w:rPr>
        <w:t>Kartu perkamos ir</w:t>
      </w:r>
      <w:r w:rsidR="00203021" w:rsidRPr="00CC4CE5">
        <w:rPr>
          <w:rFonts w:ascii="Trebuchet MS" w:hAnsi="Trebuchet MS" w:cs="Arial"/>
          <w:bCs/>
          <w:sz w:val="22"/>
          <w:szCs w:val="22"/>
          <w:lang w:val="lt-LT"/>
        </w:rPr>
        <w:t xml:space="preserve"> aptarnavim</w:t>
      </w:r>
      <w:r w:rsidR="001B5A47" w:rsidRPr="00CC4CE5">
        <w:rPr>
          <w:rFonts w:ascii="Trebuchet MS" w:hAnsi="Trebuchet MS" w:cs="Arial"/>
          <w:bCs/>
          <w:sz w:val="22"/>
          <w:szCs w:val="22"/>
          <w:lang w:val="lt-LT"/>
        </w:rPr>
        <w:t xml:space="preserve">o bei konsultavimo </w:t>
      </w:r>
      <w:r w:rsidR="002B08AE" w:rsidRPr="00CC4CE5">
        <w:rPr>
          <w:rFonts w:ascii="Trebuchet MS" w:hAnsi="Trebuchet MS" w:cs="Arial"/>
          <w:bCs/>
          <w:sz w:val="22"/>
          <w:szCs w:val="22"/>
          <w:lang w:val="lt-LT"/>
        </w:rPr>
        <w:t>paslaugos</w:t>
      </w:r>
      <w:r w:rsidR="00203021" w:rsidRPr="00CC4CE5">
        <w:rPr>
          <w:rFonts w:ascii="Trebuchet MS" w:hAnsi="Trebuchet MS" w:cs="Arial"/>
          <w:bCs/>
          <w:sz w:val="22"/>
          <w:szCs w:val="22"/>
          <w:lang w:val="lt-LT"/>
        </w:rPr>
        <w:t xml:space="preserve"> (toliau – </w:t>
      </w:r>
      <w:r w:rsidR="002B08AE" w:rsidRPr="00CC4CE5">
        <w:rPr>
          <w:rFonts w:ascii="Trebuchet MS" w:hAnsi="Trebuchet MS" w:cs="Arial"/>
          <w:bCs/>
          <w:sz w:val="22"/>
          <w:szCs w:val="22"/>
          <w:lang w:val="lt-LT"/>
        </w:rPr>
        <w:t>Aptarnavimo</w:t>
      </w:r>
      <w:r w:rsidR="0095444A" w:rsidRPr="00CC4CE5">
        <w:rPr>
          <w:rFonts w:ascii="Trebuchet MS" w:hAnsi="Trebuchet MS" w:cs="Arial"/>
          <w:bCs/>
          <w:sz w:val="22"/>
          <w:szCs w:val="22"/>
          <w:lang w:val="lt-LT"/>
        </w:rPr>
        <w:t xml:space="preserve"> paslaugos</w:t>
      </w:r>
      <w:r w:rsidR="00203021" w:rsidRPr="00CC4CE5">
        <w:rPr>
          <w:rFonts w:ascii="Trebuchet MS" w:hAnsi="Trebuchet MS" w:cs="Arial"/>
          <w:bCs/>
          <w:sz w:val="22"/>
          <w:szCs w:val="22"/>
          <w:lang w:val="lt-LT"/>
        </w:rPr>
        <w:t>)</w:t>
      </w:r>
      <w:r w:rsidR="007B24CC" w:rsidRPr="00CC4CE5">
        <w:rPr>
          <w:rFonts w:ascii="Trebuchet MS" w:hAnsi="Trebuchet MS" w:cs="Arial"/>
          <w:bCs/>
          <w:sz w:val="22"/>
          <w:szCs w:val="22"/>
          <w:lang w:val="lt-LT"/>
        </w:rPr>
        <w:t>;</w:t>
      </w:r>
    </w:p>
    <w:p w14:paraId="613844AB" w14:textId="537A9B50" w:rsidR="00CE454B" w:rsidRPr="00CC4CE5" w:rsidRDefault="00A24099" w:rsidP="00A24099">
      <w:pPr>
        <w:spacing w:after="120" w:line="276" w:lineRule="auto"/>
        <w:ind w:left="720"/>
        <w:jc w:val="both"/>
        <w:rPr>
          <w:rFonts w:ascii="Trebuchet MS" w:hAnsi="Trebuchet MS" w:cs="Arial"/>
          <w:bCs/>
          <w:sz w:val="22"/>
          <w:szCs w:val="22"/>
          <w:lang w:val="lt-LT"/>
        </w:rPr>
      </w:pPr>
      <w:r w:rsidRPr="00CC4CE5">
        <w:rPr>
          <w:rFonts w:ascii="Trebuchet MS" w:hAnsi="Trebuchet MS"/>
          <w:bCs/>
          <w:sz w:val="22"/>
          <w:szCs w:val="22"/>
          <w:lang w:val="lt-LT"/>
        </w:rPr>
        <w:t xml:space="preserve">2.3. </w:t>
      </w:r>
      <w:r w:rsidR="000D7159" w:rsidRPr="00CC4CE5">
        <w:rPr>
          <w:rFonts w:ascii="Trebuchet MS" w:hAnsi="Trebuchet MS" w:cs="Arial"/>
          <w:bCs/>
          <w:sz w:val="22"/>
          <w:szCs w:val="22"/>
          <w:lang w:val="lt-LT"/>
        </w:rPr>
        <w:t>Visos perkamos</w:t>
      </w:r>
      <w:r w:rsidR="0095444A" w:rsidRPr="00CC4CE5">
        <w:rPr>
          <w:rFonts w:ascii="Trebuchet MS" w:hAnsi="Trebuchet MS" w:cs="Arial"/>
          <w:bCs/>
          <w:sz w:val="22"/>
          <w:szCs w:val="22"/>
          <w:lang w:val="lt-LT"/>
        </w:rPr>
        <w:t xml:space="preserve"> paslaugos</w:t>
      </w:r>
      <w:r w:rsidR="00203021" w:rsidRPr="00CC4CE5">
        <w:rPr>
          <w:rFonts w:ascii="Trebuchet MS" w:hAnsi="Trebuchet MS" w:cs="Arial"/>
          <w:bCs/>
          <w:sz w:val="22"/>
          <w:szCs w:val="22"/>
          <w:lang w:val="lt-LT"/>
        </w:rPr>
        <w:t xml:space="preserve"> </w:t>
      </w:r>
      <w:r w:rsidR="007B24CC" w:rsidRPr="00CC4CE5">
        <w:rPr>
          <w:rFonts w:ascii="Trebuchet MS" w:hAnsi="Trebuchet MS" w:cs="Arial"/>
          <w:bCs/>
          <w:sz w:val="22"/>
          <w:szCs w:val="22"/>
          <w:lang w:val="lt-LT"/>
        </w:rPr>
        <w:t>turi būti teikiamos</w:t>
      </w:r>
      <w:r w:rsidR="00774D17" w:rsidRPr="00CC4CE5">
        <w:rPr>
          <w:rFonts w:ascii="Trebuchet MS" w:hAnsi="Trebuchet MS" w:cs="Arial"/>
          <w:bCs/>
          <w:sz w:val="22"/>
          <w:szCs w:val="22"/>
          <w:lang w:val="lt-LT"/>
        </w:rPr>
        <w:t xml:space="preserve"> </w:t>
      </w:r>
      <w:r w:rsidR="001B0C9B" w:rsidRPr="00CC4CE5">
        <w:rPr>
          <w:rFonts w:ascii="Trebuchet MS" w:hAnsi="Trebuchet MS" w:cs="Arial"/>
          <w:bCs/>
          <w:sz w:val="22"/>
          <w:szCs w:val="22"/>
          <w:lang w:val="lt-LT"/>
        </w:rPr>
        <w:t>60</w:t>
      </w:r>
      <w:r w:rsidR="00774D17" w:rsidRPr="00CC4CE5">
        <w:rPr>
          <w:rFonts w:ascii="Trebuchet MS" w:hAnsi="Trebuchet MS" w:cs="Arial"/>
          <w:bCs/>
          <w:sz w:val="22"/>
          <w:szCs w:val="22"/>
          <w:lang w:val="lt-LT"/>
        </w:rPr>
        <w:t xml:space="preserve"> mėn. (</w:t>
      </w:r>
      <w:r w:rsidR="001B0C9B" w:rsidRPr="00CC4CE5">
        <w:rPr>
          <w:rFonts w:ascii="Trebuchet MS" w:hAnsi="Trebuchet MS" w:cs="Arial"/>
          <w:bCs/>
          <w:sz w:val="22"/>
          <w:szCs w:val="22"/>
          <w:lang w:val="lt-LT"/>
        </w:rPr>
        <w:t>5</w:t>
      </w:r>
      <w:r w:rsidR="00EF7006" w:rsidRPr="00CC4CE5">
        <w:rPr>
          <w:rFonts w:ascii="Trebuchet MS" w:hAnsi="Trebuchet MS" w:cs="Arial"/>
          <w:bCs/>
          <w:sz w:val="22"/>
          <w:szCs w:val="22"/>
          <w:lang w:val="lt-LT"/>
        </w:rPr>
        <w:t xml:space="preserve"> met</w:t>
      </w:r>
      <w:r w:rsidR="000514A2" w:rsidRPr="00CC4CE5">
        <w:rPr>
          <w:rFonts w:ascii="Trebuchet MS" w:hAnsi="Trebuchet MS" w:cs="Arial"/>
          <w:bCs/>
          <w:sz w:val="22"/>
          <w:szCs w:val="22"/>
          <w:lang w:val="lt-LT"/>
        </w:rPr>
        <w:t>us</w:t>
      </w:r>
      <w:r w:rsidR="00774D17" w:rsidRPr="00CC4CE5">
        <w:rPr>
          <w:rFonts w:ascii="Trebuchet MS" w:hAnsi="Trebuchet MS" w:cs="Arial"/>
          <w:bCs/>
          <w:sz w:val="22"/>
          <w:szCs w:val="22"/>
          <w:lang w:val="lt-LT"/>
        </w:rPr>
        <w:t xml:space="preserve">) </w:t>
      </w:r>
      <w:r w:rsidR="007B24CC" w:rsidRPr="00CC4CE5">
        <w:rPr>
          <w:rFonts w:ascii="Trebuchet MS" w:hAnsi="Trebuchet MS" w:cs="Arial"/>
          <w:bCs/>
          <w:sz w:val="22"/>
          <w:szCs w:val="22"/>
          <w:lang w:val="lt-LT"/>
        </w:rPr>
        <w:t xml:space="preserve">nuo </w:t>
      </w:r>
      <w:r w:rsidR="000514A2" w:rsidRPr="00CC4CE5">
        <w:rPr>
          <w:rFonts w:ascii="Trebuchet MS" w:hAnsi="Trebuchet MS" w:cs="Arial"/>
          <w:bCs/>
          <w:sz w:val="22"/>
          <w:szCs w:val="22"/>
          <w:lang w:val="lt-LT"/>
        </w:rPr>
        <w:t>licencijų aktyvavimo</w:t>
      </w:r>
      <w:r w:rsidR="007B24CC" w:rsidRPr="00CC4CE5">
        <w:rPr>
          <w:rFonts w:ascii="Trebuchet MS" w:hAnsi="Trebuchet MS" w:cs="Arial"/>
          <w:bCs/>
          <w:sz w:val="22"/>
          <w:szCs w:val="22"/>
          <w:lang w:val="lt-LT"/>
        </w:rPr>
        <w:t xml:space="preserve"> dieno</w:t>
      </w:r>
      <w:r w:rsidR="008971C3" w:rsidRPr="00CC4CE5">
        <w:rPr>
          <w:rFonts w:ascii="Trebuchet MS" w:hAnsi="Trebuchet MS" w:cs="Arial"/>
          <w:bCs/>
          <w:sz w:val="22"/>
          <w:szCs w:val="22"/>
          <w:lang w:val="lt-LT"/>
        </w:rPr>
        <w:t xml:space="preserve">s, </w:t>
      </w:r>
      <w:r w:rsidR="004E6A60" w:rsidRPr="00CC4CE5">
        <w:rPr>
          <w:rFonts w:ascii="Trebuchet MS" w:hAnsi="Trebuchet MS" w:cs="Arial"/>
          <w:bCs/>
          <w:sz w:val="22"/>
          <w:szCs w:val="22"/>
          <w:lang w:val="lt-LT"/>
        </w:rPr>
        <w:t>ku</w:t>
      </w:r>
      <w:r w:rsidR="00EF28D3" w:rsidRPr="00CC4CE5">
        <w:rPr>
          <w:rFonts w:ascii="Trebuchet MS" w:hAnsi="Trebuchet MS" w:cs="Arial"/>
          <w:bCs/>
          <w:sz w:val="22"/>
          <w:szCs w:val="22"/>
          <w:lang w:val="lt-LT"/>
        </w:rPr>
        <w:t>ri</w:t>
      </w:r>
      <w:r w:rsidR="00C13473" w:rsidRPr="00CC4CE5">
        <w:rPr>
          <w:rFonts w:ascii="Trebuchet MS" w:hAnsi="Trebuchet MS" w:cs="Arial"/>
          <w:bCs/>
          <w:sz w:val="22"/>
          <w:szCs w:val="22"/>
          <w:lang w:val="lt-LT"/>
        </w:rPr>
        <w:t>os aktyvuojamos ne anksčiau, kaip 2027-01-11</w:t>
      </w:r>
      <w:r w:rsidR="007B24CC" w:rsidRPr="00CC4CE5">
        <w:rPr>
          <w:rFonts w:ascii="Trebuchet MS" w:hAnsi="Trebuchet MS" w:cs="Arial"/>
          <w:bCs/>
          <w:sz w:val="22"/>
          <w:szCs w:val="22"/>
          <w:lang w:val="lt-LT"/>
        </w:rPr>
        <w:t>.</w:t>
      </w:r>
    </w:p>
    <w:p w14:paraId="3C442328" w14:textId="77777777" w:rsidR="00A24099" w:rsidRPr="00CC4CE5" w:rsidRDefault="00A24099" w:rsidP="00A24099">
      <w:pPr>
        <w:spacing w:after="120" w:line="276" w:lineRule="auto"/>
        <w:jc w:val="both"/>
        <w:rPr>
          <w:rFonts w:ascii="Trebuchet MS" w:hAnsi="Trebuchet MS"/>
          <w:b/>
          <w:sz w:val="22"/>
          <w:szCs w:val="22"/>
          <w:lang w:val="lt-LT"/>
        </w:rPr>
      </w:pPr>
    </w:p>
    <w:p w14:paraId="010FE2A2" w14:textId="17611F73" w:rsidR="004367B6" w:rsidRPr="00CC4CE5" w:rsidRDefault="00767405" w:rsidP="004367B6">
      <w:pPr>
        <w:pStyle w:val="ListParagraph"/>
        <w:numPr>
          <w:ilvl w:val="0"/>
          <w:numId w:val="26"/>
        </w:numPr>
        <w:spacing w:after="120" w:line="276" w:lineRule="auto"/>
        <w:jc w:val="both"/>
        <w:rPr>
          <w:rFonts w:ascii="Trebuchet MS" w:hAnsi="Trebuchet MS"/>
          <w:b/>
          <w:sz w:val="22"/>
          <w:szCs w:val="22"/>
          <w:lang w:val="lt-LT"/>
        </w:rPr>
      </w:pPr>
      <w:r w:rsidRPr="00CC4CE5">
        <w:rPr>
          <w:rFonts w:ascii="Trebuchet MS" w:hAnsi="Trebuchet MS" w:cs="Arial"/>
          <w:b/>
          <w:bCs/>
          <w:sz w:val="22"/>
          <w:szCs w:val="22"/>
          <w:lang w:val="lt-LT"/>
        </w:rPr>
        <w:t xml:space="preserve">Reikalavimai </w:t>
      </w:r>
      <w:r w:rsidR="00F240CF" w:rsidRPr="00CC4CE5">
        <w:rPr>
          <w:rFonts w:ascii="Trebuchet MS" w:hAnsi="Trebuchet MS" w:cs="Arial"/>
          <w:b/>
          <w:bCs/>
          <w:sz w:val="22"/>
          <w:szCs w:val="22"/>
          <w:lang w:val="lt-LT"/>
        </w:rPr>
        <w:t>perkamam objektui</w:t>
      </w:r>
      <w:r w:rsidRPr="00CC4CE5">
        <w:rPr>
          <w:rFonts w:ascii="Trebuchet MS" w:hAnsi="Trebuchet MS"/>
          <w:b/>
          <w:sz w:val="22"/>
          <w:lang w:val="lt-LT"/>
        </w:rPr>
        <w:t>:</w:t>
      </w:r>
    </w:p>
    <w:p w14:paraId="58C43F6E" w14:textId="7D5597B0" w:rsidR="004B0A02" w:rsidRPr="00CC4CE5" w:rsidRDefault="004B0A02" w:rsidP="00DF3857">
      <w:pPr>
        <w:spacing w:after="120" w:line="276" w:lineRule="auto"/>
        <w:ind w:left="720"/>
        <w:jc w:val="both"/>
        <w:rPr>
          <w:rFonts w:ascii="Trebuchet MS" w:hAnsi="Trebuchet MS"/>
          <w:bCs/>
          <w:sz w:val="22"/>
          <w:szCs w:val="22"/>
          <w:lang w:val="lt-LT"/>
        </w:rPr>
      </w:pPr>
      <w:r w:rsidRPr="00CC4CE5">
        <w:rPr>
          <w:rFonts w:ascii="Trebuchet MS" w:hAnsi="Trebuchet MS"/>
          <w:bCs/>
          <w:sz w:val="22"/>
          <w:szCs w:val="22"/>
          <w:lang w:val="lt-LT"/>
        </w:rPr>
        <w:t xml:space="preserve">3.1. </w:t>
      </w:r>
      <w:r w:rsidR="00190E50" w:rsidRPr="00CC4CE5">
        <w:rPr>
          <w:rFonts w:ascii="Trebuchet MS" w:hAnsi="Trebuchet MS"/>
          <w:bCs/>
          <w:sz w:val="22"/>
          <w:szCs w:val="22"/>
          <w:lang w:val="lt-LT"/>
        </w:rPr>
        <w:t>Perkama licencij</w:t>
      </w:r>
      <w:r w:rsidR="00F12494" w:rsidRPr="00CC4CE5">
        <w:rPr>
          <w:rFonts w:ascii="Trebuchet MS" w:hAnsi="Trebuchet MS"/>
          <w:bCs/>
          <w:sz w:val="22"/>
          <w:szCs w:val="22"/>
          <w:lang w:val="lt-LT"/>
        </w:rPr>
        <w:t>ų</w:t>
      </w:r>
      <w:r w:rsidR="005026AC" w:rsidRPr="00CC4CE5">
        <w:rPr>
          <w:rFonts w:ascii="Trebuchet MS" w:hAnsi="Trebuchet MS"/>
          <w:bCs/>
          <w:sz w:val="22"/>
          <w:szCs w:val="22"/>
          <w:lang w:val="lt-LT"/>
        </w:rPr>
        <w:t xml:space="preserve"> nuoma Litgrid</w:t>
      </w:r>
      <w:r w:rsidR="00341BD8" w:rsidRPr="00CC4CE5">
        <w:rPr>
          <w:rFonts w:ascii="Trebuchet MS" w:hAnsi="Trebuchet MS"/>
          <w:bCs/>
          <w:sz w:val="22"/>
          <w:szCs w:val="22"/>
          <w:lang w:val="lt-LT"/>
        </w:rPr>
        <w:t>,</w:t>
      </w:r>
      <w:r w:rsidR="005026AC" w:rsidRPr="00CC4CE5">
        <w:rPr>
          <w:rFonts w:ascii="Trebuchet MS" w:hAnsi="Trebuchet MS"/>
          <w:bCs/>
          <w:sz w:val="22"/>
          <w:szCs w:val="22"/>
          <w:lang w:val="lt-LT"/>
        </w:rPr>
        <w:t xml:space="preserve"> AB įmonei, </w:t>
      </w:r>
      <w:r w:rsidR="00792327" w:rsidRPr="00CC4CE5">
        <w:rPr>
          <w:rFonts w:ascii="Trebuchet MS" w:hAnsi="Trebuchet MS"/>
          <w:bCs/>
          <w:sz w:val="22"/>
          <w:szCs w:val="22"/>
          <w:lang w:val="lt-LT"/>
        </w:rPr>
        <w:t>k</w:t>
      </w:r>
      <w:r w:rsidR="003323E7" w:rsidRPr="00CC4CE5">
        <w:rPr>
          <w:rFonts w:ascii="Trebuchet MS" w:hAnsi="Trebuchet MS"/>
          <w:bCs/>
          <w:sz w:val="22"/>
          <w:szCs w:val="22"/>
          <w:lang w:val="lt-LT"/>
        </w:rPr>
        <w:t xml:space="preserve">urios vienu metu vykdomų/valdomų projektų skaičius </w:t>
      </w:r>
      <w:r w:rsidR="00F16F17" w:rsidRPr="00CC4CE5">
        <w:rPr>
          <w:rFonts w:ascii="Trebuchet MS" w:hAnsi="Trebuchet MS"/>
          <w:bCs/>
          <w:sz w:val="22"/>
          <w:szCs w:val="22"/>
          <w:lang w:val="lt-LT"/>
        </w:rPr>
        <w:t>CDE</w:t>
      </w:r>
      <w:r w:rsidR="003323E7" w:rsidRPr="00CC4CE5">
        <w:rPr>
          <w:rFonts w:ascii="Trebuchet MS" w:hAnsi="Trebuchet MS"/>
          <w:bCs/>
          <w:sz w:val="22"/>
          <w:szCs w:val="22"/>
          <w:lang w:val="lt-LT"/>
        </w:rPr>
        <w:t xml:space="preserve"> aplinkoje siekia </w:t>
      </w:r>
      <w:r w:rsidR="00250535" w:rsidRPr="00CC4CE5">
        <w:rPr>
          <w:rFonts w:ascii="Trebuchet MS" w:hAnsi="Trebuchet MS"/>
          <w:bCs/>
          <w:sz w:val="22"/>
          <w:szCs w:val="22"/>
          <w:lang w:val="lt-LT"/>
        </w:rPr>
        <w:t xml:space="preserve">iki </w:t>
      </w:r>
      <w:r w:rsidR="00E244BF" w:rsidRPr="00CC4CE5">
        <w:rPr>
          <w:rFonts w:ascii="Trebuchet MS" w:hAnsi="Trebuchet MS"/>
          <w:bCs/>
          <w:sz w:val="22"/>
          <w:szCs w:val="22"/>
          <w:lang w:val="lt-LT"/>
        </w:rPr>
        <w:t>8</w:t>
      </w:r>
      <w:r w:rsidR="00250535" w:rsidRPr="00CC4CE5">
        <w:rPr>
          <w:rFonts w:ascii="Trebuchet MS" w:hAnsi="Trebuchet MS"/>
          <w:bCs/>
          <w:sz w:val="22"/>
          <w:szCs w:val="22"/>
          <w:lang w:val="lt-LT"/>
        </w:rPr>
        <w:t xml:space="preserve">0. </w:t>
      </w:r>
      <w:r w:rsidR="00DD35EF" w:rsidRPr="00CC4CE5">
        <w:rPr>
          <w:rFonts w:ascii="Trebuchet MS" w:hAnsi="Trebuchet MS"/>
          <w:bCs/>
          <w:sz w:val="22"/>
          <w:szCs w:val="22"/>
          <w:lang w:val="lt-LT"/>
        </w:rPr>
        <w:t>Prie šių projektų besijungiančių</w:t>
      </w:r>
      <w:r w:rsidR="00856B70" w:rsidRPr="00CC4CE5">
        <w:rPr>
          <w:rFonts w:ascii="Trebuchet MS" w:hAnsi="Trebuchet MS"/>
          <w:bCs/>
          <w:sz w:val="22"/>
          <w:szCs w:val="22"/>
          <w:lang w:val="lt-LT"/>
        </w:rPr>
        <w:t xml:space="preserve"> Pirkėjo, jo part</w:t>
      </w:r>
      <w:r w:rsidR="00EE1549" w:rsidRPr="00CC4CE5">
        <w:rPr>
          <w:rFonts w:ascii="Trebuchet MS" w:hAnsi="Trebuchet MS"/>
          <w:bCs/>
          <w:sz w:val="22"/>
          <w:szCs w:val="22"/>
          <w:lang w:val="lt-LT"/>
        </w:rPr>
        <w:t>n</w:t>
      </w:r>
      <w:r w:rsidR="00856B70" w:rsidRPr="00CC4CE5">
        <w:rPr>
          <w:rFonts w:ascii="Trebuchet MS" w:hAnsi="Trebuchet MS"/>
          <w:bCs/>
          <w:sz w:val="22"/>
          <w:szCs w:val="22"/>
          <w:lang w:val="lt-LT"/>
        </w:rPr>
        <w:t>erių ir paslaugų teikėjų</w:t>
      </w:r>
      <w:r w:rsidR="00EE1549" w:rsidRPr="00CC4CE5">
        <w:rPr>
          <w:rFonts w:ascii="Trebuchet MS" w:hAnsi="Trebuchet MS"/>
          <w:bCs/>
          <w:sz w:val="22"/>
          <w:szCs w:val="22"/>
          <w:lang w:val="lt-LT"/>
        </w:rPr>
        <w:t xml:space="preserve"> </w:t>
      </w:r>
      <w:r w:rsidR="00C13473" w:rsidRPr="00CC4CE5">
        <w:rPr>
          <w:rFonts w:ascii="Trebuchet MS" w:hAnsi="Trebuchet MS"/>
          <w:bCs/>
          <w:sz w:val="22"/>
          <w:szCs w:val="22"/>
          <w:lang w:val="lt-LT"/>
        </w:rPr>
        <w:t>vartotojų</w:t>
      </w:r>
      <w:r w:rsidR="00856B70" w:rsidRPr="00CC4CE5">
        <w:rPr>
          <w:rFonts w:ascii="Trebuchet MS" w:hAnsi="Trebuchet MS"/>
          <w:bCs/>
          <w:sz w:val="22"/>
          <w:szCs w:val="22"/>
          <w:lang w:val="lt-LT"/>
        </w:rPr>
        <w:t xml:space="preserve"> skaičius</w:t>
      </w:r>
      <w:r w:rsidR="00EE1549" w:rsidRPr="00CC4CE5">
        <w:rPr>
          <w:rFonts w:ascii="Trebuchet MS" w:hAnsi="Trebuchet MS"/>
          <w:bCs/>
          <w:sz w:val="22"/>
          <w:szCs w:val="22"/>
          <w:lang w:val="lt-LT"/>
        </w:rPr>
        <w:t xml:space="preserve"> iki </w:t>
      </w:r>
      <w:r w:rsidR="00597603" w:rsidRPr="00CC4CE5">
        <w:rPr>
          <w:rFonts w:ascii="Trebuchet MS" w:hAnsi="Trebuchet MS"/>
          <w:bCs/>
          <w:sz w:val="22"/>
          <w:szCs w:val="22"/>
          <w:lang w:val="lt-LT"/>
        </w:rPr>
        <w:t>7</w:t>
      </w:r>
      <w:r w:rsidR="00EE1549" w:rsidRPr="00CC4CE5">
        <w:rPr>
          <w:rFonts w:ascii="Trebuchet MS" w:hAnsi="Trebuchet MS"/>
          <w:bCs/>
          <w:sz w:val="22"/>
          <w:szCs w:val="22"/>
          <w:lang w:val="lt-LT"/>
        </w:rPr>
        <w:t xml:space="preserve">00. </w:t>
      </w:r>
    </w:p>
    <w:p w14:paraId="76EE935F" w14:textId="4A43D64A" w:rsidR="00341BD8" w:rsidRPr="00CC4CE5" w:rsidRDefault="00341BD8" w:rsidP="00DF3857">
      <w:pPr>
        <w:spacing w:after="120" w:line="276" w:lineRule="auto"/>
        <w:ind w:left="720"/>
        <w:jc w:val="both"/>
        <w:rPr>
          <w:rFonts w:ascii="Trebuchet MS" w:hAnsi="Trebuchet MS"/>
          <w:bCs/>
          <w:sz w:val="22"/>
          <w:szCs w:val="22"/>
          <w:lang w:val="lt-LT"/>
        </w:rPr>
      </w:pPr>
      <w:r w:rsidRPr="00CC4CE5">
        <w:rPr>
          <w:rFonts w:ascii="Trebuchet MS" w:hAnsi="Trebuchet MS"/>
          <w:bCs/>
          <w:sz w:val="22"/>
          <w:szCs w:val="22"/>
          <w:lang w:val="lt-LT"/>
        </w:rPr>
        <w:t>3.2. Perkama licencij</w:t>
      </w:r>
      <w:r w:rsidR="00F12494" w:rsidRPr="00CC4CE5">
        <w:rPr>
          <w:rFonts w:ascii="Trebuchet MS" w:hAnsi="Trebuchet MS"/>
          <w:bCs/>
          <w:sz w:val="22"/>
          <w:szCs w:val="22"/>
          <w:lang w:val="lt-LT"/>
        </w:rPr>
        <w:t>ų</w:t>
      </w:r>
      <w:r w:rsidRPr="00CC4CE5">
        <w:rPr>
          <w:rFonts w:ascii="Trebuchet MS" w:hAnsi="Trebuchet MS"/>
          <w:bCs/>
          <w:sz w:val="22"/>
          <w:szCs w:val="22"/>
          <w:lang w:val="lt-LT"/>
        </w:rPr>
        <w:t xml:space="preserve"> nuoma </w:t>
      </w:r>
      <w:proofErr w:type="spellStart"/>
      <w:r w:rsidRPr="00CC4CE5">
        <w:rPr>
          <w:rFonts w:ascii="Trebuchet MS" w:hAnsi="Trebuchet MS"/>
          <w:bCs/>
          <w:sz w:val="22"/>
          <w:szCs w:val="22"/>
          <w:lang w:val="lt-LT"/>
        </w:rPr>
        <w:t>Amber</w:t>
      </w:r>
      <w:proofErr w:type="spellEnd"/>
      <w:r w:rsidRPr="00CC4CE5">
        <w:rPr>
          <w:rFonts w:ascii="Trebuchet MS" w:hAnsi="Trebuchet MS"/>
          <w:bCs/>
          <w:sz w:val="22"/>
          <w:szCs w:val="22"/>
          <w:lang w:val="lt-LT"/>
        </w:rPr>
        <w:t xml:space="preserve"> </w:t>
      </w:r>
      <w:proofErr w:type="spellStart"/>
      <w:r w:rsidRPr="00CC4CE5">
        <w:rPr>
          <w:rFonts w:ascii="Trebuchet MS" w:hAnsi="Trebuchet MS"/>
          <w:bCs/>
          <w:sz w:val="22"/>
          <w:szCs w:val="22"/>
          <w:lang w:val="lt-LT"/>
        </w:rPr>
        <w:t>Grid</w:t>
      </w:r>
      <w:proofErr w:type="spellEnd"/>
      <w:r w:rsidRPr="00CC4CE5">
        <w:rPr>
          <w:rFonts w:ascii="Trebuchet MS" w:hAnsi="Trebuchet MS"/>
          <w:bCs/>
          <w:sz w:val="22"/>
          <w:szCs w:val="22"/>
          <w:lang w:val="lt-LT"/>
        </w:rPr>
        <w:t xml:space="preserve">, AB įmonei, kurios vienu metu vykdomų/valdomų projektų skaičius </w:t>
      </w:r>
      <w:r w:rsidR="00475D55" w:rsidRPr="00CC4CE5">
        <w:rPr>
          <w:rFonts w:ascii="Trebuchet MS" w:hAnsi="Trebuchet MS"/>
          <w:bCs/>
          <w:sz w:val="22"/>
          <w:szCs w:val="22"/>
          <w:lang w:val="lt-LT"/>
        </w:rPr>
        <w:t>CDE</w:t>
      </w:r>
      <w:r w:rsidRPr="00CC4CE5">
        <w:rPr>
          <w:rFonts w:ascii="Trebuchet MS" w:hAnsi="Trebuchet MS"/>
          <w:bCs/>
          <w:sz w:val="22"/>
          <w:szCs w:val="22"/>
          <w:lang w:val="lt-LT"/>
        </w:rPr>
        <w:t xml:space="preserve"> aplinkoje siekia iki 20. Prie šių projektų besijungiančių </w:t>
      </w:r>
      <w:proofErr w:type="spellStart"/>
      <w:r w:rsidR="002809A6" w:rsidRPr="00CC4CE5">
        <w:rPr>
          <w:rFonts w:ascii="Trebuchet MS" w:hAnsi="Trebuchet MS"/>
          <w:bCs/>
          <w:sz w:val="22"/>
          <w:szCs w:val="22"/>
          <w:lang w:val="lt-LT"/>
        </w:rPr>
        <w:t>Amber</w:t>
      </w:r>
      <w:proofErr w:type="spellEnd"/>
      <w:r w:rsidR="002809A6" w:rsidRPr="00CC4CE5">
        <w:rPr>
          <w:rFonts w:ascii="Trebuchet MS" w:hAnsi="Trebuchet MS"/>
          <w:bCs/>
          <w:sz w:val="22"/>
          <w:szCs w:val="22"/>
          <w:lang w:val="lt-LT"/>
        </w:rPr>
        <w:t xml:space="preserve"> </w:t>
      </w:r>
      <w:proofErr w:type="spellStart"/>
      <w:r w:rsidR="002809A6" w:rsidRPr="00CC4CE5">
        <w:rPr>
          <w:rFonts w:ascii="Trebuchet MS" w:hAnsi="Trebuchet MS"/>
          <w:bCs/>
          <w:sz w:val="22"/>
          <w:szCs w:val="22"/>
          <w:lang w:val="lt-LT"/>
        </w:rPr>
        <w:t>Grid</w:t>
      </w:r>
      <w:proofErr w:type="spellEnd"/>
      <w:r w:rsidRPr="00CC4CE5">
        <w:rPr>
          <w:rFonts w:ascii="Trebuchet MS" w:hAnsi="Trebuchet MS"/>
          <w:bCs/>
          <w:sz w:val="22"/>
          <w:szCs w:val="22"/>
          <w:lang w:val="lt-LT"/>
        </w:rPr>
        <w:t>, jo</w:t>
      </w:r>
      <w:r w:rsidR="002809A6" w:rsidRPr="00CC4CE5">
        <w:rPr>
          <w:rFonts w:ascii="Trebuchet MS" w:hAnsi="Trebuchet MS"/>
          <w:bCs/>
          <w:sz w:val="22"/>
          <w:szCs w:val="22"/>
          <w:lang w:val="lt-LT"/>
        </w:rPr>
        <w:t>s</w:t>
      </w:r>
      <w:r w:rsidRPr="00CC4CE5">
        <w:rPr>
          <w:rFonts w:ascii="Trebuchet MS" w:hAnsi="Trebuchet MS"/>
          <w:bCs/>
          <w:sz w:val="22"/>
          <w:szCs w:val="22"/>
          <w:lang w:val="lt-LT"/>
        </w:rPr>
        <w:t xml:space="preserve"> partnerių ir paslaugų teikėjų </w:t>
      </w:r>
      <w:r w:rsidR="00CB5E8C" w:rsidRPr="00CC4CE5">
        <w:rPr>
          <w:rFonts w:ascii="Trebuchet MS" w:hAnsi="Trebuchet MS"/>
          <w:bCs/>
          <w:sz w:val="22"/>
          <w:szCs w:val="22"/>
          <w:lang w:val="lt-LT"/>
        </w:rPr>
        <w:t>vartotojų</w:t>
      </w:r>
      <w:r w:rsidRPr="00CC4CE5">
        <w:rPr>
          <w:rFonts w:ascii="Trebuchet MS" w:hAnsi="Trebuchet MS"/>
          <w:bCs/>
          <w:sz w:val="22"/>
          <w:szCs w:val="22"/>
          <w:lang w:val="lt-LT"/>
        </w:rPr>
        <w:t xml:space="preserve"> skaičius iki </w:t>
      </w:r>
      <w:r w:rsidR="001B0C9B" w:rsidRPr="00CC4CE5">
        <w:rPr>
          <w:rFonts w:ascii="Trebuchet MS" w:hAnsi="Trebuchet MS"/>
          <w:bCs/>
          <w:sz w:val="22"/>
          <w:szCs w:val="22"/>
          <w:lang w:val="lt-LT"/>
        </w:rPr>
        <w:t>4</w:t>
      </w:r>
      <w:r w:rsidRPr="00CC4CE5">
        <w:rPr>
          <w:rFonts w:ascii="Trebuchet MS" w:hAnsi="Trebuchet MS"/>
          <w:bCs/>
          <w:sz w:val="22"/>
          <w:szCs w:val="22"/>
          <w:lang w:val="lt-LT"/>
        </w:rPr>
        <w:t>00.</w:t>
      </w:r>
    </w:p>
    <w:p w14:paraId="70205C27" w14:textId="35778D08" w:rsidR="00F04B73" w:rsidRPr="00CC4CE5" w:rsidRDefault="00F04B73" w:rsidP="00DF3857">
      <w:pPr>
        <w:spacing w:after="120" w:line="276" w:lineRule="auto"/>
        <w:ind w:left="720"/>
        <w:jc w:val="both"/>
        <w:rPr>
          <w:rFonts w:ascii="Trebuchet MS" w:hAnsi="Trebuchet MS"/>
          <w:bCs/>
          <w:sz w:val="22"/>
          <w:szCs w:val="22"/>
          <w:lang w:val="lt-LT"/>
        </w:rPr>
      </w:pPr>
      <w:r w:rsidRPr="00CC4CE5">
        <w:rPr>
          <w:rFonts w:ascii="Trebuchet MS" w:hAnsi="Trebuchet MS"/>
          <w:bCs/>
          <w:sz w:val="22"/>
          <w:szCs w:val="22"/>
          <w:lang w:val="lt-LT"/>
        </w:rPr>
        <w:t xml:space="preserve">3.3. </w:t>
      </w:r>
      <w:r w:rsidR="00FE595A" w:rsidRPr="00CC4CE5">
        <w:rPr>
          <w:rFonts w:ascii="Trebuchet MS" w:hAnsi="Trebuchet MS"/>
          <w:bCs/>
          <w:sz w:val="22"/>
          <w:szCs w:val="22"/>
          <w:lang w:val="lt-LT"/>
        </w:rPr>
        <w:t>Turi būti užtikrinta</w:t>
      </w:r>
      <w:r w:rsidR="00CB5E8C" w:rsidRPr="00CC4CE5">
        <w:rPr>
          <w:rFonts w:ascii="Trebuchet MS" w:hAnsi="Trebuchet MS"/>
          <w:bCs/>
          <w:sz w:val="22"/>
          <w:szCs w:val="22"/>
          <w:lang w:val="lt-LT"/>
        </w:rPr>
        <w:t xml:space="preserve"> vidutiniškai</w:t>
      </w:r>
      <w:r w:rsidR="00FE595A" w:rsidRPr="00CC4CE5">
        <w:rPr>
          <w:rFonts w:ascii="Trebuchet MS" w:hAnsi="Trebuchet MS"/>
          <w:bCs/>
          <w:sz w:val="22"/>
          <w:szCs w:val="22"/>
          <w:lang w:val="lt-LT"/>
        </w:rPr>
        <w:t xml:space="preserve"> iki </w:t>
      </w:r>
      <w:r w:rsidR="00B7204A" w:rsidRPr="00CC4CE5">
        <w:rPr>
          <w:rFonts w:ascii="Trebuchet MS" w:hAnsi="Trebuchet MS"/>
          <w:bCs/>
          <w:sz w:val="22"/>
          <w:szCs w:val="22"/>
          <w:lang w:val="lt-LT"/>
        </w:rPr>
        <w:t>10</w:t>
      </w:r>
      <w:r w:rsidR="00DE3531" w:rsidRPr="00CC4CE5">
        <w:rPr>
          <w:rFonts w:ascii="Trebuchet MS" w:hAnsi="Trebuchet MS"/>
          <w:bCs/>
          <w:sz w:val="22"/>
          <w:szCs w:val="22"/>
          <w:lang w:val="lt-LT"/>
        </w:rPr>
        <w:t>0</w:t>
      </w:r>
      <w:r w:rsidR="00B7204A" w:rsidRPr="00CC4CE5">
        <w:rPr>
          <w:rFonts w:ascii="Trebuchet MS" w:hAnsi="Trebuchet MS"/>
          <w:bCs/>
          <w:sz w:val="22"/>
          <w:szCs w:val="22"/>
          <w:lang w:val="lt-LT"/>
        </w:rPr>
        <w:t xml:space="preserve"> </w:t>
      </w:r>
      <w:r w:rsidR="00D344D1" w:rsidRPr="00CC4CE5">
        <w:rPr>
          <w:rFonts w:ascii="Trebuchet MS" w:hAnsi="Trebuchet MS"/>
          <w:bCs/>
          <w:sz w:val="22"/>
          <w:szCs w:val="22"/>
          <w:lang w:val="lt-LT"/>
        </w:rPr>
        <w:t>GB talpykla</w:t>
      </w:r>
      <w:r w:rsidR="002942EC" w:rsidRPr="00CC4CE5">
        <w:rPr>
          <w:rFonts w:ascii="Trebuchet MS" w:hAnsi="Trebuchet MS"/>
          <w:bCs/>
          <w:sz w:val="22"/>
          <w:szCs w:val="22"/>
          <w:lang w:val="lt-LT"/>
        </w:rPr>
        <w:t xml:space="preserve"> </w:t>
      </w:r>
      <w:r w:rsidR="00440A82" w:rsidRPr="00CC4CE5">
        <w:rPr>
          <w:rFonts w:ascii="Trebuchet MS" w:hAnsi="Trebuchet MS"/>
          <w:bCs/>
          <w:sz w:val="22"/>
          <w:szCs w:val="22"/>
          <w:lang w:val="lt-LT"/>
        </w:rPr>
        <w:t>projekto duomenims ir dokumentams</w:t>
      </w:r>
      <w:r w:rsidR="00D344D1" w:rsidRPr="00CC4CE5">
        <w:rPr>
          <w:rFonts w:ascii="Trebuchet MS" w:hAnsi="Trebuchet MS"/>
          <w:bCs/>
          <w:sz w:val="22"/>
          <w:szCs w:val="22"/>
          <w:lang w:val="lt-LT"/>
        </w:rPr>
        <w:t xml:space="preserve"> kiekvienam Pirkėjo </w:t>
      </w:r>
      <w:r w:rsidR="003B22A0" w:rsidRPr="00CC4CE5">
        <w:rPr>
          <w:rFonts w:ascii="Trebuchet MS" w:hAnsi="Trebuchet MS"/>
          <w:bCs/>
          <w:sz w:val="22"/>
          <w:szCs w:val="22"/>
          <w:lang w:val="lt-LT"/>
        </w:rPr>
        <w:t>projektui.</w:t>
      </w:r>
    </w:p>
    <w:p w14:paraId="5AC8DDC1" w14:textId="02277058" w:rsidR="002809A6" w:rsidRPr="00CC4CE5" w:rsidRDefault="002809A6" w:rsidP="006470A0">
      <w:pPr>
        <w:spacing w:after="120" w:line="276" w:lineRule="auto"/>
        <w:ind w:left="720"/>
        <w:jc w:val="both"/>
        <w:rPr>
          <w:rFonts w:ascii="Trebuchet MS" w:hAnsi="Trebuchet MS"/>
          <w:bCs/>
          <w:sz w:val="22"/>
          <w:szCs w:val="22"/>
          <w:lang w:val="lt-LT"/>
        </w:rPr>
      </w:pPr>
      <w:r w:rsidRPr="00CC4CE5">
        <w:rPr>
          <w:rFonts w:ascii="Trebuchet MS" w:hAnsi="Trebuchet MS"/>
          <w:bCs/>
          <w:sz w:val="22"/>
          <w:szCs w:val="22"/>
          <w:lang w:val="lt-LT"/>
        </w:rPr>
        <w:t>3.</w:t>
      </w:r>
      <w:r w:rsidR="00440A82" w:rsidRPr="00CC4CE5">
        <w:rPr>
          <w:rFonts w:ascii="Trebuchet MS" w:hAnsi="Trebuchet MS"/>
          <w:bCs/>
          <w:sz w:val="22"/>
          <w:szCs w:val="22"/>
          <w:lang w:val="lt-LT"/>
        </w:rPr>
        <w:t>4</w:t>
      </w:r>
      <w:r w:rsidRPr="00CC4CE5">
        <w:rPr>
          <w:rFonts w:ascii="Trebuchet MS" w:hAnsi="Trebuchet MS"/>
          <w:bCs/>
          <w:sz w:val="22"/>
          <w:szCs w:val="22"/>
          <w:lang w:val="lt-LT"/>
        </w:rPr>
        <w:t xml:space="preserve">. </w:t>
      </w:r>
      <w:r w:rsidR="00570620" w:rsidRPr="00CC4CE5">
        <w:rPr>
          <w:rFonts w:ascii="Trebuchet MS" w:hAnsi="Trebuchet MS"/>
          <w:bCs/>
          <w:sz w:val="22"/>
          <w:szCs w:val="22"/>
          <w:lang w:val="lt-LT"/>
        </w:rPr>
        <w:t>Perkamos licencijos turi suteikti prieigą prie dokumentų ir failų valdymo</w:t>
      </w:r>
      <w:r w:rsidR="005A629B">
        <w:rPr>
          <w:rFonts w:ascii="Trebuchet MS" w:hAnsi="Trebuchet MS"/>
          <w:bCs/>
          <w:sz w:val="22"/>
          <w:szCs w:val="22"/>
          <w:lang w:val="lt-LT"/>
        </w:rPr>
        <w:t xml:space="preserve"> BIM</w:t>
      </w:r>
      <w:r w:rsidR="00570620" w:rsidRPr="00CC4CE5">
        <w:rPr>
          <w:rFonts w:ascii="Trebuchet MS" w:hAnsi="Trebuchet MS"/>
          <w:bCs/>
          <w:sz w:val="22"/>
          <w:szCs w:val="22"/>
          <w:lang w:val="lt-LT"/>
        </w:rPr>
        <w:t xml:space="preserve"> 2D/3D bei erdvinės projekto informacijos valdymo ir statybos užduočių bei procesų valdymo funkcionalumo</w:t>
      </w:r>
      <w:r w:rsidR="00C205C8" w:rsidRPr="00CC4CE5">
        <w:rPr>
          <w:rFonts w:ascii="Trebuchet MS" w:hAnsi="Trebuchet MS"/>
          <w:bCs/>
          <w:sz w:val="22"/>
          <w:szCs w:val="22"/>
          <w:lang w:val="lt-LT"/>
        </w:rPr>
        <w:t xml:space="preserve">, kurių apimtis ir reikalavimai nustatyti Techninės specifikacijos 1 </w:t>
      </w:r>
      <w:r w:rsidR="006470A0" w:rsidRPr="00CC4CE5">
        <w:rPr>
          <w:rFonts w:ascii="Trebuchet MS" w:hAnsi="Trebuchet MS"/>
          <w:bCs/>
          <w:sz w:val="22"/>
          <w:szCs w:val="22"/>
          <w:lang w:val="lt-LT"/>
        </w:rPr>
        <w:t>priede</w:t>
      </w:r>
      <w:r w:rsidR="00C205C8" w:rsidRPr="00CC4CE5">
        <w:rPr>
          <w:rFonts w:ascii="Trebuchet MS" w:hAnsi="Trebuchet MS"/>
          <w:bCs/>
          <w:sz w:val="22"/>
          <w:szCs w:val="22"/>
          <w:lang w:val="lt-LT"/>
        </w:rPr>
        <w:t>.</w:t>
      </w:r>
    </w:p>
    <w:p w14:paraId="7ADE69E0" w14:textId="12141254" w:rsidR="002F2EF3" w:rsidRPr="00CC4CE5" w:rsidRDefault="00AE005F" w:rsidP="00DF3857">
      <w:pPr>
        <w:spacing w:after="120" w:line="276" w:lineRule="auto"/>
        <w:ind w:left="720"/>
        <w:jc w:val="both"/>
        <w:rPr>
          <w:rFonts w:ascii="Trebuchet MS" w:hAnsi="Trebuchet MS"/>
          <w:bCs/>
          <w:sz w:val="22"/>
          <w:szCs w:val="22"/>
          <w:lang w:val="lt-LT"/>
        </w:rPr>
      </w:pPr>
      <w:r w:rsidRPr="00CC4CE5">
        <w:rPr>
          <w:rFonts w:ascii="Trebuchet MS" w:hAnsi="Trebuchet MS"/>
          <w:bCs/>
          <w:sz w:val="22"/>
          <w:szCs w:val="22"/>
          <w:lang w:val="lt-LT"/>
        </w:rPr>
        <w:t>3.</w:t>
      </w:r>
      <w:r w:rsidR="001B2C14" w:rsidRPr="00CC4CE5">
        <w:rPr>
          <w:rFonts w:ascii="Trebuchet MS" w:hAnsi="Trebuchet MS"/>
          <w:bCs/>
          <w:sz w:val="22"/>
          <w:szCs w:val="22"/>
          <w:lang w:val="lt-LT"/>
        </w:rPr>
        <w:t>5</w:t>
      </w:r>
      <w:r w:rsidRPr="00CC4CE5">
        <w:rPr>
          <w:rFonts w:ascii="Trebuchet MS" w:hAnsi="Trebuchet MS"/>
          <w:bCs/>
          <w:sz w:val="22"/>
          <w:szCs w:val="22"/>
          <w:lang w:val="lt-LT"/>
        </w:rPr>
        <w:t xml:space="preserve">. </w:t>
      </w:r>
      <w:r w:rsidR="000464CA" w:rsidRPr="00CC4CE5">
        <w:rPr>
          <w:rFonts w:ascii="Trebuchet MS" w:hAnsi="Trebuchet MS"/>
          <w:bCs/>
          <w:sz w:val="22"/>
          <w:szCs w:val="22"/>
          <w:lang w:val="lt-LT"/>
        </w:rPr>
        <w:t xml:space="preserve">Į pirkimo objektą įtraukiamos CDE konfigūravimo pagal Pirkėjo nustatytus procesus ir reikalavimus, esamų projektų ir duomenų migravimo į naują CDE bei CDE naudotojų mokymo paslaugos, kurių apimtis ir reikalavimai nustatyti Techninės specifikacijos 2–4 </w:t>
      </w:r>
      <w:r w:rsidR="006470A0" w:rsidRPr="00CC4CE5">
        <w:rPr>
          <w:rFonts w:ascii="Trebuchet MS" w:hAnsi="Trebuchet MS"/>
          <w:bCs/>
          <w:sz w:val="22"/>
          <w:szCs w:val="22"/>
          <w:lang w:val="lt-LT"/>
        </w:rPr>
        <w:t>priede</w:t>
      </w:r>
      <w:r w:rsidR="000464CA" w:rsidRPr="00CC4CE5">
        <w:rPr>
          <w:rFonts w:ascii="Trebuchet MS" w:hAnsi="Trebuchet MS"/>
          <w:bCs/>
          <w:sz w:val="22"/>
          <w:szCs w:val="22"/>
          <w:lang w:val="lt-LT"/>
        </w:rPr>
        <w:t>.</w:t>
      </w:r>
    </w:p>
    <w:p w14:paraId="4FF33269" w14:textId="5CE5FE3B" w:rsidR="001B2C14" w:rsidRPr="00CC4CE5" w:rsidRDefault="001B2C14" w:rsidP="001B2C14">
      <w:pPr>
        <w:spacing w:after="120" w:line="276" w:lineRule="auto"/>
        <w:ind w:left="720"/>
        <w:jc w:val="both"/>
        <w:rPr>
          <w:rFonts w:ascii="Trebuchet MS" w:hAnsi="Trebuchet MS"/>
          <w:bCs/>
          <w:sz w:val="22"/>
          <w:szCs w:val="22"/>
          <w:lang w:val="lt-LT"/>
        </w:rPr>
      </w:pPr>
      <w:r w:rsidRPr="00CC4CE5">
        <w:rPr>
          <w:rFonts w:ascii="Trebuchet MS" w:hAnsi="Trebuchet MS"/>
          <w:bCs/>
          <w:sz w:val="22"/>
          <w:szCs w:val="22"/>
          <w:lang w:val="lt-LT"/>
        </w:rPr>
        <w:t>3.6. Į pirkimo objektą taip pat įtraukiam</w:t>
      </w:r>
      <w:r w:rsidR="002962FF" w:rsidRPr="00CC4CE5">
        <w:rPr>
          <w:rFonts w:ascii="Trebuchet MS" w:hAnsi="Trebuchet MS"/>
          <w:bCs/>
          <w:sz w:val="22"/>
          <w:szCs w:val="22"/>
          <w:lang w:val="lt-LT"/>
        </w:rPr>
        <w:t>a</w:t>
      </w:r>
      <w:r w:rsidRPr="00CC4CE5">
        <w:rPr>
          <w:rFonts w:ascii="Trebuchet MS" w:hAnsi="Trebuchet MS"/>
          <w:bCs/>
          <w:sz w:val="22"/>
          <w:szCs w:val="22"/>
          <w:lang w:val="lt-LT"/>
        </w:rPr>
        <w:t xml:space="preserve">s </w:t>
      </w:r>
      <w:r w:rsidR="002962FF" w:rsidRPr="00CC4CE5">
        <w:rPr>
          <w:rFonts w:ascii="Trebuchet MS" w:hAnsi="Trebuchet MS"/>
          <w:bCs/>
          <w:sz w:val="22"/>
          <w:szCs w:val="22"/>
          <w:lang w:val="lt-LT"/>
        </w:rPr>
        <w:t>CDE</w:t>
      </w:r>
      <w:r w:rsidRPr="00CC4CE5">
        <w:rPr>
          <w:rFonts w:ascii="Trebuchet MS" w:hAnsi="Trebuchet MS"/>
          <w:bCs/>
          <w:sz w:val="22"/>
          <w:szCs w:val="22"/>
          <w:lang w:val="lt-LT"/>
        </w:rPr>
        <w:t xml:space="preserve"> atstovų konsultavimas dėl programinės įrangos taikymo, kiekvienai iš Pirkėjo organizacijų po 50 val. per sutarties galiojimo laikotarpį.</w:t>
      </w:r>
    </w:p>
    <w:p w14:paraId="20C17127" w14:textId="2F8367A8" w:rsidR="00C36EF9" w:rsidRPr="00CC4CE5" w:rsidRDefault="00000907" w:rsidP="00DF3857">
      <w:pPr>
        <w:spacing w:after="120" w:line="276" w:lineRule="auto"/>
        <w:ind w:left="720"/>
        <w:jc w:val="both"/>
        <w:rPr>
          <w:rFonts w:ascii="Trebuchet MS" w:hAnsi="Trebuchet MS"/>
          <w:bCs/>
          <w:sz w:val="22"/>
          <w:szCs w:val="22"/>
          <w:lang w:val="lt-LT"/>
        </w:rPr>
      </w:pPr>
      <w:r w:rsidRPr="00CC4CE5">
        <w:rPr>
          <w:rFonts w:ascii="Trebuchet MS" w:hAnsi="Trebuchet MS"/>
          <w:bCs/>
          <w:sz w:val="22"/>
          <w:szCs w:val="22"/>
          <w:lang w:val="lt-LT"/>
        </w:rPr>
        <w:t>3.</w:t>
      </w:r>
      <w:r w:rsidR="001B2C14" w:rsidRPr="00CC4CE5">
        <w:rPr>
          <w:rFonts w:ascii="Trebuchet MS" w:hAnsi="Trebuchet MS"/>
          <w:bCs/>
          <w:sz w:val="22"/>
          <w:szCs w:val="22"/>
          <w:lang w:val="lt-LT"/>
        </w:rPr>
        <w:t>7</w:t>
      </w:r>
      <w:r w:rsidRPr="00CC4CE5">
        <w:rPr>
          <w:rFonts w:ascii="Trebuchet MS" w:hAnsi="Trebuchet MS"/>
          <w:bCs/>
          <w:sz w:val="22"/>
          <w:szCs w:val="22"/>
          <w:lang w:val="lt-LT"/>
        </w:rPr>
        <w:t>. Licencij</w:t>
      </w:r>
      <w:r w:rsidR="00005FEF" w:rsidRPr="00CC4CE5">
        <w:rPr>
          <w:rFonts w:ascii="Trebuchet MS" w:hAnsi="Trebuchet MS"/>
          <w:bCs/>
          <w:sz w:val="22"/>
          <w:szCs w:val="22"/>
          <w:lang w:val="lt-LT"/>
        </w:rPr>
        <w:t>ų</w:t>
      </w:r>
      <w:r w:rsidRPr="00CC4CE5">
        <w:rPr>
          <w:rFonts w:ascii="Trebuchet MS" w:hAnsi="Trebuchet MS"/>
          <w:bCs/>
          <w:sz w:val="22"/>
          <w:szCs w:val="22"/>
          <w:lang w:val="lt-LT"/>
        </w:rPr>
        <w:t xml:space="preserve"> užsakymo ir aktyvavimo faktas patvirtinamas šalių pasirašytu užsakymo aktu. Užsakymo aktą pasirašo abi šalys</w:t>
      </w:r>
      <w:r w:rsidR="00EA2B1B" w:rsidRPr="00CC4CE5">
        <w:rPr>
          <w:rFonts w:ascii="Trebuchet MS" w:hAnsi="Trebuchet MS"/>
          <w:bCs/>
          <w:sz w:val="22"/>
          <w:szCs w:val="22"/>
          <w:lang w:val="lt-LT"/>
        </w:rPr>
        <w:t xml:space="preserve"> –</w:t>
      </w:r>
      <w:r w:rsidR="00DB04AD" w:rsidRPr="00CC4CE5">
        <w:rPr>
          <w:rFonts w:ascii="Trebuchet MS" w:hAnsi="Trebuchet MS"/>
          <w:bCs/>
          <w:sz w:val="22"/>
          <w:szCs w:val="22"/>
          <w:lang w:val="lt-LT"/>
        </w:rPr>
        <w:t xml:space="preserve"> kiekviena</w:t>
      </w:r>
      <w:r w:rsidR="00EA2B1B" w:rsidRPr="00CC4CE5">
        <w:rPr>
          <w:rFonts w:ascii="Trebuchet MS" w:hAnsi="Trebuchet MS"/>
          <w:bCs/>
          <w:sz w:val="22"/>
          <w:szCs w:val="22"/>
          <w:lang w:val="lt-LT"/>
        </w:rPr>
        <w:t xml:space="preserve"> Pirkėjo organizacija ir Pardavėjas</w:t>
      </w:r>
      <w:r w:rsidRPr="00CC4CE5">
        <w:rPr>
          <w:rFonts w:ascii="Trebuchet MS" w:hAnsi="Trebuchet MS"/>
          <w:bCs/>
          <w:sz w:val="22"/>
          <w:szCs w:val="22"/>
          <w:lang w:val="lt-LT"/>
        </w:rPr>
        <w:t>.</w:t>
      </w:r>
    </w:p>
    <w:p w14:paraId="5BD18C09" w14:textId="437BB354" w:rsidR="009B4BC9" w:rsidRPr="00CC4CE5" w:rsidRDefault="00EA2B1B" w:rsidP="00DF3857">
      <w:pPr>
        <w:spacing w:after="120" w:line="276" w:lineRule="auto"/>
        <w:ind w:left="720"/>
        <w:jc w:val="both"/>
        <w:rPr>
          <w:rFonts w:ascii="Trebuchet MS" w:hAnsi="Trebuchet MS"/>
          <w:bCs/>
          <w:sz w:val="22"/>
          <w:szCs w:val="22"/>
          <w:lang w:val="lt-LT"/>
        </w:rPr>
      </w:pPr>
      <w:r w:rsidRPr="00CC4CE5">
        <w:rPr>
          <w:rFonts w:ascii="Trebuchet MS" w:hAnsi="Trebuchet MS"/>
          <w:bCs/>
          <w:sz w:val="22"/>
          <w:szCs w:val="22"/>
          <w:lang w:val="lt-LT"/>
        </w:rPr>
        <w:t>3.</w:t>
      </w:r>
      <w:r w:rsidR="001B2C14" w:rsidRPr="00CC4CE5">
        <w:rPr>
          <w:rFonts w:ascii="Trebuchet MS" w:hAnsi="Trebuchet MS"/>
          <w:bCs/>
          <w:sz w:val="22"/>
          <w:szCs w:val="22"/>
          <w:lang w:val="lt-LT"/>
        </w:rPr>
        <w:t>8</w:t>
      </w:r>
      <w:r w:rsidRPr="00CC4CE5">
        <w:rPr>
          <w:rFonts w:ascii="Trebuchet MS" w:hAnsi="Trebuchet MS"/>
          <w:bCs/>
          <w:sz w:val="22"/>
          <w:szCs w:val="22"/>
          <w:lang w:val="lt-LT"/>
        </w:rPr>
        <w:t xml:space="preserve">. </w:t>
      </w:r>
      <w:r w:rsidR="004227CD" w:rsidRPr="00CC4CE5">
        <w:rPr>
          <w:rFonts w:ascii="Trebuchet MS" w:hAnsi="Trebuchet MS"/>
          <w:bCs/>
          <w:sz w:val="22"/>
          <w:szCs w:val="22"/>
          <w:lang w:val="lt-LT"/>
        </w:rPr>
        <w:t>Turi būti užtikrintas sklandus paslaugų teikimo ir prieigų perėjimas iš</w:t>
      </w:r>
      <w:r w:rsidR="00D5053E" w:rsidRPr="00CC4CE5">
        <w:rPr>
          <w:rFonts w:ascii="Trebuchet MS" w:hAnsi="Trebuchet MS"/>
          <w:bCs/>
          <w:sz w:val="22"/>
          <w:szCs w:val="22"/>
          <w:lang w:val="lt-LT"/>
        </w:rPr>
        <w:t xml:space="preserve"> ank</w:t>
      </w:r>
      <w:r w:rsidR="00931A97" w:rsidRPr="00CC4CE5">
        <w:rPr>
          <w:rFonts w:ascii="Trebuchet MS" w:hAnsi="Trebuchet MS"/>
          <w:bCs/>
          <w:sz w:val="22"/>
          <w:szCs w:val="22"/>
          <w:lang w:val="lt-LT"/>
        </w:rPr>
        <w:t>s</w:t>
      </w:r>
      <w:r w:rsidR="00D5053E" w:rsidRPr="00CC4CE5">
        <w:rPr>
          <w:rFonts w:ascii="Trebuchet MS" w:hAnsi="Trebuchet MS"/>
          <w:bCs/>
          <w:sz w:val="22"/>
          <w:szCs w:val="22"/>
          <w:lang w:val="lt-LT"/>
        </w:rPr>
        <w:t>čiau</w:t>
      </w:r>
      <w:r w:rsidR="004227CD" w:rsidRPr="00CC4CE5">
        <w:rPr>
          <w:rFonts w:ascii="Trebuchet MS" w:hAnsi="Trebuchet MS"/>
          <w:bCs/>
          <w:sz w:val="22"/>
          <w:szCs w:val="22"/>
          <w:lang w:val="lt-LT"/>
        </w:rPr>
        <w:t xml:space="preserve"> Pirkėjo </w:t>
      </w:r>
      <w:r w:rsidR="00931A97" w:rsidRPr="00CC4CE5">
        <w:rPr>
          <w:rFonts w:ascii="Trebuchet MS" w:hAnsi="Trebuchet MS"/>
          <w:bCs/>
          <w:sz w:val="22"/>
          <w:szCs w:val="22"/>
          <w:lang w:val="lt-LT"/>
        </w:rPr>
        <w:t>įsigyt</w:t>
      </w:r>
      <w:r w:rsidR="00CA00EC" w:rsidRPr="00CC4CE5">
        <w:rPr>
          <w:rFonts w:ascii="Trebuchet MS" w:hAnsi="Trebuchet MS"/>
          <w:bCs/>
          <w:sz w:val="22"/>
          <w:szCs w:val="22"/>
          <w:lang w:val="lt-LT"/>
        </w:rPr>
        <w:t>ų paslaugų</w:t>
      </w:r>
      <w:r w:rsidR="004227CD" w:rsidRPr="00CC4CE5">
        <w:rPr>
          <w:rFonts w:ascii="Trebuchet MS" w:hAnsi="Trebuchet MS"/>
          <w:bCs/>
          <w:sz w:val="22"/>
          <w:szCs w:val="22"/>
          <w:lang w:val="lt-LT"/>
        </w:rPr>
        <w:t xml:space="preserve"> </w:t>
      </w:r>
      <w:r w:rsidR="00B70D9C" w:rsidRPr="00CC4CE5">
        <w:rPr>
          <w:rFonts w:ascii="Trebuchet MS" w:hAnsi="Trebuchet MS"/>
          <w:bCs/>
          <w:sz w:val="22"/>
          <w:szCs w:val="22"/>
          <w:lang w:val="lt-LT"/>
        </w:rPr>
        <w:t>į naują licencijų nuomos laikotarpį, neprarandant dabar Pirkėjo organizacijų turimų</w:t>
      </w:r>
      <w:r w:rsidR="009D619F" w:rsidRPr="00CC4CE5">
        <w:rPr>
          <w:rFonts w:ascii="Trebuchet MS" w:hAnsi="Trebuchet MS"/>
          <w:bCs/>
          <w:sz w:val="22"/>
          <w:szCs w:val="22"/>
          <w:lang w:val="lt-LT"/>
        </w:rPr>
        <w:t xml:space="preserve"> konfigūracijų,</w:t>
      </w:r>
      <w:r w:rsidR="00B70D9C" w:rsidRPr="00CC4CE5">
        <w:rPr>
          <w:rFonts w:ascii="Trebuchet MS" w:hAnsi="Trebuchet MS"/>
          <w:bCs/>
          <w:sz w:val="22"/>
          <w:szCs w:val="22"/>
          <w:lang w:val="lt-LT"/>
        </w:rPr>
        <w:t xml:space="preserve"> projektų, jų duomenų ir dokumentų bei </w:t>
      </w:r>
      <w:r w:rsidR="001E2854" w:rsidRPr="00CC4CE5">
        <w:rPr>
          <w:rFonts w:ascii="Trebuchet MS" w:hAnsi="Trebuchet MS"/>
          <w:bCs/>
          <w:sz w:val="22"/>
          <w:szCs w:val="22"/>
          <w:lang w:val="lt-LT"/>
        </w:rPr>
        <w:t>vartotojų</w:t>
      </w:r>
      <w:r w:rsidR="0026420C" w:rsidRPr="00CC4CE5">
        <w:rPr>
          <w:rFonts w:ascii="Trebuchet MS" w:hAnsi="Trebuchet MS"/>
          <w:bCs/>
          <w:sz w:val="22"/>
          <w:szCs w:val="22"/>
          <w:lang w:val="lt-LT"/>
        </w:rPr>
        <w:t xml:space="preserve"> prieigų.</w:t>
      </w:r>
    </w:p>
    <w:p w14:paraId="09FD5641" w14:textId="3954F12A" w:rsidR="0091727D" w:rsidRPr="00CC4CE5" w:rsidRDefault="00FC7E16" w:rsidP="00981648">
      <w:pPr>
        <w:spacing w:after="120" w:line="276" w:lineRule="auto"/>
        <w:ind w:left="720"/>
        <w:jc w:val="both"/>
        <w:rPr>
          <w:rFonts w:ascii="Trebuchet MS" w:hAnsi="Trebuchet MS"/>
          <w:bCs/>
          <w:sz w:val="22"/>
          <w:szCs w:val="22"/>
          <w:lang w:val="lt-LT"/>
        </w:rPr>
      </w:pPr>
      <w:r w:rsidRPr="00CC4CE5">
        <w:rPr>
          <w:rFonts w:ascii="Trebuchet MS" w:hAnsi="Trebuchet MS"/>
          <w:bCs/>
          <w:sz w:val="22"/>
          <w:szCs w:val="22"/>
          <w:lang w:val="lt-LT"/>
        </w:rPr>
        <w:t>3.</w:t>
      </w:r>
      <w:r w:rsidR="001B2C14" w:rsidRPr="00CC4CE5">
        <w:rPr>
          <w:rFonts w:ascii="Trebuchet MS" w:hAnsi="Trebuchet MS"/>
          <w:bCs/>
          <w:sz w:val="22"/>
          <w:szCs w:val="22"/>
          <w:lang w:val="lt-LT"/>
        </w:rPr>
        <w:t>9</w:t>
      </w:r>
      <w:r w:rsidRPr="00CC4CE5">
        <w:rPr>
          <w:rFonts w:ascii="Trebuchet MS" w:hAnsi="Trebuchet MS"/>
          <w:bCs/>
          <w:sz w:val="22"/>
          <w:szCs w:val="22"/>
          <w:lang w:val="lt-LT"/>
        </w:rPr>
        <w:t xml:space="preserve">. </w:t>
      </w:r>
      <w:r w:rsidR="00DF3857" w:rsidRPr="00CC4CE5">
        <w:rPr>
          <w:rFonts w:ascii="Trebuchet MS" w:hAnsi="Trebuchet MS"/>
          <w:bCs/>
          <w:sz w:val="22"/>
          <w:szCs w:val="22"/>
          <w:lang w:val="lt-LT"/>
        </w:rPr>
        <w:t>Perkama licencijų nuoma</w:t>
      </w:r>
      <w:r w:rsidR="00F12494" w:rsidRPr="00CC4CE5">
        <w:rPr>
          <w:rFonts w:ascii="Trebuchet MS" w:hAnsi="Trebuchet MS"/>
          <w:bCs/>
          <w:sz w:val="22"/>
          <w:szCs w:val="22"/>
          <w:lang w:val="lt-LT"/>
        </w:rPr>
        <w:t xml:space="preserve"> tik iš oficialiai</w:t>
      </w:r>
      <w:r w:rsidR="0034590C" w:rsidRPr="00CC4CE5">
        <w:rPr>
          <w:rFonts w:ascii="Trebuchet MS" w:hAnsi="Trebuchet MS"/>
          <w:bCs/>
          <w:sz w:val="22"/>
          <w:szCs w:val="22"/>
          <w:lang w:val="lt-LT"/>
        </w:rPr>
        <w:t xml:space="preserve"> programinės</w:t>
      </w:r>
      <w:r w:rsidR="00F12494" w:rsidRPr="00CC4CE5">
        <w:rPr>
          <w:rFonts w:ascii="Trebuchet MS" w:hAnsi="Trebuchet MS"/>
          <w:bCs/>
          <w:sz w:val="22"/>
          <w:szCs w:val="22"/>
          <w:lang w:val="lt-LT"/>
        </w:rPr>
        <w:t xml:space="preserve"> įrangos gamintojo įgalioto</w:t>
      </w:r>
      <w:r w:rsidR="001E391C" w:rsidRPr="00CC4CE5">
        <w:rPr>
          <w:rFonts w:ascii="Trebuchet MS" w:hAnsi="Trebuchet MS"/>
          <w:bCs/>
          <w:sz w:val="22"/>
          <w:szCs w:val="22"/>
          <w:lang w:val="lt-LT"/>
        </w:rPr>
        <w:t xml:space="preserve"> (sertifikuoto)</w:t>
      </w:r>
      <w:r w:rsidR="00F12494" w:rsidRPr="00CC4CE5">
        <w:rPr>
          <w:rFonts w:ascii="Trebuchet MS" w:hAnsi="Trebuchet MS"/>
          <w:bCs/>
          <w:sz w:val="22"/>
          <w:szCs w:val="22"/>
          <w:lang w:val="lt-LT"/>
        </w:rPr>
        <w:t xml:space="preserve"> atstovo</w:t>
      </w:r>
      <w:r w:rsidR="001E391C" w:rsidRPr="00CC4CE5">
        <w:rPr>
          <w:rFonts w:ascii="Trebuchet MS" w:hAnsi="Trebuchet MS"/>
          <w:bCs/>
          <w:sz w:val="22"/>
          <w:szCs w:val="22"/>
          <w:lang w:val="lt-LT"/>
        </w:rPr>
        <w:t xml:space="preserve">, galinčio platinti </w:t>
      </w:r>
      <w:r w:rsidR="00F50355" w:rsidRPr="00CC4CE5">
        <w:rPr>
          <w:rFonts w:ascii="Trebuchet MS" w:hAnsi="Trebuchet MS"/>
          <w:bCs/>
          <w:sz w:val="22"/>
          <w:szCs w:val="22"/>
          <w:lang w:val="lt-LT"/>
        </w:rPr>
        <w:t>CDE</w:t>
      </w:r>
      <w:r w:rsidR="001E391C" w:rsidRPr="00CC4CE5">
        <w:rPr>
          <w:rFonts w:ascii="Trebuchet MS" w:hAnsi="Trebuchet MS"/>
          <w:bCs/>
          <w:sz w:val="22"/>
          <w:szCs w:val="22"/>
          <w:lang w:val="lt-LT"/>
        </w:rPr>
        <w:t xml:space="preserve"> licencijas Lietuvos</w:t>
      </w:r>
      <w:r w:rsidR="0034590C" w:rsidRPr="00CC4CE5">
        <w:rPr>
          <w:rFonts w:ascii="Trebuchet MS" w:hAnsi="Trebuchet MS"/>
          <w:bCs/>
          <w:sz w:val="22"/>
          <w:szCs w:val="22"/>
          <w:lang w:val="lt-LT"/>
        </w:rPr>
        <w:t xml:space="preserve"> Respublikos</w:t>
      </w:r>
      <w:r w:rsidR="001E391C" w:rsidRPr="00CC4CE5">
        <w:rPr>
          <w:rFonts w:ascii="Trebuchet MS" w:hAnsi="Trebuchet MS"/>
          <w:bCs/>
          <w:sz w:val="22"/>
          <w:szCs w:val="22"/>
          <w:lang w:val="lt-LT"/>
        </w:rPr>
        <w:t xml:space="preserve"> teritorijoje.</w:t>
      </w:r>
      <w:r w:rsidR="00C845AA" w:rsidRPr="00CC4CE5">
        <w:rPr>
          <w:rFonts w:ascii="Trebuchet MS" w:hAnsi="Trebuchet MS"/>
          <w:bCs/>
          <w:sz w:val="22"/>
          <w:szCs w:val="22"/>
          <w:lang w:val="lt-LT"/>
        </w:rPr>
        <w:t xml:space="preserve"> </w:t>
      </w:r>
      <w:r w:rsidR="00C845AA" w:rsidRPr="00CC4CE5">
        <w:rPr>
          <w:rFonts w:ascii="Trebuchet MS" w:hAnsi="Trebuchet MS"/>
          <w:bCs/>
          <w:sz w:val="22"/>
          <w:szCs w:val="22"/>
          <w:lang w:val="lt-LT"/>
        </w:rPr>
        <w:lastRenderedPageBreak/>
        <w:t xml:space="preserve">Kartu su pasiūlymu turi būti pateiktas šį reikalavimą pagrindžiantis programinės įrangos gamintojo </w:t>
      </w:r>
      <w:r w:rsidR="0034590C" w:rsidRPr="00CC4CE5">
        <w:rPr>
          <w:rFonts w:ascii="Trebuchet MS" w:hAnsi="Trebuchet MS"/>
          <w:bCs/>
          <w:sz w:val="22"/>
          <w:szCs w:val="22"/>
          <w:lang w:val="lt-LT"/>
        </w:rPr>
        <w:t>dokumentas.</w:t>
      </w:r>
    </w:p>
    <w:p w14:paraId="33283A59" w14:textId="77777777" w:rsidR="00B50AB7" w:rsidRPr="00CC4CE5" w:rsidRDefault="00CD184F" w:rsidP="00B50AB7">
      <w:pPr>
        <w:pStyle w:val="ListParagraph"/>
        <w:numPr>
          <w:ilvl w:val="0"/>
          <w:numId w:val="26"/>
        </w:numPr>
        <w:spacing w:after="120" w:line="276" w:lineRule="auto"/>
        <w:jc w:val="both"/>
        <w:rPr>
          <w:rFonts w:ascii="Trebuchet MS" w:hAnsi="Trebuchet MS"/>
          <w:b/>
          <w:sz w:val="22"/>
          <w:szCs w:val="22"/>
          <w:lang w:val="lt-LT"/>
        </w:rPr>
      </w:pPr>
      <w:r w:rsidRPr="00CC4CE5">
        <w:rPr>
          <w:rFonts w:ascii="Trebuchet MS" w:hAnsi="Trebuchet MS" w:cs="Arial"/>
          <w:b/>
          <w:sz w:val="22"/>
          <w:szCs w:val="22"/>
          <w:lang w:val="lt-LT"/>
        </w:rPr>
        <w:t>R</w:t>
      </w:r>
      <w:r w:rsidR="00AE29D5" w:rsidRPr="00CC4CE5">
        <w:rPr>
          <w:rFonts w:ascii="Trebuchet MS" w:hAnsi="Trebuchet MS" w:cs="Arial"/>
          <w:b/>
          <w:sz w:val="22"/>
          <w:szCs w:val="22"/>
          <w:lang w:val="lt-LT"/>
        </w:rPr>
        <w:t>eikalavimai</w:t>
      </w:r>
      <w:r w:rsidR="004E286A" w:rsidRPr="00CC4CE5">
        <w:rPr>
          <w:rFonts w:ascii="Trebuchet MS" w:hAnsi="Trebuchet MS" w:cs="Arial"/>
          <w:b/>
          <w:sz w:val="22"/>
          <w:szCs w:val="22"/>
          <w:lang w:val="lt-LT"/>
        </w:rPr>
        <w:t xml:space="preserve"> konsultavimo ir</w:t>
      </w:r>
      <w:r w:rsidR="00AE29D5" w:rsidRPr="00CC4CE5">
        <w:rPr>
          <w:rFonts w:ascii="Trebuchet MS" w:hAnsi="Trebuchet MS" w:cs="Arial"/>
          <w:b/>
          <w:sz w:val="22"/>
          <w:szCs w:val="22"/>
          <w:lang w:val="lt-LT"/>
        </w:rPr>
        <w:t xml:space="preserve"> </w:t>
      </w:r>
      <w:r w:rsidR="004E286A" w:rsidRPr="00CC4CE5">
        <w:rPr>
          <w:rFonts w:ascii="Trebuchet MS" w:hAnsi="Trebuchet MS" w:cs="Arial"/>
          <w:b/>
          <w:sz w:val="22"/>
          <w:szCs w:val="22"/>
          <w:lang w:val="lt-LT"/>
        </w:rPr>
        <w:t>a</w:t>
      </w:r>
      <w:r w:rsidR="007E3C10" w:rsidRPr="00CC4CE5">
        <w:rPr>
          <w:rFonts w:ascii="Trebuchet MS" w:hAnsi="Trebuchet MS" w:cs="Arial"/>
          <w:b/>
          <w:sz w:val="22"/>
          <w:szCs w:val="22"/>
          <w:lang w:val="lt-LT"/>
        </w:rPr>
        <w:t>ptarnavimo paslaugoms</w:t>
      </w:r>
      <w:r w:rsidR="00B27081" w:rsidRPr="00CC4CE5">
        <w:rPr>
          <w:rFonts w:ascii="Trebuchet MS" w:hAnsi="Trebuchet MS" w:cs="Arial"/>
          <w:b/>
          <w:sz w:val="22"/>
          <w:szCs w:val="22"/>
          <w:lang w:val="lt-LT"/>
        </w:rPr>
        <w:t>:</w:t>
      </w:r>
      <w:r w:rsidR="00D21745" w:rsidRPr="00CC4CE5">
        <w:rPr>
          <w:rFonts w:ascii="Trebuchet MS" w:hAnsi="Trebuchet MS" w:cs="Arial"/>
          <w:sz w:val="22"/>
          <w:szCs w:val="22"/>
          <w:lang w:val="lt-LT"/>
        </w:rPr>
        <w:t xml:space="preserve"> </w:t>
      </w:r>
    </w:p>
    <w:p w14:paraId="40713392" w14:textId="4EB1F048" w:rsidR="007B24CC" w:rsidRPr="00CC4CE5" w:rsidRDefault="00CD1CF7" w:rsidP="00B50AB7">
      <w:pPr>
        <w:pStyle w:val="ListParagraph"/>
        <w:numPr>
          <w:ilvl w:val="1"/>
          <w:numId w:val="36"/>
        </w:numPr>
        <w:spacing w:after="120" w:line="276" w:lineRule="auto"/>
        <w:jc w:val="both"/>
        <w:rPr>
          <w:rFonts w:ascii="Trebuchet MS" w:hAnsi="Trebuchet MS"/>
          <w:b/>
          <w:sz w:val="22"/>
          <w:szCs w:val="22"/>
          <w:lang w:val="lt-LT"/>
        </w:rPr>
      </w:pPr>
      <w:r w:rsidRPr="00CC4CE5">
        <w:rPr>
          <w:rFonts w:ascii="Trebuchet MS" w:hAnsi="Trebuchet MS" w:cs="Arial"/>
          <w:sz w:val="22"/>
          <w:szCs w:val="22"/>
          <w:lang w:val="lt-LT"/>
        </w:rPr>
        <w:t>CDE</w:t>
      </w:r>
      <w:r w:rsidR="00746033" w:rsidRPr="00CC4CE5">
        <w:rPr>
          <w:rFonts w:ascii="Trebuchet MS" w:hAnsi="Trebuchet MS" w:cs="Arial"/>
          <w:sz w:val="22"/>
          <w:szCs w:val="22"/>
          <w:lang w:val="lt-LT"/>
        </w:rPr>
        <w:t xml:space="preserve"> veikimo sutrikimai</w:t>
      </w:r>
      <w:r w:rsidR="00E272F2" w:rsidRPr="00CC4CE5">
        <w:rPr>
          <w:rFonts w:ascii="Trebuchet MS" w:hAnsi="Trebuchet MS" w:cs="Arial"/>
          <w:sz w:val="22"/>
          <w:szCs w:val="22"/>
          <w:lang w:val="lt-LT"/>
        </w:rPr>
        <w:t xml:space="preserve"> (toliau – incidentai)</w:t>
      </w:r>
      <w:r w:rsidR="003A1A2F" w:rsidRPr="00CC4CE5">
        <w:rPr>
          <w:rFonts w:ascii="Trebuchet MS" w:hAnsi="Trebuchet MS" w:cs="Arial"/>
          <w:sz w:val="22"/>
          <w:szCs w:val="22"/>
          <w:lang w:val="lt-LT"/>
        </w:rPr>
        <w:t xml:space="preserve"> fiksuojami Pardavėjo nurodytu būdu</w:t>
      </w:r>
      <w:r w:rsidR="007B24CC" w:rsidRPr="00CC4CE5">
        <w:rPr>
          <w:rFonts w:ascii="Trebuchet MS" w:hAnsi="Trebuchet MS" w:cs="Arial"/>
          <w:sz w:val="22"/>
          <w:szCs w:val="22"/>
          <w:lang w:val="lt-LT"/>
        </w:rPr>
        <w:t xml:space="preserve"> </w:t>
      </w:r>
      <w:r w:rsidR="00C00B81" w:rsidRPr="00CC4CE5">
        <w:rPr>
          <w:rFonts w:ascii="Trebuchet MS" w:hAnsi="Trebuchet MS" w:cs="Arial"/>
          <w:sz w:val="22"/>
          <w:szCs w:val="22"/>
          <w:lang w:val="lt-LT"/>
        </w:rPr>
        <w:t>programinės įrangos</w:t>
      </w:r>
      <w:r w:rsidR="006B17D7" w:rsidRPr="00CC4CE5">
        <w:rPr>
          <w:rFonts w:ascii="Trebuchet MS" w:hAnsi="Trebuchet MS" w:cs="Arial"/>
          <w:sz w:val="22"/>
          <w:szCs w:val="22"/>
          <w:lang w:val="lt-LT"/>
        </w:rPr>
        <w:t xml:space="preserve"> gamintojo</w:t>
      </w:r>
      <w:r w:rsidR="00AC7F03" w:rsidRPr="00CC4CE5">
        <w:rPr>
          <w:rFonts w:ascii="Trebuchet MS" w:hAnsi="Trebuchet MS" w:cs="Arial"/>
          <w:sz w:val="22"/>
          <w:szCs w:val="22"/>
          <w:lang w:val="lt-LT"/>
        </w:rPr>
        <w:t xml:space="preserve"> kreipinių registravimo sistemoje. Pagal kreipinių šioje sistemoje registravimo laiką, skaičiuojam</w:t>
      </w:r>
      <w:r w:rsidR="006D582F" w:rsidRPr="00CC4CE5">
        <w:rPr>
          <w:rFonts w:ascii="Trebuchet MS" w:hAnsi="Trebuchet MS" w:cs="Arial"/>
          <w:sz w:val="22"/>
          <w:szCs w:val="22"/>
          <w:lang w:val="lt-LT"/>
        </w:rPr>
        <w:t>i</w:t>
      </w:r>
      <w:r w:rsidR="00C00B81" w:rsidRPr="00CC4CE5">
        <w:rPr>
          <w:rFonts w:ascii="Trebuchet MS" w:hAnsi="Trebuchet MS" w:cs="Arial"/>
          <w:sz w:val="22"/>
          <w:szCs w:val="22"/>
          <w:lang w:val="lt-LT"/>
        </w:rPr>
        <w:t xml:space="preserve"> ir </w:t>
      </w:r>
      <w:r w:rsidR="00E272F2" w:rsidRPr="00CC4CE5">
        <w:rPr>
          <w:rFonts w:ascii="Trebuchet MS" w:hAnsi="Trebuchet MS" w:cs="Arial"/>
          <w:sz w:val="22"/>
          <w:szCs w:val="22"/>
          <w:lang w:val="lt-LT"/>
        </w:rPr>
        <w:t>incidentų šalinimo rodikliai.</w:t>
      </w:r>
    </w:p>
    <w:p w14:paraId="4D90FFDE" w14:textId="77777777" w:rsidR="00E272F2" w:rsidRPr="00CC4CE5" w:rsidRDefault="00E272F2" w:rsidP="00E272F2">
      <w:pPr>
        <w:pStyle w:val="ListParagraph"/>
        <w:numPr>
          <w:ilvl w:val="2"/>
          <w:numId w:val="36"/>
        </w:numPr>
        <w:spacing w:after="120" w:line="276" w:lineRule="auto"/>
        <w:jc w:val="both"/>
        <w:rPr>
          <w:rFonts w:ascii="Trebuchet MS" w:hAnsi="Trebuchet MS"/>
          <w:b/>
          <w:sz w:val="22"/>
          <w:szCs w:val="22"/>
          <w:lang w:val="lt-LT"/>
        </w:rPr>
      </w:pPr>
    </w:p>
    <w:tbl>
      <w:tblPr>
        <w:tblW w:w="8256" w:type="dxa"/>
        <w:tblInd w:w="1124" w:type="dxa"/>
        <w:tblCellMar>
          <w:left w:w="0" w:type="dxa"/>
          <w:right w:w="0" w:type="dxa"/>
        </w:tblCellMar>
        <w:tblLook w:val="04A0" w:firstRow="1" w:lastRow="0" w:firstColumn="1" w:lastColumn="0" w:noHBand="0" w:noVBand="1"/>
      </w:tblPr>
      <w:tblGrid>
        <w:gridCol w:w="6804"/>
        <w:gridCol w:w="1452"/>
      </w:tblGrid>
      <w:tr w:rsidR="00E272F2" w:rsidRPr="00CC4CE5" w14:paraId="47B96113" w14:textId="77777777" w:rsidTr="005E2BFB">
        <w:trPr>
          <w:trHeight w:val="267"/>
          <w:tblHeader/>
        </w:trPr>
        <w:tc>
          <w:tcPr>
            <w:tcW w:w="680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2AE72C6" w14:textId="77777777" w:rsidR="00E272F2" w:rsidRPr="00CC4CE5" w:rsidRDefault="00E272F2" w:rsidP="002C0CD9">
            <w:pPr>
              <w:spacing w:line="276" w:lineRule="auto"/>
              <w:rPr>
                <w:rFonts w:ascii="Trebuchet MS" w:hAnsi="Trebuchet MS" w:cs="Arial"/>
                <w:b/>
                <w:sz w:val="22"/>
                <w:szCs w:val="22"/>
                <w:lang w:val="lt-LT"/>
              </w:rPr>
            </w:pPr>
            <w:r w:rsidRPr="00CC4CE5">
              <w:rPr>
                <w:rFonts w:ascii="Trebuchet MS" w:hAnsi="Trebuchet MS" w:cs="Arial"/>
                <w:b/>
                <w:sz w:val="22"/>
                <w:szCs w:val="22"/>
                <w:lang w:val="lt-LT"/>
              </w:rPr>
              <w:t>Incidento masto nustatymo kriterijai</w:t>
            </w:r>
          </w:p>
        </w:tc>
        <w:tc>
          <w:tcPr>
            <w:tcW w:w="1452"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4975D000" w14:textId="77777777" w:rsidR="00E272F2" w:rsidRPr="00CC4CE5" w:rsidRDefault="00E272F2" w:rsidP="005E2BFB">
            <w:pPr>
              <w:keepNext/>
              <w:spacing w:line="276" w:lineRule="auto"/>
              <w:ind w:right="504"/>
              <w:jc w:val="center"/>
              <w:rPr>
                <w:rFonts w:ascii="Trebuchet MS" w:hAnsi="Trebuchet MS" w:cs="Arial"/>
                <w:b/>
                <w:sz w:val="22"/>
                <w:szCs w:val="22"/>
                <w:lang w:val="lt-LT"/>
              </w:rPr>
            </w:pPr>
            <w:r w:rsidRPr="00CC4CE5">
              <w:rPr>
                <w:rFonts w:ascii="Trebuchet MS" w:hAnsi="Trebuchet MS" w:cs="Arial"/>
                <w:b/>
                <w:sz w:val="22"/>
                <w:szCs w:val="22"/>
                <w:lang w:val="lt-LT"/>
              </w:rPr>
              <w:t>Mastas</w:t>
            </w:r>
          </w:p>
        </w:tc>
      </w:tr>
      <w:tr w:rsidR="00E272F2" w:rsidRPr="00CC4CE5" w14:paraId="2D3DB64B" w14:textId="77777777" w:rsidTr="005E2BFB">
        <w:trPr>
          <w:trHeight w:val="771"/>
        </w:trPr>
        <w:tc>
          <w:tcPr>
            <w:tcW w:w="680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DCDDDE9" w14:textId="089D7918" w:rsidR="00E272F2" w:rsidRPr="00CC4CE5" w:rsidRDefault="00CD1CF7" w:rsidP="005E2BFB">
            <w:pPr>
              <w:pStyle w:val="ListParagraph"/>
              <w:numPr>
                <w:ilvl w:val="0"/>
                <w:numId w:val="24"/>
              </w:numPr>
              <w:spacing w:after="200" w:line="276" w:lineRule="auto"/>
              <w:rPr>
                <w:rFonts w:ascii="Trebuchet MS" w:hAnsi="Trebuchet MS" w:cs="Arial"/>
                <w:sz w:val="22"/>
                <w:szCs w:val="22"/>
                <w:lang w:val="lt-LT"/>
              </w:rPr>
            </w:pPr>
            <w:r w:rsidRPr="00CC4CE5">
              <w:rPr>
                <w:rFonts w:ascii="Trebuchet MS" w:hAnsi="Trebuchet MS" w:cs="Arial"/>
                <w:sz w:val="22"/>
                <w:szCs w:val="22"/>
                <w:lang w:val="lt-LT"/>
              </w:rPr>
              <w:t>CDE</w:t>
            </w:r>
            <w:r w:rsidR="00E272F2" w:rsidRPr="00CC4CE5">
              <w:rPr>
                <w:rFonts w:ascii="Trebuchet MS" w:hAnsi="Trebuchet MS" w:cs="Arial"/>
                <w:sz w:val="22"/>
                <w:szCs w:val="22"/>
                <w:lang w:val="lt-LT"/>
              </w:rPr>
              <w:t xml:space="preserve"> visiškas neveikimas</w:t>
            </w:r>
            <w:r w:rsidR="00AC3161" w:rsidRPr="00CC4CE5">
              <w:rPr>
                <w:rFonts w:ascii="Trebuchet MS" w:hAnsi="Trebuchet MS" w:cs="Arial"/>
                <w:sz w:val="22"/>
                <w:szCs w:val="22"/>
                <w:lang w:val="lt-LT"/>
              </w:rPr>
              <w:t>.</w:t>
            </w:r>
          </w:p>
          <w:p w14:paraId="3652510B" w14:textId="4215255F" w:rsidR="00D44C18" w:rsidRPr="00CC4CE5" w:rsidRDefault="00D44C18" w:rsidP="005E2BFB">
            <w:pPr>
              <w:pStyle w:val="ListParagraph"/>
              <w:numPr>
                <w:ilvl w:val="0"/>
                <w:numId w:val="24"/>
              </w:numPr>
              <w:spacing w:after="200" w:line="276" w:lineRule="auto"/>
              <w:rPr>
                <w:rFonts w:ascii="Trebuchet MS" w:hAnsi="Trebuchet MS" w:cs="Arial"/>
                <w:sz w:val="22"/>
                <w:szCs w:val="22"/>
                <w:lang w:val="lt-LT"/>
              </w:rPr>
            </w:pPr>
            <w:r w:rsidRPr="00CC4CE5">
              <w:rPr>
                <w:rFonts w:ascii="Trebuchet MS" w:hAnsi="Trebuchet MS" w:cs="Arial"/>
                <w:sz w:val="22"/>
                <w:szCs w:val="22"/>
                <w:lang w:val="lt-LT"/>
              </w:rPr>
              <w:t xml:space="preserve">Negalėjimas prisijungti prie </w:t>
            </w:r>
            <w:r w:rsidR="00CD1CF7" w:rsidRPr="00CC4CE5">
              <w:rPr>
                <w:rFonts w:ascii="Trebuchet MS" w:hAnsi="Trebuchet MS" w:cs="Arial"/>
                <w:sz w:val="22"/>
                <w:szCs w:val="22"/>
                <w:lang w:val="lt-LT"/>
              </w:rPr>
              <w:t>CDE</w:t>
            </w:r>
            <w:r w:rsidR="00F84327" w:rsidRPr="00CC4CE5">
              <w:rPr>
                <w:rFonts w:ascii="Trebuchet MS" w:hAnsi="Trebuchet MS" w:cs="Arial"/>
                <w:sz w:val="22"/>
                <w:szCs w:val="22"/>
                <w:lang w:val="lt-LT"/>
              </w:rPr>
              <w:t xml:space="preserve"> paskyros</w:t>
            </w:r>
            <w:r w:rsidR="003F1561" w:rsidRPr="00CC4CE5">
              <w:rPr>
                <w:rFonts w:ascii="Trebuchet MS" w:hAnsi="Trebuchet MS" w:cs="Arial"/>
                <w:sz w:val="22"/>
                <w:szCs w:val="22"/>
                <w:lang w:val="lt-LT"/>
              </w:rPr>
              <w:t xml:space="preserve"> daugiau nei 10 </w:t>
            </w:r>
            <w:r w:rsidR="006515A8" w:rsidRPr="00CC4CE5">
              <w:rPr>
                <w:rFonts w:ascii="Trebuchet MS" w:hAnsi="Trebuchet MS" w:cs="Arial"/>
                <w:sz w:val="22"/>
                <w:szCs w:val="22"/>
                <w:lang w:val="lt-LT"/>
              </w:rPr>
              <w:t xml:space="preserve">Pirkėjo ar jo projektų vykdymo partnerių </w:t>
            </w:r>
            <w:r w:rsidR="00F75DA2" w:rsidRPr="00CC4CE5">
              <w:rPr>
                <w:rFonts w:ascii="Trebuchet MS" w:hAnsi="Trebuchet MS" w:cs="Arial"/>
                <w:sz w:val="22"/>
                <w:szCs w:val="22"/>
                <w:lang w:val="lt-LT"/>
              </w:rPr>
              <w:t>vartotojų</w:t>
            </w:r>
            <w:r w:rsidR="00AC3161" w:rsidRPr="00CC4CE5">
              <w:rPr>
                <w:rFonts w:ascii="Trebuchet MS" w:hAnsi="Trebuchet MS" w:cs="Arial"/>
                <w:sz w:val="22"/>
                <w:szCs w:val="22"/>
                <w:lang w:val="lt-LT"/>
              </w:rPr>
              <w:t>.</w:t>
            </w:r>
          </w:p>
          <w:p w14:paraId="4DC6FC79" w14:textId="05D64D43" w:rsidR="00E272F2" w:rsidRPr="00CC4CE5" w:rsidRDefault="00E272F2" w:rsidP="005E2BFB">
            <w:pPr>
              <w:pStyle w:val="ListParagraph"/>
              <w:numPr>
                <w:ilvl w:val="0"/>
                <w:numId w:val="24"/>
              </w:numPr>
              <w:spacing w:after="200" w:line="276" w:lineRule="auto"/>
              <w:rPr>
                <w:rFonts w:ascii="Trebuchet MS" w:hAnsi="Trebuchet MS" w:cs="Arial"/>
                <w:sz w:val="22"/>
                <w:szCs w:val="22"/>
                <w:lang w:val="lt-LT"/>
              </w:rPr>
            </w:pPr>
            <w:r w:rsidRPr="00CC4CE5">
              <w:rPr>
                <w:rFonts w:ascii="Trebuchet MS" w:hAnsi="Trebuchet MS" w:cs="Arial"/>
                <w:sz w:val="22"/>
                <w:szCs w:val="22"/>
                <w:lang w:val="lt-LT"/>
              </w:rPr>
              <w:t>Kritinių</w:t>
            </w:r>
            <w:r w:rsidR="006D582F" w:rsidRPr="00CC4CE5">
              <w:rPr>
                <w:rFonts w:ascii="Trebuchet MS" w:hAnsi="Trebuchet MS" w:cs="Arial"/>
                <w:sz w:val="22"/>
                <w:szCs w:val="22"/>
                <w:lang w:val="lt-LT"/>
              </w:rPr>
              <w:t xml:space="preserve"> </w:t>
            </w:r>
            <w:r w:rsidR="00CD1CF7" w:rsidRPr="00CC4CE5">
              <w:rPr>
                <w:rFonts w:ascii="Trebuchet MS" w:hAnsi="Trebuchet MS" w:cs="Arial"/>
                <w:sz w:val="22"/>
                <w:szCs w:val="22"/>
                <w:lang w:val="lt-LT"/>
              </w:rPr>
              <w:t>CDE</w:t>
            </w:r>
            <w:r w:rsidRPr="00CC4CE5">
              <w:rPr>
                <w:rFonts w:ascii="Trebuchet MS" w:hAnsi="Trebuchet MS" w:cs="Arial"/>
                <w:sz w:val="22"/>
                <w:szCs w:val="22"/>
                <w:lang w:val="lt-LT"/>
              </w:rPr>
              <w:t xml:space="preserve"> funkcinių komponentų (modulių) visiškas neveikimas. Tokių kaip:</w:t>
            </w:r>
          </w:p>
          <w:p w14:paraId="5499ED6E" w14:textId="32A9A386" w:rsidR="00BC0360" w:rsidRPr="00CC4CE5" w:rsidRDefault="00BC0360" w:rsidP="00BC0360">
            <w:pPr>
              <w:pStyle w:val="ListParagraph"/>
              <w:numPr>
                <w:ilvl w:val="1"/>
                <w:numId w:val="24"/>
              </w:numPr>
              <w:spacing w:after="200" w:line="276" w:lineRule="auto"/>
              <w:rPr>
                <w:rFonts w:ascii="Trebuchet MS" w:hAnsi="Trebuchet MS" w:cs="Arial"/>
                <w:sz w:val="22"/>
                <w:szCs w:val="22"/>
                <w:lang w:val="lt-LT"/>
              </w:rPr>
            </w:pPr>
            <w:r w:rsidRPr="00CC4CE5">
              <w:rPr>
                <w:rFonts w:ascii="Trebuchet MS" w:hAnsi="Trebuchet MS" w:cs="Arial"/>
                <w:sz w:val="22"/>
                <w:szCs w:val="22"/>
                <w:lang w:val="lt-LT"/>
              </w:rPr>
              <w:t xml:space="preserve">dokumentų valdymas; </w:t>
            </w:r>
          </w:p>
          <w:p w14:paraId="303667C2" w14:textId="30F3266B" w:rsidR="00BC0360" w:rsidRPr="00CC4CE5" w:rsidRDefault="00BC0360" w:rsidP="00BC0360">
            <w:pPr>
              <w:pStyle w:val="ListParagraph"/>
              <w:numPr>
                <w:ilvl w:val="1"/>
                <w:numId w:val="24"/>
              </w:numPr>
              <w:spacing w:after="200" w:line="276" w:lineRule="auto"/>
              <w:rPr>
                <w:rFonts w:ascii="Trebuchet MS" w:hAnsi="Trebuchet MS" w:cs="Arial"/>
                <w:sz w:val="22"/>
                <w:szCs w:val="22"/>
                <w:lang w:val="lt-LT"/>
              </w:rPr>
            </w:pPr>
            <w:r w:rsidRPr="00CC4CE5">
              <w:rPr>
                <w:rFonts w:ascii="Trebuchet MS" w:hAnsi="Trebuchet MS" w:cs="Arial"/>
                <w:sz w:val="22"/>
                <w:szCs w:val="22"/>
                <w:lang w:val="lt-LT"/>
              </w:rPr>
              <w:t xml:space="preserve">statybos procesų valdymas; </w:t>
            </w:r>
          </w:p>
          <w:p w14:paraId="5E2240FE" w14:textId="7B15AF6F" w:rsidR="00E272F2" w:rsidRPr="00CC4CE5" w:rsidRDefault="00BC0360" w:rsidP="00BC0360">
            <w:pPr>
              <w:pStyle w:val="ListParagraph"/>
              <w:numPr>
                <w:ilvl w:val="1"/>
                <w:numId w:val="24"/>
              </w:numPr>
              <w:spacing w:after="200" w:line="276" w:lineRule="auto"/>
              <w:rPr>
                <w:rFonts w:ascii="Trebuchet MS" w:hAnsi="Trebuchet MS" w:cs="Arial"/>
                <w:sz w:val="22"/>
                <w:szCs w:val="22"/>
                <w:lang w:val="lt-LT"/>
              </w:rPr>
            </w:pPr>
            <w:r w:rsidRPr="00CC4CE5">
              <w:rPr>
                <w:rFonts w:ascii="Trebuchet MS" w:hAnsi="Trebuchet MS" w:cs="Arial"/>
                <w:sz w:val="22"/>
                <w:szCs w:val="22"/>
                <w:lang w:val="lt-LT"/>
              </w:rPr>
              <w:t>erdvinės projekto informacijos valdymas.</w:t>
            </w:r>
          </w:p>
        </w:tc>
        <w:tc>
          <w:tcPr>
            <w:tcW w:w="145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3243C2B" w14:textId="77777777" w:rsidR="00E272F2" w:rsidRPr="00CC4CE5" w:rsidRDefault="00E272F2" w:rsidP="005E2BFB">
            <w:pPr>
              <w:keepNext/>
              <w:spacing w:line="276" w:lineRule="auto"/>
              <w:ind w:left="357" w:hanging="357"/>
              <w:jc w:val="center"/>
              <w:rPr>
                <w:rFonts w:ascii="Trebuchet MS" w:hAnsi="Trebuchet MS" w:cs="Arial"/>
                <w:sz w:val="22"/>
                <w:szCs w:val="22"/>
                <w:lang w:val="lt-LT"/>
              </w:rPr>
            </w:pPr>
            <w:r w:rsidRPr="00CC4CE5">
              <w:rPr>
                <w:rFonts w:ascii="Trebuchet MS" w:hAnsi="Trebuchet MS" w:cs="Arial"/>
                <w:sz w:val="22"/>
                <w:szCs w:val="22"/>
                <w:lang w:val="lt-LT"/>
              </w:rPr>
              <w:t>Aukštas</w:t>
            </w:r>
          </w:p>
          <w:p w14:paraId="00252D0B" w14:textId="77777777" w:rsidR="00E272F2" w:rsidRPr="00CC4CE5" w:rsidRDefault="00E272F2" w:rsidP="005E2BFB">
            <w:pPr>
              <w:keepNext/>
              <w:spacing w:line="276" w:lineRule="auto"/>
              <w:jc w:val="center"/>
              <w:rPr>
                <w:rFonts w:ascii="Trebuchet MS" w:hAnsi="Trebuchet MS" w:cs="Arial"/>
                <w:sz w:val="22"/>
                <w:szCs w:val="22"/>
                <w:lang w:val="lt-LT"/>
              </w:rPr>
            </w:pPr>
          </w:p>
        </w:tc>
      </w:tr>
      <w:tr w:rsidR="00E272F2" w:rsidRPr="00CC4CE5" w14:paraId="5BE72179" w14:textId="77777777" w:rsidTr="005E2BFB">
        <w:trPr>
          <w:trHeight w:val="771"/>
        </w:trPr>
        <w:tc>
          <w:tcPr>
            <w:tcW w:w="680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C17F7A5" w14:textId="79F7F479" w:rsidR="00E272F2" w:rsidRPr="00CC4CE5" w:rsidRDefault="00E272F2" w:rsidP="005E2BFB">
            <w:pPr>
              <w:pStyle w:val="ListParagraph"/>
              <w:numPr>
                <w:ilvl w:val="0"/>
                <w:numId w:val="24"/>
              </w:numPr>
              <w:spacing w:line="276" w:lineRule="auto"/>
              <w:jc w:val="both"/>
              <w:rPr>
                <w:rFonts w:ascii="Trebuchet MS" w:hAnsi="Trebuchet MS" w:cs="Arial"/>
                <w:sz w:val="22"/>
                <w:szCs w:val="22"/>
                <w:lang w:val="lt-LT"/>
              </w:rPr>
            </w:pPr>
            <w:r w:rsidRPr="00CC4CE5">
              <w:rPr>
                <w:rFonts w:ascii="Trebuchet MS" w:hAnsi="Trebuchet MS" w:cs="Arial"/>
                <w:sz w:val="22"/>
                <w:szCs w:val="22"/>
                <w:lang w:val="lt-LT"/>
              </w:rPr>
              <w:t xml:space="preserve">Dalinai neveikia </w:t>
            </w:r>
            <w:r w:rsidR="00BC0360" w:rsidRPr="00CC4CE5">
              <w:rPr>
                <w:rFonts w:ascii="Trebuchet MS" w:hAnsi="Trebuchet MS" w:cs="Arial"/>
                <w:sz w:val="22"/>
                <w:szCs w:val="22"/>
                <w:lang w:val="lt-LT"/>
              </w:rPr>
              <w:t>CDE</w:t>
            </w:r>
            <w:r w:rsidRPr="00CC4CE5">
              <w:rPr>
                <w:rFonts w:ascii="Trebuchet MS" w:hAnsi="Trebuchet MS" w:cs="Arial"/>
                <w:sz w:val="22"/>
                <w:szCs w:val="22"/>
                <w:lang w:val="lt-LT"/>
              </w:rPr>
              <w:t xml:space="preserve"> funkciniai komponentai</w:t>
            </w:r>
            <w:r w:rsidR="00F84327" w:rsidRPr="00CC4CE5">
              <w:rPr>
                <w:rFonts w:ascii="Trebuchet MS" w:hAnsi="Trebuchet MS" w:cs="Arial"/>
                <w:sz w:val="22"/>
                <w:szCs w:val="22"/>
                <w:lang w:val="lt-LT"/>
              </w:rPr>
              <w:t xml:space="preserve"> (moduliai)</w:t>
            </w:r>
            <w:r w:rsidR="00290594" w:rsidRPr="00CC4CE5">
              <w:rPr>
                <w:rFonts w:ascii="Trebuchet MS" w:hAnsi="Trebuchet MS" w:cs="Arial"/>
                <w:sz w:val="22"/>
                <w:szCs w:val="22"/>
                <w:lang w:val="lt-LT"/>
              </w:rPr>
              <w:t>.</w:t>
            </w:r>
          </w:p>
          <w:p w14:paraId="2F128DEE" w14:textId="736C571D" w:rsidR="00781979" w:rsidRPr="00CC4CE5" w:rsidRDefault="00781979" w:rsidP="005E2BFB">
            <w:pPr>
              <w:pStyle w:val="ListParagraph"/>
              <w:numPr>
                <w:ilvl w:val="0"/>
                <w:numId w:val="24"/>
              </w:numPr>
              <w:spacing w:line="276" w:lineRule="auto"/>
              <w:jc w:val="both"/>
              <w:rPr>
                <w:rFonts w:ascii="Trebuchet MS" w:hAnsi="Trebuchet MS" w:cs="Arial"/>
                <w:sz w:val="22"/>
                <w:szCs w:val="22"/>
                <w:lang w:val="lt-LT"/>
              </w:rPr>
            </w:pPr>
            <w:r w:rsidRPr="00CC4CE5">
              <w:rPr>
                <w:rFonts w:ascii="Trebuchet MS" w:hAnsi="Trebuchet MS" w:cs="Arial"/>
                <w:sz w:val="22"/>
                <w:szCs w:val="22"/>
                <w:lang w:val="lt-LT"/>
              </w:rPr>
              <w:t>Įprastinė funkcijų veikimo greitaveik</w:t>
            </w:r>
            <w:r w:rsidR="00813A7E" w:rsidRPr="00CC4CE5">
              <w:rPr>
                <w:rFonts w:ascii="Trebuchet MS" w:hAnsi="Trebuchet MS" w:cs="Arial"/>
                <w:sz w:val="22"/>
                <w:szCs w:val="22"/>
                <w:lang w:val="lt-LT"/>
              </w:rPr>
              <w:t xml:space="preserve">a sumažėja </w:t>
            </w:r>
            <w:r w:rsidR="00054597" w:rsidRPr="00CC4CE5">
              <w:rPr>
                <w:rFonts w:ascii="Trebuchet MS" w:hAnsi="Trebuchet MS" w:cs="Arial"/>
                <w:sz w:val="22"/>
                <w:szCs w:val="22"/>
                <w:lang w:val="lt-LT"/>
              </w:rPr>
              <w:t xml:space="preserve"> &gt;</w:t>
            </w:r>
            <w:r w:rsidR="00813A7E" w:rsidRPr="00CC4CE5">
              <w:rPr>
                <w:rFonts w:ascii="Trebuchet MS" w:hAnsi="Trebuchet MS" w:cs="Arial"/>
                <w:sz w:val="22"/>
                <w:szCs w:val="22"/>
                <w:lang w:val="lt-LT"/>
              </w:rPr>
              <w:t>50%.</w:t>
            </w:r>
          </w:p>
          <w:p w14:paraId="33873709" w14:textId="6E286788" w:rsidR="00290594" w:rsidRPr="00CC4CE5" w:rsidRDefault="00290594" w:rsidP="005E2BFB">
            <w:pPr>
              <w:pStyle w:val="ListParagraph"/>
              <w:numPr>
                <w:ilvl w:val="0"/>
                <w:numId w:val="24"/>
              </w:numPr>
              <w:spacing w:line="276" w:lineRule="auto"/>
              <w:jc w:val="both"/>
              <w:rPr>
                <w:rFonts w:ascii="Trebuchet MS" w:hAnsi="Trebuchet MS" w:cs="Arial"/>
                <w:sz w:val="22"/>
                <w:szCs w:val="22"/>
                <w:lang w:val="lt-LT"/>
              </w:rPr>
            </w:pPr>
            <w:r w:rsidRPr="00CC4CE5">
              <w:rPr>
                <w:rFonts w:ascii="Trebuchet MS" w:hAnsi="Trebuchet MS" w:cs="Arial"/>
                <w:sz w:val="22"/>
                <w:szCs w:val="22"/>
                <w:lang w:val="lt-LT"/>
              </w:rPr>
              <w:t xml:space="preserve">Neveikia failų užkrovimo, parsisiuntimo arba peržiūros </w:t>
            </w:r>
            <w:r w:rsidR="004A47E7" w:rsidRPr="00CC4CE5">
              <w:rPr>
                <w:rFonts w:ascii="Trebuchet MS" w:hAnsi="Trebuchet MS" w:cs="Arial"/>
                <w:sz w:val="22"/>
                <w:szCs w:val="22"/>
                <w:lang w:val="lt-LT"/>
              </w:rPr>
              <w:t>funkcionalumas.</w:t>
            </w:r>
          </w:p>
        </w:tc>
        <w:tc>
          <w:tcPr>
            <w:tcW w:w="1452" w:type="dxa"/>
            <w:tcBorders>
              <w:top w:val="nil"/>
              <w:left w:val="nil"/>
              <w:bottom w:val="single" w:sz="8" w:space="0" w:color="auto"/>
              <w:right w:val="single" w:sz="8" w:space="0" w:color="auto"/>
            </w:tcBorders>
            <w:tcMar>
              <w:top w:w="0" w:type="dxa"/>
              <w:left w:w="108" w:type="dxa"/>
              <w:bottom w:w="0" w:type="dxa"/>
              <w:right w:w="108" w:type="dxa"/>
            </w:tcMar>
            <w:vAlign w:val="center"/>
          </w:tcPr>
          <w:p w14:paraId="655729B0" w14:textId="77777777" w:rsidR="00E272F2" w:rsidRPr="00CC4CE5" w:rsidRDefault="00E272F2" w:rsidP="005E2BFB">
            <w:pPr>
              <w:keepNext/>
              <w:spacing w:line="276" w:lineRule="auto"/>
              <w:ind w:left="357" w:hanging="357"/>
              <w:jc w:val="center"/>
              <w:rPr>
                <w:rFonts w:ascii="Trebuchet MS" w:hAnsi="Trebuchet MS" w:cs="Arial"/>
                <w:sz w:val="22"/>
                <w:szCs w:val="22"/>
                <w:lang w:val="lt-LT"/>
              </w:rPr>
            </w:pPr>
            <w:r w:rsidRPr="00CC4CE5">
              <w:rPr>
                <w:rFonts w:ascii="Trebuchet MS" w:hAnsi="Trebuchet MS" w:cs="Arial"/>
                <w:sz w:val="22"/>
                <w:szCs w:val="22"/>
                <w:lang w:val="lt-LT"/>
              </w:rPr>
              <w:t>Vidutinis</w:t>
            </w:r>
          </w:p>
        </w:tc>
      </w:tr>
      <w:tr w:rsidR="00E272F2" w:rsidRPr="00CC4CE5" w14:paraId="5A7C94C9" w14:textId="77777777" w:rsidTr="005E2BFB">
        <w:trPr>
          <w:trHeight w:val="353"/>
        </w:trPr>
        <w:tc>
          <w:tcPr>
            <w:tcW w:w="680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CFC054F" w14:textId="77777777" w:rsidR="00E272F2" w:rsidRPr="00CC4CE5" w:rsidRDefault="00E272F2" w:rsidP="005E2BFB">
            <w:pPr>
              <w:pStyle w:val="ListParagraph"/>
              <w:numPr>
                <w:ilvl w:val="0"/>
                <w:numId w:val="23"/>
              </w:numPr>
              <w:spacing w:line="276" w:lineRule="auto"/>
              <w:ind w:left="714" w:hanging="357"/>
              <w:rPr>
                <w:rFonts w:ascii="Trebuchet MS" w:hAnsi="Trebuchet MS" w:cs="Arial"/>
                <w:sz w:val="22"/>
                <w:szCs w:val="22"/>
                <w:lang w:val="lt-LT"/>
              </w:rPr>
            </w:pPr>
            <w:r w:rsidRPr="00CC4CE5">
              <w:rPr>
                <w:rFonts w:ascii="Trebuchet MS" w:hAnsi="Trebuchet MS" w:cs="Arial"/>
                <w:sz w:val="22"/>
                <w:szCs w:val="22"/>
                <w:lang w:val="lt-LT"/>
              </w:rPr>
              <w:t>Visi likę incidentai.</w:t>
            </w:r>
          </w:p>
        </w:tc>
        <w:tc>
          <w:tcPr>
            <w:tcW w:w="145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B64862E" w14:textId="77777777" w:rsidR="00E272F2" w:rsidRPr="00CC4CE5" w:rsidRDefault="00E272F2" w:rsidP="005E2BFB">
            <w:pPr>
              <w:keepNext/>
              <w:spacing w:line="276" w:lineRule="auto"/>
              <w:jc w:val="center"/>
              <w:rPr>
                <w:rFonts w:ascii="Trebuchet MS" w:hAnsi="Trebuchet MS" w:cs="Arial"/>
                <w:sz w:val="22"/>
                <w:szCs w:val="22"/>
                <w:lang w:val="lt-LT"/>
              </w:rPr>
            </w:pPr>
            <w:r w:rsidRPr="00CC4CE5">
              <w:rPr>
                <w:rFonts w:ascii="Trebuchet MS" w:hAnsi="Trebuchet MS" w:cs="Arial"/>
                <w:sz w:val="22"/>
                <w:szCs w:val="22"/>
                <w:lang w:val="lt-LT"/>
              </w:rPr>
              <w:t>Žemas</w:t>
            </w:r>
          </w:p>
        </w:tc>
      </w:tr>
    </w:tbl>
    <w:p w14:paraId="7D8FD407" w14:textId="1AD6FC46" w:rsidR="002C0CD9" w:rsidRPr="00CC4CE5" w:rsidRDefault="00C125C3" w:rsidP="002C0CD9">
      <w:pPr>
        <w:pStyle w:val="ListParagraph"/>
        <w:numPr>
          <w:ilvl w:val="2"/>
          <w:numId w:val="36"/>
        </w:numPr>
        <w:spacing w:after="120" w:line="276" w:lineRule="auto"/>
        <w:jc w:val="both"/>
        <w:rPr>
          <w:rFonts w:ascii="Trebuchet MS" w:hAnsi="Trebuchet MS"/>
          <w:b/>
          <w:sz w:val="22"/>
          <w:szCs w:val="22"/>
          <w:lang w:val="lt-LT"/>
        </w:rPr>
      </w:pPr>
      <w:r w:rsidRPr="00CC4CE5">
        <w:rPr>
          <w:rFonts w:ascii="Trebuchet MS" w:hAnsi="Trebuchet MS" w:cs="Arial"/>
          <w:sz w:val="22"/>
          <w:szCs w:val="22"/>
          <w:lang w:val="lt-LT"/>
        </w:rPr>
        <w:tab/>
      </w:r>
    </w:p>
    <w:tbl>
      <w:tblPr>
        <w:tblStyle w:val="TableGrid"/>
        <w:tblW w:w="8267" w:type="dxa"/>
        <w:tblInd w:w="1129" w:type="dxa"/>
        <w:tblLook w:val="04A0" w:firstRow="1" w:lastRow="0" w:firstColumn="1" w:lastColumn="0" w:noHBand="0" w:noVBand="1"/>
      </w:tblPr>
      <w:tblGrid>
        <w:gridCol w:w="3365"/>
        <w:gridCol w:w="1597"/>
        <w:gridCol w:w="1701"/>
        <w:gridCol w:w="1604"/>
      </w:tblGrid>
      <w:tr w:rsidR="002C0CD9" w:rsidRPr="00CC4CE5" w14:paraId="25CA8306" w14:textId="77777777" w:rsidTr="002C0CD9">
        <w:trPr>
          <w:cantSplit/>
          <w:trHeight w:val="350"/>
          <w:tblHeader/>
        </w:trPr>
        <w:tc>
          <w:tcPr>
            <w:tcW w:w="8267" w:type="dxa"/>
            <w:gridSpan w:val="4"/>
            <w:vAlign w:val="center"/>
          </w:tcPr>
          <w:p w14:paraId="35AC15BB" w14:textId="73048A00" w:rsidR="002C0CD9" w:rsidRPr="00CC4CE5" w:rsidRDefault="002C0CD9" w:rsidP="002C0CD9">
            <w:pPr>
              <w:spacing w:line="276" w:lineRule="auto"/>
              <w:ind w:left="113" w:right="113"/>
              <w:rPr>
                <w:rFonts w:ascii="Trebuchet MS" w:hAnsi="Trebuchet MS" w:cs="Arial"/>
                <w:b/>
                <w:sz w:val="22"/>
                <w:szCs w:val="22"/>
                <w:lang w:val="lt-LT"/>
              </w:rPr>
            </w:pPr>
            <w:r w:rsidRPr="00CC4CE5">
              <w:rPr>
                <w:rFonts w:ascii="Trebuchet MS" w:hAnsi="Trebuchet MS" w:cs="Arial"/>
                <w:b/>
                <w:sz w:val="22"/>
                <w:szCs w:val="22"/>
                <w:lang w:val="lt-LT"/>
              </w:rPr>
              <w:t>Incidento šalinimo laikas</w:t>
            </w:r>
          </w:p>
        </w:tc>
      </w:tr>
      <w:tr w:rsidR="002C0CD9" w:rsidRPr="00CC4CE5" w14:paraId="178CF651" w14:textId="77777777" w:rsidTr="005E2BFB">
        <w:trPr>
          <w:cantSplit/>
          <w:trHeight w:val="1833"/>
          <w:tblHeader/>
        </w:trPr>
        <w:tc>
          <w:tcPr>
            <w:tcW w:w="3365" w:type="dxa"/>
            <w:vAlign w:val="center"/>
          </w:tcPr>
          <w:p w14:paraId="11C60FD9" w14:textId="7EE94976" w:rsidR="002C0CD9" w:rsidRPr="00CC4CE5" w:rsidRDefault="002C0CD9" w:rsidP="005E2BFB">
            <w:pPr>
              <w:spacing w:line="276" w:lineRule="auto"/>
              <w:ind w:left="357" w:hanging="357"/>
              <w:jc w:val="center"/>
              <w:rPr>
                <w:rFonts w:ascii="Trebuchet MS" w:hAnsi="Trebuchet MS" w:cs="Arial"/>
                <w:b/>
                <w:sz w:val="22"/>
                <w:szCs w:val="22"/>
                <w:lang w:val="lt-LT"/>
              </w:rPr>
            </w:pPr>
            <w:r w:rsidRPr="00CC4CE5">
              <w:rPr>
                <w:rFonts w:ascii="Trebuchet MS" w:hAnsi="Trebuchet MS" w:cs="Arial"/>
                <w:sz w:val="22"/>
                <w:szCs w:val="22"/>
                <w:lang w:val="lt-LT"/>
              </w:rPr>
              <w:t>Incidento mastas</w:t>
            </w:r>
          </w:p>
        </w:tc>
        <w:tc>
          <w:tcPr>
            <w:tcW w:w="1597" w:type="dxa"/>
            <w:textDirection w:val="btLr"/>
            <w:vAlign w:val="center"/>
          </w:tcPr>
          <w:p w14:paraId="765AC2AF" w14:textId="77777777" w:rsidR="002C0CD9" w:rsidRPr="00CC4CE5" w:rsidRDefault="002C0CD9" w:rsidP="005E2BFB">
            <w:pPr>
              <w:spacing w:line="276" w:lineRule="auto"/>
              <w:ind w:left="113" w:right="113"/>
              <w:jc w:val="center"/>
              <w:rPr>
                <w:rFonts w:ascii="Trebuchet MS" w:hAnsi="Trebuchet MS" w:cs="Arial"/>
                <w:b/>
                <w:sz w:val="22"/>
                <w:szCs w:val="22"/>
                <w:lang w:val="lt-LT"/>
              </w:rPr>
            </w:pPr>
            <w:r w:rsidRPr="00CC4CE5">
              <w:rPr>
                <w:rFonts w:ascii="Trebuchet MS" w:hAnsi="Trebuchet MS" w:cs="Arial"/>
                <w:b/>
                <w:sz w:val="22"/>
                <w:szCs w:val="22"/>
                <w:lang w:val="lt-LT"/>
              </w:rPr>
              <w:t xml:space="preserve">Aukšto </w:t>
            </w:r>
          </w:p>
          <w:p w14:paraId="12EB9F06" w14:textId="77777777" w:rsidR="002C0CD9" w:rsidRPr="00CC4CE5" w:rsidRDefault="002C0CD9" w:rsidP="005E2BFB">
            <w:pPr>
              <w:spacing w:line="276" w:lineRule="auto"/>
              <w:ind w:left="113" w:right="113"/>
              <w:jc w:val="center"/>
              <w:rPr>
                <w:rFonts w:ascii="Trebuchet MS" w:hAnsi="Trebuchet MS" w:cs="Arial"/>
                <w:b/>
                <w:sz w:val="22"/>
                <w:szCs w:val="22"/>
                <w:lang w:val="lt-LT"/>
              </w:rPr>
            </w:pPr>
            <w:r w:rsidRPr="00CC4CE5">
              <w:rPr>
                <w:rFonts w:ascii="Trebuchet MS" w:hAnsi="Trebuchet MS" w:cs="Arial"/>
                <w:b/>
                <w:sz w:val="22"/>
                <w:szCs w:val="22"/>
                <w:lang w:val="lt-LT"/>
              </w:rPr>
              <w:t xml:space="preserve">masto  </w:t>
            </w:r>
          </w:p>
          <w:p w14:paraId="74406EEF" w14:textId="77777777" w:rsidR="002C0CD9" w:rsidRPr="00CC4CE5" w:rsidRDefault="002C0CD9" w:rsidP="005E2BFB">
            <w:pPr>
              <w:spacing w:line="276" w:lineRule="auto"/>
              <w:ind w:left="113" w:right="113"/>
              <w:jc w:val="center"/>
              <w:rPr>
                <w:rFonts w:ascii="Trebuchet MS" w:hAnsi="Trebuchet MS" w:cs="Arial"/>
                <w:b/>
                <w:sz w:val="22"/>
                <w:szCs w:val="22"/>
                <w:lang w:val="lt-LT"/>
              </w:rPr>
            </w:pPr>
            <w:r w:rsidRPr="00CC4CE5">
              <w:rPr>
                <w:rFonts w:ascii="Trebuchet MS" w:hAnsi="Trebuchet MS" w:cs="Arial"/>
                <w:b/>
                <w:sz w:val="22"/>
                <w:szCs w:val="22"/>
                <w:lang w:val="lt-LT"/>
              </w:rPr>
              <w:t>incidentai</w:t>
            </w:r>
          </w:p>
        </w:tc>
        <w:tc>
          <w:tcPr>
            <w:tcW w:w="1701" w:type="dxa"/>
            <w:textDirection w:val="btLr"/>
            <w:vAlign w:val="center"/>
          </w:tcPr>
          <w:p w14:paraId="66ECCB25" w14:textId="77777777" w:rsidR="002C0CD9" w:rsidRPr="00CC4CE5" w:rsidRDefault="002C0CD9" w:rsidP="005E2BFB">
            <w:pPr>
              <w:spacing w:line="276" w:lineRule="auto"/>
              <w:ind w:left="113" w:right="113"/>
              <w:jc w:val="center"/>
              <w:rPr>
                <w:rFonts w:ascii="Trebuchet MS" w:hAnsi="Trebuchet MS" w:cs="Arial"/>
                <w:b/>
                <w:sz w:val="22"/>
                <w:szCs w:val="22"/>
                <w:lang w:val="lt-LT"/>
              </w:rPr>
            </w:pPr>
            <w:r w:rsidRPr="00CC4CE5">
              <w:rPr>
                <w:rFonts w:ascii="Trebuchet MS" w:hAnsi="Trebuchet MS" w:cs="Arial"/>
                <w:b/>
                <w:sz w:val="22"/>
                <w:szCs w:val="22"/>
                <w:lang w:val="lt-LT"/>
              </w:rPr>
              <w:t xml:space="preserve">Vidutinio </w:t>
            </w:r>
          </w:p>
          <w:p w14:paraId="253A4241" w14:textId="77777777" w:rsidR="002C0CD9" w:rsidRPr="00CC4CE5" w:rsidRDefault="002C0CD9" w:rsidP="005E2BFB">
            <w:pPr>
              <w:spacing w:line="276" w:lineRule="auto"/>
              <w:ind w:left="113" w:right="113"/>
              <w:jc w:val="center"/>
              <w:rPr>
                <w:rFonts w:ascii="Trebuchet MS" w:hAnsi="Trebuchet MS" w:cs="Arial"/>
                <w:b/>
                <w:sz w:val="22"/>
                <w:szCs w:val="22"/>
                <w:lang w:val="lt-LT"/>
              </w:rPr>
            </w:pPr>
            <w:r w:rsidRPr="00CC4CE5">
              <w:rPr>
                <w:rFonts w:ascii="Trebuchet MS" w:hAnsi="Trebuchet MS" w:cs="Arial"/>
                <w:b/>
                <w:sz w:val="22"/>
                <w:szCs w:val="22"/>
                <w:lang w:val="lt-LT"/>
              </w:rPr>
              <w:t xml:space="preserve">masto </w:t>
            </w:r>
          </w:p>
          <w:p w14:paraId="470C7C19" w14:textId="77777777" w:rsidR="002C0CD9" w:rsidRPr="00CC4CE5" w:rsidRDefault="002C0CD9" w:rsidP="005E2BFB">
            <w:pPr>
              <w:spacing w:line="276" w:lineRule="auto"/>
              <w:ind w:left="113" w:right="113"/>
              <w:jc w:val="center"/>
              <w:rPr>
                <w:rFonts w:ascii="Trebuchet MS" w:hAnsi="Trebuchet MS" w:cs="Arial"/>
                <w:b/>
                <w:sz w:val="22"/>
                <w:szCs w:val="22"/>
                <w:lang w:val="lt-LT"/>
              </w:rPr>
            </w:pPr>
            <w:r w:rsidRPr="00CC4CE5">
              <w:rPr>
                <w:rFonts w:ascii="Trebuchet MS" w:hAnsi="Trebuchet MS" w:cs="Arial"/>
                <w:b/>
                <w:sz w:val="22"/>
                <w:szCs w:val="22"/>
                <w:lang w:val="lt-LT"/>
              </w:rPr>
              <w:t>incidentai</w:t>
            </w:r>
          </w:p>
        </w:tc>
        <w:tc>
          <w:tcPr>
            <w:tcW w:w="1604" w:type="dxa"/>
            <w:textDirection w:val="btLr"/>
            <w:vAlign w:val="center"/>
          </w:tcPr>
          <w:p w14:paraId="4501A5AC" w14:textId="77777777" w:rsidR="002C0CD9" w:rsidRPr="00CC4CE5" w:rsidRDefault="002C0CD9" w:rsidP="005E2BFB">
            <w:pPr>
              <w:spacing w:line="276" w:lineRule="auto"/>
              <w:ind w:left="113" w:right="113"/>
              <w:jc w:val="center"/>
              <w:rPr>
                <w:rFonts w:ascii="Trebuchet MS" w:hAnsi="Trebuchet MS" w:cs="Arial"/>
                <w:b/>
                <w:sz w:val="22"/>
                <w:szCs w:val="22"/>
                <w:lang w:val="lt-LT"/>
              </w:rPr>
            </w:pPr>
            <w:r w:rsidRPr="00CC4CE5">
              <w:rPr>
                <w:rFonts w:ascii="Trebuchet MS" w:hAnsi="Trebuchet MS" w:cs="Arial"/>
                <w:b/>
                <w:sz w:val="22"/>
                <w:szCs w:val="22"/>
                <w:lang w:val="lt-LT"/>
              </w:rPr>
              <w:t>Žemo</w:t>
            </w:r>
          </w:p>
          <w:p w14:paraId="6B3D821C" w14:textId="77777777" w:rsidR="002C0CD9" w:rsidRPr="00CC4CE5" w:rsidRDefault="002C0CD9" w:rsidP="005E2BFB">
            <w:pPr>
              <w:spacing w:line="276" w:lineRule="auto"/>
              <w:ind w:left="113" w:right="113"/>
              <w:jc w:val="center"/>
              <w:rPr>
                <w:rFonts w:ascii="Trebuchet MS" w:hAnsi="Trebuchet MS" w:cs="Arial"/>
                <w:b/>
                <w:sz w:val="22"/>
                <w:szCs w:val="22"/>
                <w:lang w:val="lt-LT"/>
              </w:rPr>
            </w:pPr>
            <w:r w:rsidRPr="00CC4CE5">
              <w:rPr>
                <w:rFonts w:ascii="Trebuchet MS" w:hAnsi="Trebuchet MS" w:cs="Arial"/>
                <w:b/>
                <w:sz w:val="22"/>
                <w:szCs w:val="22"/>
                <w:lang w:val="lt-LT"/>
              </w:rPr>
              <w:t xml:space="preserve">masto </w:t>
            </w:r>
          </w:p>
          <w:p w14:paraId="31B56914" w14:textId="77777777" w:rsidR="002C0CD9" w:rsidRPr="00CC4CE5" w:rsidRDefault="002C0CD9" w:rsidP="005E2BFB">
            <w:pPr>
              <w:spacing w:line="276" w:lineRule="auto"/>
              <w:ind w:left="113" w:right="113"/>
              <w:jc w:val="center"/>
              <w:rPr>
                <w:rFonts w:ascii="Trebuchet MS" w:hAnsi="Trebuchet MS" w:cs="Arial"/>
                <w:b/>
                <w:sz w:val="22"/>
                <w:szCs w:val="22"/>
                <w:lang w:val="lt-LT"/>
              </w:rPr>
            </w:pPr>
            <w:r w:rsidRPr="00CC4CE5">
              <w:rPr>
                <w:rFonts w:ascii="Trebuchet MS" w:hAnsi="Trebuchet MS" w:cs="Arial"/>
                <w:b/>
                <w:sz w:val="22"/>
                <w:szCs w:val="22"/>
                <w:lang w:val="lt-LT"/>
              </w:rPr>
              <w:t>incidentai</w:t>
            </w:r>
          </w:p>
        </w:tc>
      </w:tr>
      <w:tr w:rsidR="002C0CD9" w:rsidRPr="00CC4CE5" w14:paraId="6AC3006E" w14:textId="77777777" w:rsidTr="005E2BFB">
        <w:trPr>
          <w:trHeight w:val="558"/>
        </w:trPr>
        <w:tc>
          <w:tcPr>
            <w:tcW w:w="3365" w:type="dxa"/>
          </w:tcPr>
          <w:p w14:paraId="3C35215E" w14:textId="22B37687" w:rsidR="002C0CD9" w:rsidRPr="00CC4CE5" w:rsidRDefault="00FF3CF8" w:rsidP="005E2BFB">
            <w:pPr>
              <w:spacing w:line="276" w:lineRule="auto"/>
              <w:ind w:left="459"/>
              <w:rPr>
                <w:rFonts w:ascii="Trebuchet MS" w:hAnsi="Trebuchet MS" w:cs="Arial"/>
                <w:sz w:val="22"/>
                <w:szCs w:val="22"/>
                <w:lang w:val="lt-LT"/>
              </w:rPr>
            </w:pPr>
            <w:r w:rsidRPr="00CC4CE5">
              <w:rPr>
                <w:rFonts w:ascii="Trebuchet MS" w:hAnsi="Trebuchet MS" w:cs="Arial"/>
                <w:sz w:val="22"/>
                <w:szCs w:val="22"/>
                <w:lang w:val="lt-LT"/>
              </w:rPr>
              <w:t>P</w:t>
            </w:r>
            <w:r w:rsidR="0054433F" w:rsidRPr="00CC4CE5">
              <w:rPr>
                <w:rFonts w:ascii="Trebuchet MS" w:hAnsi="Trebuchet MS" w:cs="Arial"/>
                <w:sz w:val="22"/>
                <w:szCs w:val="22"/>
                <w:lang w:val="lt-LT"/>
              </w:rPr>
              <w:t>ašalinimo</w:t>
            </w:r>
            <w:r w:rsidR="002C0CD9" w:rsidRPr="00CC4CE5">
              <w:rPr>
                <w:rFonts w:ascii="Trebuchet MS" w:hAnsi="Trebuchet MS" w:cs="Arial"/>
                <w:sz w:val="22"/>
                <w:szCs w:val="22"/>
                <w:lang w:val="lt-LT"/>
              </w:rPr>
              <w:t xml:space="preserve"> laikas</w:t>
            </w:r>
            <w:r w:rsidR="00576DBA" w:rsidRPr="00CC4CE5">
              <w:rPr>
                <w:rFonts w:ascii="Trebuchet MS" w:hAnsi="Trebuchet MS" w:cs="Arial"/>
                <w:sz w:val="22"/>
                <w:szCs w:val="22"/>
                <w:lang w:val="lt-LT"/>
              </w:rPr>
              <w:t xml:space="preserve"> Pirkėjo</w:t>
            </w:r>
            <w:r w:rsidR="002C0CD9" w:rsidRPr="00CC4CE5">
              <w:rPr>
                <w:rFonts w:ascii="Trebuchet MS" w:hAnsi="Trebuchet MS" w:cs="Arial"/>
                <w:sz w:val="22"/>
                <w:szCs w:val="22"/>
                <w:lang w:val="lt-LT"/>
              </w:rPr>
              <w:t xml:space="preserve"> darbo valandomis [h]</w:t>
            </w:r>
          </w:p>
        </w:tc>
        <w:tc>
          <w:tcPr>
            <w:tcW w:w="1597" w:type="dxa"/>
            <w:vAlign w:val="center"/>
          </w:tcPr>
          <w:p w14:paraId="5D4DD9BB" w14:textId="77777777" w:rsidR="002C0CD9" w:rsidRPr="00CC4CE5" w:rsidRDefault="002C0CD9" w:rsidP="005E2BFB">
            <w:pPr>
              <w:spacing w:line="276" w:lineRule="auto"/>
              <w:ind w:left="357" w:hanging="357"/>
              <w:jc w:val="center"/>
              <w:rPr>
                <w:rFonts w:ascii="Trebuchet MS" w:hAnsi="Trebuchet MS" w:cs="Arial"/>
                <w:sz w:val="22"/>
                <w:szCs w:val="22"/>
                <w:lang w:val="lt-LT"/>
              </w:rPr>
            </w:pPr>
            <w:r w:rsidRPr="00CC4CE5">
              <w:rPr>
                <w:rFonts w:ascii="Trebuchet MS" w:hAnsi="Trebuchet MS" w:cs="Arial"/>
                <w:sz w:val="22"/>
                <w:szCs w:val="22"/>
                <w:lang w:val="lt-LT"/>
              </w:rPr>
              <w:t>≤ 12</w:t>
            </w:r>
          </w:p>
        </w:tc>
        <w:tc>
          <w:tcPr>
            <w:tcW w:w="1701" w:type="dxa"/>
            <w:vAlign w:val="center"/>
          </w:tcPr>
          <w:p w14:paraId="0EA6B8D2" w14:textId="77777777" w:rsidR="002C0CD9" w:rsidRPr="00CC4CE5" w:rsidRDefault="002C0CD9" w:rsidP="005E2BFB">
            <w:pPr>
              <w:spacing w:line="276" w:lineRule="auto"/>
              <w:ind w:left="357" w:hanging="357"/>
              <w:jc w:val="center"/>
              <w:rPr>
                <w:rFonts w:ascii="Trebuchet MS" w:hAnsi="Trebuchet MS" w:cs="Arial"/>
                <w:sz w:val="22"/>
                <w:szCs w:val="22"/>
                <w:lang w:val="lt-LT"/>
              </w:rPr>
            </w:pPr>
            <w:r w:rsidRPr="00CC4CE5">
              <w:rPr>
                <w:rFonts w:ascii="Trebuchet MS" w:hAnsi="Trebuchet MS" w:cs="Arial"/>
                <w:sz w:val="22"/>
                <w:szCs w:val="22"/>
                <w:lang w:val="lt-LT"/>
              </w:rPr>
              <w:t>≤ 24</w:t>
            </w:r>
          </w:p>
        </w:tc>
        <w:tc>
          <w:tcPr>
            <w:tcW w:w="1604" w:type="dxa"/>
            <w:vAlign w:val="center"/>
          </w:tcPr>
          <w:p w14:paraId="2D0D1A9F" w14:textId="31858B7C" w:rsidR="002C0CD9" w:rsidRPr="00CC4CE5" w:rsidRDefault="002C0CD9" w:rsidP="005E2BFB">
            <w:pPr>
              <w:spacing w:line="276" w:lineRule="auto"/>
              <w:ind w:left="357" w:hanging="357"/>
              <w:jc w:val="center"/>
              <w:rPr>
                <w:rFonts w:ascii="Trebuchet MS" w:hAnsi="Trebuchet MS" w:cs="Arial"/>
                <w:sz w:val="22"/>
                <w:szCs w:val="22"/>
                <w:lang w:val="lt-LT"/>
              </w:rPr>
            </w:pPr>
            <w:r w:rsidRPr="00CC4CE5">
              <w:rPr>
                <w:rFonts w:ascii="Trebuchet MS" w:hAnsi="Trebuchet MS" w:cs="Arial"/>
                <w:sz w:val="22"/>
                <w:szCs w:val="22"/>
                <w:lang w:val="lt-LT"/>
              </w:rPr>
              <w:t xml:space="preserve">≤ </w:t>
            </w:r>
            <w:r w:rsidR="00E11C7E" w:rsidRPr="00CC4CE5">
              <w:rPr>
                <w:rFonts w:ascii="Trebuchet MS" w:hAnsi="Trebuchet MS" w:cs="Arial"/>
                <w:sz w:val="22"/>
                <w:szCs w:val="22"/>
                <w:lang w:val="lt-LT"/>
              </w:rPr>
              <w:t>7</w:t>
            </w:r>
            <w:r w:rsidRPr="00CC4CE5">
              <w:rPr>
                <w:rFonts w:ascii="Trebuchet MS" w:hAnsi="Trebuchet MS" w:cs="Arial"/>
                <w:sz w:val="22"/>
                <w:szCs w:val="22"/>
                <w:lang w:val="lt-LT"/>
              </w:rPr>
              <w:t>2</w:t>
            </w:r>
          </w:p>
        </w:tc>
      </w:tr>
    </w:tbl>
    <w:p w14:paraId="4EF64C9E" w14:textId="77777777" w:rsidR="00615695" w:rsidRPr="00CC4CE5" w:rsidRDefault="00615695" w:rsidP="00615695">
      <w:pPr>
        <w:tabs>
          <w:tab w:val="left" w:pos="1701"/>
        </w:tabs>
        <w:spacing w:after="120" w:line="276" w:lineRule="auto"/>
        <w:jc w:val="both"/>
        <w:rPr>
          <w:rFonts w:ascii="Trebuchet MS" w:hAnsi="Trebuchet MS" w:cs="Arial"/>
          <w:sz w:val="22"/>
          <w:szCs w:val="22"/>
          <w:lang w:val="lt-LT"/>
        </w:rPr>
      </w:pPr>
    </w:p>
    <w:p w14:paraId="5197C12E" w14:textId="45DAE331" w:rsidR="00BF24E6" w:rsidRPr="00CC4CE5" w:rsidRDefault="00BD084E" w:rsidP="00BF24E6">
      <w:pPr>
        <w:pStyle w:val="ListParagraph"/>
        <w:numPr>
          <w:ilvl w:val="1"/>
          <w:numId w:val="36"/>
        </w:numPr>
        <w:tabs>
          <w:tab w:val="left" w:pos="1701"/>
        </w:tabs>
        <w:spacing w:after="120" w:line="276" w:lineRule="auto"/>
        <w:jc w:val="both"/>
        <w:rPr>
          <w:rFonts w:ascii="Trebuchet MS" w:hAnsi="Trebuchet MS" w:cs="Arial"/>
          <w:sz w:val="22"/>
          <w:szCs w:val="22"/>
          <w:lang w:val="lt-LT"/>
        </w:rPr>
      </w:pPr>
      <w:r w:rsidRPr="00CC4CE5">
        <w:rPr>
          <w:rFonts w:ascii="Trebuchet MS" w:hAnsi="Trebuchet MS" w:cs="Arial"/>
          <w:sz w:val="22"/>
          <w:szCs w:val="22"/>
          <w:lang w:val="lt-LT"/>
        </w:rPr>
        <w:t>Pirkėjo darbo valandos</w:t>
      </w:r>
      <w:r w:rsidR="004F6D9A" w:rsidRPr="00CC4CE5">
        <w:rPr>
          <w:rFonts w:ascii="Trebuchet MS" w:hAnsi="Trebuchet MS" w:cs="Arial"/>
          <w:sz w:val="22"/>
          <w:szCs w:val="22"/>
          <w:lang w:val="lt-LT"/>
        </w:rPr>
        <w:t>:</w:t>
      </w:r>
      <w:r w:rsidRPr="00CC4CE5">
        <w:rPr>
          <w:rFonts w:ascii="Trebuchet MS" w:hAnsi="Trebuchet MS" w:cs="Arial"/>
          <w:sz w:val="22"/>
          <w:szCs w:val="22"/>
          <w:lang w:val="lt-LT"/>
        </w:rPr>
        <w:t xml:space="preserve"> </w:t>
      </w:r>
      <w:r w:rsidR="004F6D9A" w:rsidRPr="00CC4CE5">
        <w:rPr>
          <w:rFonts w:ascii="Trebuchet MS" w:hAnsi="Trebuchet MS" w:cs="Arial"/>
          <w:sz w:val="22"/>
          <w:szCs w:val="22"/>
          <w:lang w:val="lt-LT"/>
        </w:rPr>
        <w:t>Pirmadien</w:t>
      </w:r>
      <w:r w:rsidR="000F17EB" w:rsidRPr="00CC4CE5">
        <w:rPr>
          <w:rFonts w:ascii="Trebuchet MS" w:hAnsi="Trebuchet MS" w:cs="Arial"/>
          <w:sz w:val="22"/>
          <w:szCs w:val="22"/>
          <w:lang w:val="lt-LT"/>
        </w:rPr>
        <w:t>iais</w:t>
      </w:r>
      <w:r w:rsidR="004F6D9A" w:rsidRPr="00CC4CE5">
        <w:rPr>
          <w:rFonts w:ascii="Trebuchet MS" w:hAnsi="Trebuchet MS" w:cs="Arial"/>
          <w:sz w:val="22"/>
          <w:szCs w:val="22"/>
          <w:lang w:val="lt-LT"/>
        </w:rPr>
        <w:t>-Ketvirtadie</w:t>
      </w:r>
      <w:r w:rsidR="000F17EB" w:rsidRPr="00CC4CE5">
        <w:rPr>
          <w:rFonts w:ascii="Trebuchet MS" w:hAnsi="Trebuchet MS" w:cs="Arial"/>
          <w:sz w:val="22"/>
          <w:szCs w:val="22"/>
          <w:lang w:val="lt-LT"/>
        </w:rPr>
        <w:t>niais</w:t>
      </w:r>
      <w:r w:rsidR="004F6D9A" w:rsidRPr="00CC4CE5">
        <w:rPr>
          <w:rFonts w:ascii="Trebuchet MS" w:hAnsi="Trebuchet MS" w:cs="Arial"/>
          <w:sz w:val="22"/>
          <w:szCs w:val="22"/>
          <w:lang w:val="lt-LT"/>
        </w:rPr>
        <w:t xml:space="preserve"> </w:t>
      </w:r>
      <w:r w:rsidR="00016953" w:rsidRPr="00CC4CE5">
        <w:rPr>
          <w:rFonts w:ascii="Trebuchet MS" w:hAnsi="Trebuchet MS" w:cs="Arial"/>
          <w:sz w:val="22"/>
          <w:szCs w:val="22"/>
          <w:lang w:val="lt-LT"/>
        </w:rPr>
        <w:t>7:30 – 16:30, Penktadieniais 7:30-</w:t>
      </w:r>
      <w:r w:rsidR="001350AB" w:rsidRPr="00CC4CE5">
        <w:rPr>
          <w:rFonts w:ascii="Trebuchet MS" w:hAnsi="Trebuchet MS" w:cs="Arial"/>
          <w:sz w:val="22"/>
          <w:szCs w:val="22"/>
          <w:lang w:val="lt-LT"/>
        </w:rPr>
        <w:t>15:15</w:t>
      </w:r>
    </w:p>
    <w:p w14:paraId="55B114C4" w14:textId="4D21A015" w:rsidR="007B24CC" w:rsidRPr="00CC4CE5" w:rsidRDefault="00BF24E6" w:rsidP="00BF24E6">
      <w:pPr>
        <w:pStyle w:val="ListParagraph"/>
        <w:numPr>
          <w:ilvl w:val="1"/>
          <w:numId w:val="36"/>
        </w:numPr>
        <w:tabs>
          <w:tab w:val="left" w:pos="1701"/>
        </w:tabs>
        <w:spacing w:after="120" w:line="276" w:lineRule="auto"/>
        <w:jc w:val="both"/>
        <w:rPr>
          <w:rFonts w:ascii="Trebuchet MS" w:hAnsi="Trebuchet MS" w:cs="Arial"/>
          <w:sz w:val="22"/>
          <w:szCs w:val="22"/>
          <w:lang w:val="lt-LT"/>
        </w:rPr>
      </w:pPr>
      <w:r w:rsidRPr="00CC4CE5">
        <w:rPr>
          <w:rFonts w:ascii="Trebuchet MS" w:hAnsi="Trebuchet MS" w:cs="Arial"/>
          <w:sz w:val="22"/>
          <w:szCs w:val="22"/>
          <w:lang w:val="lt-LT"/>
        </w:rPr>
        <w:t xml:space="preserve">Pardavėjas </w:t>
      </w:r>
      <w:r w:rsidR="001E2E4C" w:rsidRPr="00CC4CE5">
        <w:rPr>
          <w:rFonts w:ascii="Trebuchet MS" w:hAnsi="Trebuchet MS" w:cs="Arial"/>
          <w:sz w:val="22"/>
          <w:szCs w:val="22"/>
          <w:lang w:val="lt-LT"/>
        </w:rPr>
        <w:t xml:space="preserve">turi užtikrinti programinės įrangos gamintojo </w:t>
      </w:r>
      <w:r w:rsidR="007B608C" w:rsidRPr="00CC4CE5">
        <w:rPr>
          <w:rFonts w:ascii="Trebuchet MS" w:hAnsi="Trebuchet MS" w:cs="Arial"/>
          <w:sz w:val="22"/>
          <w:szCs w:val="22"/>
          <w:lang w:val="lt-LT"/>
        </w:rPr>
        <w:t xml:space="preserve">kreipinių registravimo sistemos veikimą arba nurodyti kitą veikiantį kreipinių registravimo būdą. </w:t>
      </w:r>
    </w:p>
    <w:p w14:paraId="02D52BB2" w14:textId="1DF6A29D" w:rsidR="007B24CC" w:rsidRPr="00CC4CE5" w:rsidRDefault="007B24CC" w:rsidP="007B608C">
      <w:pPr>
        <w:pStyle w:val="ListParagraph"/>
        <w:numPr>
          <w:ilvl w:val="1"/>
          <w:numId w:val="36"/>
        </w:numPr>
        <w:tabs>
          <w:tab w:val="left" w:pos="1701"/>
        </w:tabs>
        <w:spacing w:after="120" w:line="276" w:lineRule="auto"/>
        <w:jc w:val="both"/>
        <w:rPr>
          <w:rFonts w:ascii="Trebuchet MS" w:hAnsi="Trebuchet MS" w:cs="Arial"/>
          <w:sz w:val="22"/>
          <w:szCs w:val="22"/>
          <w:lang w:val="lt-LT"/>
        </w:rPr>
      </w:pPr>
      <w:r w:rsidRPr="00CC4CE5">
        <w:rPr>
          <w:rFonts w:ascii="Trebuchet MS" w:hAnsi="Trebuchet MS" w:cs="Arial"/>
          <w:sz w:val="22"/>
          <w:szCs w:val="22"/>
          <w:lang w:val="lt-LT"/>
        </w:rPr>
        <w:t xml:space="preserve">Apie kreipinių statusą </w:t>
      </w:r>
      <w:r w:rsidR="00225728" w:rsidRPr="00CC4CE5">
        <w:rPr>
          <w:rFonts w:ascii="Trebuchet MS" w:hAnsi="Trebuchet MS" w:cs="Arial"/>
          <w:sz w:val="22"/>
          <w:szCs w:val="22"/>
          <w:lang w:val="lt-LT"/>
        </w:rPr>
        <w:t>Pardavėjas</w:t>
      </w:r>
      <w:r w:rsidRPr="00CC4CE5">
        <w:rPr>
          <w:rFonts w:ascii="Trebuchet MS" w:hAnsi="Trebuchet MS" w:cs="Arial"/>
          <w:sz w:val="22"/>
          <w:szCs w:val="22"/>
          <w:lang w:val="lt-LT"/>
        </w:rPr>
        <w:t xml:space="preserve"> </w:t>
      </w:r>
      <w:r w:rsidR="00225728" w:rsidRPr="00CC4CE5">
        <w:rPr>
          <w:rFonts w:ascii="Trebuchet MS" w:hAnsi="Trebuchet MS" w:cs="Arial"/>
          <w:sz w:val="22"/>
          <w:szCs w:val="22"/>
          <w:lang w:val="lt-LT"/>
        </w:rPr>
        <w:t>Pirkėjo</w:t>
      </w:r>
      <w:r w:rsidRPr="00CC4CE5">
        <w:rPr>
          <w:rFonts w:ascii="Trebuchet MS" w:hAnsi="Trebuchet MS" w:cs="Arial"/>
          <w:sz w:val="22"/>
          <w:szCs w:val="22"/>
          <w:lang w:val="lt-LT"/>
        </w:rPr>
        <w:t xml:space="preserve"> įgaliotiems atstovams privalo teikti aktualią informaciją pagal pareikalavimą, o </w:t>
      </w:r>
      <w:r w:rsidR="00225728" w:rsidRPr="00CC4CE5">
        <w:rPr>
          <w:rFonts w:ascii="Trebuchet MS" w:hAnsi="Trebuchet MS" w:cs="Arial"/>
          <w:sz w:val="22"/>
          <w:szCs w:val="22"/>
          <w:lang w:val="lt-LT"/>
        </w:rPr>
        <w:t>incidento</w:t>
      </w:r>
      <w:r w:rsidR="00897BA7" w:rsidRPr="00CC4CE5">
        <w:rPr>
          <w:rFonts w:ascii="Trebuchet MS" w:hAnsi="Trebuchet MS" w:cs="Arial"/>
          <w:sz w:val="22"/>
          <w:szCs w:val="22"/>
          <w:lang w:val="lt-LT"/>
        </w:rPr>
        <w:t xml:space="preserve"> </w:t>
      </w:r>
      <w:r w:rsidRPr="00CC4CE5">
        <w:rPr>
          <w:rFonts w:ascii="Trebuchet MS" w:hAnsi="Trebuchet MS" w:cs="Arial"/>
          <w:sz w:val="22"/>
          <w:szCs w:val="22"/>
          <w:lang w:val="lt-LT"/>
        </w:rPr>
        <w:t>įvykdymo atveju – nedelsiant.</w:t>
      </w:r>
    </w:p>
    <w:p w14:paraId="46F9F613" w14:textId="19212064" w:rsidR="007B24CC" w:rsidRPr="00CC4CE5" w:rsidRDefault="00FF3CF8" w:rsidP="00FF3CF8">
      <w:pPr>
        <w:pStyle w:val="ListParagraph"/>
        <w:numPr>
          <w:ilvl w:val="1"/>
          <w:numId w:val="36"/>
        </w:numPr>
        <w:tabs>
          <w:tab w:val="left" w:pos="1701"/>
        </w:tabs>
        <w:spacing w:after="120" w:line="276" w:lineRule="auto"/>
        <w:jc w:val="both"/>
        <w:rPr>
          <w:rFonts w:ascii="Trebuchet MS" w:hAnsi="Trebuchet MS" w:cs="Arial"/>
          <w:sz w:val="22"/>
          <w:szCs w:val="22"/>
          <w:lang w:val="lt-LT"/>
        </w:rPr>
      </w:pPr>
      <w:r w:rsidRPr="00CC4CE5">
        <w:rPr>
          <w:rFonts w:ascii="Trebuchet MS" w:hAnsi="Trebuchet MS" w:cs="Arial"/>
          <w:sz w:val="22"/>
          <w:szCs w:val="22"/>
          <w:lang w:val="lt-LT"/>
        </w:rPr>
        <w:t>Incidento</w:t>
      </w:r>
      <w:r w:rsidR="007B24CC" w:rsidRPr="00CC4CE5">
        <w:rPr>
          <w:rFonts w:ascii="Trebuchet MS" w:hAnsi="Trebuchet MS" w:cs="Arial"/>
          <w:sz w:val="22"/>
          <w:szCs w:val="22"/>
          <w:lang w:val="lt-LT"/>
        </w:rPr>
        <w:t xml:space="preserve"> pašalinimo įvykdymo laiku laikomas tas momentas, kuomet </w:t>
      </w:r>
      <w:r w:rsidR="0054433F" w:rsidRPr="00CC4CE5">
        <w:rPr>
          <w:rFonts w:ascii="Trebuchet MS" w:hAnsi="Trebuchet MS" w:cs="Arial"/>
          <w:sz w:val="22"/>
          <w:szCs w:val="22"/>
          <w:lang w:val="lt-LT"/>
        </w:rPr>
        <w:t>Pardavėjas arba programinės įrangos gamintojas</w:t>
      </w:r>
      <w:r w:rsidR="007B24CC" w:rsidRPr="00CC4CE5">
        <w:rPr>
          <w:rFonts w:ascii="Trebuchet MS" w:hAnsi="Trebuchet MS" w:cs="Arial"/>
          <w:sz w:val="22"/>
          <w:szCs w:val="22"/>
          <w:lang w:val="lt-LT"/>
        </w:rPr>
        <w:t xml:space="preserve"> perduoda informaciją apie </w:t>
      </w:r>
      <w:r w:rsidR="0054433F" w:rsidRPr="00CC4CE5">
        <w:rPr>
          <w:rFonts w:ascii="Trebuchet MS" w:hAnsi="Trebuchet MS" w:cs="Arial"/>
          <w:sz w:val="22"/>
          <w:szCs w:val="22"/>
          <w:lang w:val="lt-LT"/>
        </w:rPr>
        <w:t>incidento</w:t>
      </w:r>
      <w:r w:rsidR="007B24CC" w:rsidRPr="00CC4CE5">
        <w:rPr>
          <w:rFonts w:ascii="Trebuchet MS" w:hAnsi="Trebuchet MS" w:cs="Arial"/>
          <w:sz w:val="22"/>
          <w:szCs w:val="22"/>
          <w:lang w:val="lt-LT"/>
        </w:rPr>
        <w:t xml:space="preserve"> pašalinimą </w:t>
      </w:r>
      <w:r w:rsidR="0054433F" w:rsidRPr="00CC4CE5">
        <w:rPr>
          <w:rFonts w:ascii="Trebuchet MS" w:hAnsi="Trebuchet MS" w:cs="Arial"/>
          <w:sz w:val="22"/>
          <w:szCs w:val="22"/>
          <w:lang w:val="lt-LT"/>
        </w:rPr>
        <w:t>Pirkėjo</w:t>
      </w:r>
      <w:r w:rsidR="007B24CC" w:rsidRPr="00CC4CE5">
        <w:rPr>
          <w:rFonts w:ascii="Trebuchet MS" w:hAnsi="Trebuchet MS" w:cs="Arial"/>
          <w:sz w:val="22"/>
          <w:szCs w:val="22"/>
          <w:lang w:val="lt-LT"/>
        </w:rPr>
        <w:t xml:space="preserve"> įgaliotiems atstovams.</w:t>
      </w:r>
    </w:p>
    <w:p w14:paraId="05AB06CA" w14:textId="657BB504" w:rsidR="001C4EB3" w:rsidRPr="00CC4CE5" w:rsidRDefault="00E732A3" w:rsidP="00FF3CF8">
      <w:pPr>
        <w:pStyle w:val="ListParagraph"/>
        <w:numPr>
          <w:ilvl w:val="1"/>
          <w:numId w:val="36"/>
        </w:numPr>
        <w:tabs>
          <w:tab w:val="left" w:pos="1701"/>
        </w:tabs>
        <w:spacing w:after="120" w:line="276" w:lineRule="auto"/>
        <w:jc w:val="both"/>
        <w:rPr>
          <w:rFonts w:ascii="Trebuchet MS" w:hAnsi="Trebuchet MS" w:cs="Arial"/>
          <w:sz w:val="22"/>
          <w:szCs w:val="22"/>
          <w:lang w:val="lt-LT"/>
        </w:rPr>
      </w:pPr>
      <w:r w:rsidRPr="00CC4CE5">
        <w:rPr>
          <w:rFonts w:ascii="Trebuchet MS" w:hAnsi="Trebuchet MS" w:cs="Arial"/>
          <w:sz w:val="22"/>
          <w:szCs w:val="22"/>
          <w:lang w:val="lt-LT"/>
        </w:rPr>
        <w:t xml:space="preserve">Konsultavimo temos, trukmės ir jų priėmimo apskaita derinama kiekvienos Pirkėjo organizacijos atskirai su nurodytais atsakingais asmenimis. </w:t>
      </w:r>
      <w:r w:rsidR="001C4EB3" w:rsidRPr="00CC4CE5">
        <w:rPr>
          <w:rFonts w:ascii="Trebuchet MS" w:hAnsi="Trebuchet MS" w:cs="Arial"/>
          <w:sz w:val="22"/>
          <w:szCs w:val="22"/>
          <w:lang w:val="lt-LT"/>
        </w:rPr>
        <w:t>Konsultavimo paslaugos turi būti su</w:t>
      </w:r>
      <w:r w:rsidR="006503E6" w:rsidRPr="00CC4CE5">
        <w:rPr>
          <w:rFonts w:ascii="Trebuchet MS" w:hAnsi="Trebuchet MS" w:cs="Arial"/>
          <w:sz w:val="22"/>
          <w:szCs w:val="22"/>
          <w:lang w:val="lt-LT"/>
        </w:rPr>
        <w:t>teiktos per 10 darbo dienų nuo jų užsakymo momento.</w:t>
      </w:r>
    </w:p>
    <w:p w14:paraId="2249C379" w14:textId="5DCEB845" w:rsidR="00E732A3" w:rsidRPr="00CC4CE5" w:rsidRDefault="00E732A3" w:rsidP="00FF3CF8">
      <w:pPr>
        <w:pStyle w:val="ListParagraph"/>
        <w:numPr>
          <w:ilvl w:val="1"/>
          <w:numId w:val="36"/>
        </w:numPr>
        <w:tabs>
          <w:tab w:val="left" w:pos="1701"/>
        </w:tabs>
        <w:spacing w:after="120" w:line="276" w:lineRule="auto"/>
        <w:jc w:val="both"/>
        <w:rPr>
          <w:rFonts w:ascii="Trebuchet MS" w:hAnsi="Trebuchet MS" w:cs="Arial"/>
          <w:sz w:val="22"/>
          <w:szCs w:val="22"/>
          <w:lang w:val="lt-LT"/>
        </w:rPr>
      </w:pPr>
      <w:r w:rsidRPr="00CC4CE5">
        <w:rPr>
          <w:rFonts w:ascii="Trebuchet MS" w:hAnsi="Trebuchet MS" w:cs="Arial"/>
          <w:sz w:val="22"/>
          <w:szCs w:val="22"/>
          <w:lang w:val="lt-LT"/>
        </w:rPr>
        <w:lastRenderedPageBreak/>
        <w:t xml:space="preserve">Pardavėjas turi užtikrinti, kad </w:t>
      </w:r>
      <w:r w:rsidR="001027EC" w:rsidRPr="00CC4CE5">
        <w:rPr>
          <w:rFonts w:ascii="Trebuchet MS" w:hAnsi="Trebuchet MS" w:cs="Arial"/>
          <w:sz w:val="22"/>
          <w:szCs w:val="22"/>
          <w:lang w:val="lt-LT"/>
        </w:rPr>
        <w:t>perkamai CDE</w:t>
      </w:r>
      <w:r w:rsidRPr="00CC4CE5">
        <w:rPr>
          <w:rFonts w:ascii="Trebuchet MS" w:hAnsi="Trebuchet MS" w:cs="Arial"/>
          <w:sz w:val="22"/>
          <w:szCs w:val="22"/>
          <w:lang w:val="lt-LT"/>
        </w:rPr>
        <w:t xml:space="preserve"> būtų teikiamos naujų versijų (atnaujinimų) ir produkto klaidų ištaisymo paketų („</w:t>
      </w:r>
      <w:proofErr w:type="spellStart"/>
      <w:r w:rsidRPr="00CC4CE5">
        <w:rPr>
          <w:rFonts w:ascii="Trebuchet MS" w:hAnsi="Trebuchet MS" w:cs="Arial"/>
          <w:sz w:val="22"/>
          <w:szCs w:val="22"/>
          <w:lang w:val="lt-LT"/>
        </w:rPr>
        <w:t>hot-fixes</w:t>
      </w:r>
      <w:proofErr w:type="spellEnd"/>
      <w:r w:rsidRPr="00CC4CE5">
        <w:rPr>
          <w:rFonts w:ascii="Trebuchet MS" w:hAnsi="Trebuchet MS" w:cs="Arial"/>
          <w:sz w:val="22"/>
          <w:szCs w:val="22"/>
          <w:lang w:val="lt-LT"/>
        </w:rPr>
        <w:t>“), gamintojo išleistų saugos pataisų pateikimas.</w:t>
      </w:r>
    </w:p>
    <w:p w14:paraId="643D8EB7" w14:textId="61737780" w:rsidR="00BA1C38" w:rsidRPr="00CC4CE5" w:rsidRDefault="00BA1C38" w:rsidP="00BA1C38">
      <w:pPr>
        <w:pStyle w:val="ListParagraph"/>
        <w:numPr>
          <w:ilvl w:val="1"/>
          <w:numId w:val="36"/>
        </w:numPr>
        <w:tabs>
          <w:tab w:val="left" w:pos="1701"/>
        </w:tabs>
        <w:spacing w:line="276" w:lineRule="auto"/>
        <w:ind w:right="23"/>
        <w:jc w:val="both"/>
        <w:rPr>
          <w:rFonts w:ascii="Trebuchet MS" w:hAnsi="Trebuchet MS" w:cs="Arial"/>
          <w:sz w:val="22"/>
          <w:szCs w:val="22"/>
          <w:lang w:val="lt-LT"/>
        </w:rPr>
      </w:pPr>
      <w:r w:rsidRPr="00CC4CE5">
        <w:rPr>
          <w:rFonts w:ascii="Trebuchet MS" w:hAnsi="Trebuchet MS" w:cs="Arial"/>
          <w:sz w:val="22"/>
          <w:szCs w:val="22"/>
          <w:lang w:val="lt-LT"/>
        </w:rPr>
        <w:t>Pardavėjas turi užtikrinti, kad</w:t>
      </w:r>
      <w:r w:rsidR="00193B9B" w:rsidRPr="00CC4CE5">
        <w:rPr>
          <w:rFonts w:ascii="Trebuchet MS" w:hAnsi="Trebuchet MS" w:cs="Arial"/>
          <w:sz w:val="22"/>
          <w:szCs w:val="22"/>
          <w:lang w:val="lt-LT"/>
        </w:rPr>
        <w:t xml:space="preserve"> gamintojo</w:t>
      </w:r>
      <w:r w:rsidRPr="00CC4CE5">
        <w:rPr>
          <w:rFonts w:ascii="Trebuchet MS" w:hAnsi="Trebuchet MS" w:cs="Arial"/>
          <w:sz w:val="22"/>
          <w:szCs w:val="22"/>
          <w:lang w:val="lt-LT"/>
        </w:rPr>
        <w:t xml:space="preserve">  atnaujintas funkcionalumas nesutrikdytų </w:t>
      </w:r>
      <w:r w:rsidR="00C970D8" w:rsidRPr="00CC4CE5">
        <w:rPr>
          <w:rFonts w:ascii="Trebuchet MS" w:hAnsi="Trebuchet MS" w:cs="Arial"/>
          <w:sz w:val="22"/>
          <w:szCs w:val="22"/>
          <w:lang w:val="lt-LT"/>
        </w:rPr>
        <w:t>CDE</w:t>
      </w:r>
      <w:r w:rsidRPr="00CC4CE5">
        <w:rPr>
          <w:rFonts w:ascii="Trebuchet MS" w:hAnsi="Trebuchet MS" w:cs="Arial"/>
          <w:sz w:val="22"/>
          <w:szCs w:val="22"/>
          <w:lang w:val="lt-LT"/>
        </w:rPr>
        <w:t xml:space="preserve"> esančio funkcionalumo, neapribotų prieigų ir talpinamų duomenų saugumo. </w:t>
      </w:r>
    </w:p>
    <w:p w14:paraId="357035A5" w14:textId="38A6AC67" w:rsidR="00BA1C38" w:rsidRPr="00CC4CE5" w:rsidRDefault="00F528D9" w:rsidP="00FF3CF8">
      <w:pPr>
        <w:pStyle w:val="ListParagraph"/>
        <w:numPr>
          <w:ilvl w:val="1"/>
          <w:numId w:val="36"/>
        </w:numPr>
        <w:tabs>
          <w:tab w:val="left" w:pos="1701"/>
        </w:tabs>
        <w:spacing w:after="120" w:line="276" w:lineRule="auto"/>
        <w:jc w:val="both"/>
        <w:rPr>
          <w:rFonts w:ascii="Trebuchet MS" w:hAnsi="Trebuchet MS" w:cs="Arial"/>
          <w:sz w:val="22"/>
          <w:szCs w:val="22"/>
          <w:lang w:val="lt-LT"/>
        </w:rPr>
      </w:pPr>
      <w:r w:rsidRPr="00CC4CE5">
        <w:rPr>
          <w:rFonts w:ascii="Trebuchet MS" w:hAnsi="Trebuchet MS" w:cs="Arial"/>
          <w:sz w:val="22"/>
          <w:szCs w:val="22"/>
          <w:lang w:val="lt-LT"/>
        </w:rPr>
        <w:t>T</w:t>
      </w:r>
      <w:r w:rsidR="00231311" w:rsidRPr="00CC4CE5">
        <w:rPr>
          <w:rFonts w:ascii="Trebuchet MS" w:hAnsi="Trebuchet MS" w:cs="Arial"/>
          <w:sz w:val="22"/>
          <w:szCs w:val="22"/>
          <w:lang w:val="lt-LT"/>
        </w:rPr>
        <w:t>uri</w:t>
      </w:r>
      <w:r w:rsidRPr="00CC4CE5">
        <w:rPr>
          <w:rFonts w:ascii="Trebuchet MS" w:hAnsi="Trebuchet MS" w:cs="Arial"/>
          <w:sz w:val="22"/>
          <w:szCs w:val="22"/>
          <w:lang w:val="lt-LT"/>
        </w:rPr>
        <w:t xml:space="preserve"> būti</w:t>
      </w:r>
      <w:r w:rsidR="00231311" w:rsidRPr="00CC4CE5">
        <w:rPr>
          <w:rFonts w:ascii="Trebuchet MS" w:hAnsi="Trebuchet MS" w:cs="Arial"/>
          <w:sz w:val="22"/>
          <w:szCs w:val="22"/>
          <w:lang w:val="lt-LT"/>
        </w:rPr>
        <w:t xml:space="preserve"> užtikrint</w:t>
      </w:r>
      <w:r w:rsidRPr="00CC4CE5">
        <w:rPr>
          <w:rFonts w:ascii="Trebuchet MS" w:hAnsi="Trebuchet MS" w:cs="Arial"/>
          <w:sz w:val="22"/>
          <w:szCs w:val="22"/>
          <w:lang w:val="lt-LT"/>
        </w:rPr>
        <w:t>as</w:t>
      </w:r>
      <w:r w:rsidR="00231311" w:rsidRPr="00CC4CE5">
        <w:rPr>
          <w:rFonts w:ascii="Trebuchet MS" w:hAnsi="Trebuchet MS" w:cs="Arial"/>
          <w:sz w:val="22"/>
          <w:szCs w:val="22"/>
          <w:lang w:val="lt-LT"/>
        </w:rPr>
        <w:t xml:space="preserve"> </w:t>
      </w:r>
      <w:r w:rsidR="000D56FB" w:rsidRPr="00CC4CE5">
        <w:rPr>
          <w:rFonts w:ascii="Trebuchet MS" w:hAnsi="Trebuchet MS" w:cs="Arial"/>
          <w:sz w:val="22"/>
          <w:szCs w:val="22"/>
          <w:lang w:val="lt-LT"/>
        </w:rPr>
        <w:t xml:space="preserve">ENTRA ID </w:t>
      </w:r>
      <w:r w:rsidR="00CF7F98" w:rsidRPr="00CC4CE5">
        <w:rPr>
          <w:rFonts w:ascii="Trebuchet MS" w:hAnsi="Trebuchet MS" w:cs="Arial"/>
          <w:sz w:val="22"/>
          <w:szCs w:val="22"/>
          <w:lang w:val="lt-LT"/>
        </w:rPr>
        <w:t>funkcionalumo veikim</w:t>
      </w:r>
      <w:r w:rsidR="00C21967" w:rsidRPr="00CC4CE5">
        <w:rPr>
          <w:rFonts w:ascii="Trebuchet MS" w:hAnsi="Trebuchet MS" w:cs="Arial"/>
          <w:sz w:val="22"/>
          <w:szCs w:val="22"/>
          <w:lang w:val="lt-LT"/>
        </w:rPr>
        <w:t>as</w:t>
      </w:r>
      <w:r w:rsidR="00CF7F98" w:rsidRPr="00CC4CE5">
        <w:rPr>
          <w:rFonts w:ascii="Trebuchet MS" w:hAnsi="Trebuchet MS" w:cs="Arial"/>
          <w:sz w:val="22"/>
          <w:szCs w:val="22"/>
          <w:lang w:val="lt-LT"/>
        </w:rPr>
        <w:t xml:space="preserve"> </w:t>
      </w:r>
      <w:r w:rsidR="00AF2571" w:rsidRPr="00CC4CE5">
        <w:rPr>
          <w:rFonts w:ascii="Trebuchet MS" w:hAnsi="Trebuchet MS" w:cs="Arial"/>
          <w:sz w:val="22"/>
          <w:szCs w:val="22"/>
          <w:lang w:val="lt-LT"/>
        </w:rPr>
        <w:t>autentifikuojant vartotojus</w:t>
      </w:r>
      <w:r w:rsidR="00C21967" w:rsidRPr="00CC4CE5">
        <w:rPr>
          <w:rFonts w:ascii="Trebuchet MS" w:hAnsi="Trebuchet MS" w:cs="Arial"/>
          <w:sz w:val="22"/>
          <w:szCs w:val="22"/>
          <w:lang w:val="lt-LT"/>
        </w:rPr>
        <w:t>, vartotojai turi būti unikaliai identifikuoti</w:t>
      </w:r>
      <w:r w:rsidR="00AF2571" w:rsidRPr="00CC4CE5">
        <w:rPr>
          <w:rFonts w:ascii="Trebuchet MS" w:hAnsi="Trebuchet MS" w:cs="Arial"/>
          <w:sz w:val="22"/>
          <w:szCs w:val="22"/>
          <w:lang w:val="lt-LT"/>
        </w:rPr>
        <w:t>.</w:t>
      </w:r>
    </w:p>
    <w:p w14:paraId="495BBBCA" w14:textId="65AC668A" w:rsidR="00AF2571" w:rsidRDefault="00C970D8" w:rsidP="00FF3CF8">
      <w:pPr>
        <w:pStyle w:val="ListParagraph"/>
        <w:numPr>
          <w:ilvl w:val="1"/>
          <w:numId w:val="36"/>
        </w:numPr>
        <w:tabs>
          <w:tab w:val="left" w:pos="1701"/>
        </w:tabs>
        <w:spacing w:after="120" w:line="276" w:lineRule="auto"/>
        <w:jc w:val="both"/>
        <w:rPr>
          <w:rFonts w:ascii="Trebuchet MS" w:hAnsi="Trebuchet MS" w:cs="Arial"/>
          <w:sz w:val="22"/>
          <w:szCs w:val="22"/>
          <w:lang w:val="lt-LT"/>
        </w:rPr>
      </w:pPr>
      <w:r w:rsidRPr="00CC4CE5">
        <w:rPr>
          <w:rFonts w:ascii="Trebuchet MS" w:hAnsi="Trebuchet MS" w:cs="Arial"/>
          <w:sz w:val="22"/>
          <w:szCs w:val="22"/>
          <w:lang w:val="lt-LT"/>
        </w:rPr>
        <w:t>CDE</w:t>
      </w:r>
      <w:r w:rsidR="007F059E" w:rsidRPr="00CC4CE5">
        <w:rPr>
          <w:rFonts w:ascii="Trebuchet MS" w:hAnsi="Trebuchet MS" w:cs="Arial"/>
          <w:sz w:val="22"/>
          <w:szCs w:val="22"/>
          <w:lang w:val="lt-LT"/>
        </w:rPr>
        <w:t xml:space="preserve"> naudojimasis turi būti palaikomas </w:t>
      </w:r>
      <w:r w:rsidR="007717D6" w:rsidRPr="00CC4CE5">
        <w:rPr>
          <w:rFonts w:ascii="Trebuchet MS" w:hAnsi="Trebuchet MS" w:cs="Arial"/>
          <w:sz w:val="22"/>
          <w:szCs w:val="22"/>
          <w:lang w:val="lt-LT"/>
        </w:rPr>
        <w:t>iš naršyklių Microsoft</w:t>
      </w:r>
      <w:r w:rsidR="00453385" w:rsidRPr="00CC4CE5">
        <w:rPr>
          <w:rFonts w:ascii="Trebuchet MS" w:hAnsi="Trebuchet MS" w:cs="Arial"/>
          <w:sz w:val="22"/>
          <w:szCs w:val="22"/>
          <w:lang w:val="lt-LT"/>
        </w:rPr>
        <w:t xml:space="preserve"> </w:t>
      </w:r>
      <w:proofErr w:type="spellStart"/>
      <w:r w:rsidR="00453385" w:rsidRPr="00CC4CE5">
        <w:rPr>
          <w:rFonts w:ascii="Trebuchet MS" w:hAnsi="Trebuchet MS" w:cs="Arial"/>
          <w:sz w:val="22"/>
          <w:szCs w:val="22"/>
          <w:lang w:val="lt-LT"/>
        </w:rPr>
        <w:t>Edge</w:t>
      </w:r>
      <w:proofErr w:type="spellEnd"/>
      <w:r w:rsidR="00453385" w:rsidRPr="00CC4CE5">
        <w:rPr>
          <w:rFonts w:ascii="Trebuchet MS" w:hAnsi="Trebuchet MS" w:cs="Arial"/>
          <w:sz w:val="22"/>
          <w:szCs w:val="22"/>
          <w:lang w:val="lt-LT"/>
        </w:rPr>
        <w:t>, Google Chrome, Mozilla Firefox, Apple Safari. Naudoj</w:t>
      </w:r>
      <w:r w:rsidR="004F12F1" w:rsidRPr="00CC4CE5">
        <w:rPr>
          <w:rFonts w:ascii="Trebuchet MS" w:hAnsi="Trebuchet MS" w:cs="Arial"/>
          <w:sz w:val="22"/>
          <w:szCs w:val="22"/>
          <w:lang w:val="lt-LT"/>
        </w:rPr>
        <w:t>antis</w:t>
      </w:r>
      <w:r w:rsidR="00453385" w:rsidRPr="00CC4CE5">
        <w:rPr>
          <w:rFonts w:ascii="Trebuchet MS" w:hAnsi="Trebuchet MS" w:cs="Arial"/>
          <w:sz w:val="22"/>
          <w:szCs w:val="22"/>
          <w:lang w:val="lt-LT"/>
        </w:rPr>
        <w:t xml:space="preserve"> </w:t>
      </w:r>
      <w:r w:rsidRPr="00CC4CE5">
        <w:rPr>
          <w:rFonts w:ascii="Trebuchet MS" w:hAnsi="Trebuchet MS" w:cs="Arial"/>
          <w:sz w:val="22"/>
          <w:szCs w:val="22"/>
          <w:lang w:val="lt-LT"/>
        </w:rPr>
        <w:t>CDE,</w:t>
      </w:r>
      <w:r w:rsidR="00B46C1B" w:rsidRPr="00CC4CE5">
        <w:rPr>
          <w:rFonts w:ascii="Trebuchet MS" w:hAnsi="Trebuchet MS" w:cs="Arial"/>
          <w:sz w:val="22"/>
          <w:szCs w:val="22"/>
          <w:lang w:val="lt-LT"/>
        </w:rPr>
        <w:t xml:space="preserve"> saugi </w:t>
      </w:r>
      <w:r w:rsidR="003F23FF" w:rsidRPr="00CC4CE5">
        <w:rPr>
          <w:rFonts w:ascii="Trebuchet MS" w:hAnsi="Trebuchet MS" w:cs="Arial"/>
          <w:sz w:val="22"/>
          <w:szCs w:val="22"/>
          <w:lang w:val="lt-LT"/>
        </w:rPr>
        <w:t>autentifikacija</w:t>
      </w:r>
      <w:r w:rsidR="00D43AA6" w:rsidRPr="00CC4CE5">
        <w:rPr>
          <w:rFonts w:ascii="Trebuchet MS" w:hAnsi="Trebuchet MS" w:cs="Arial"/>
          <w:sz w:val="22"/>
          <w:szCs w:val="22"/>
          <w:lang w:val="lt-LT"/>
        </w:rPr>
        <w:t xml:space="preserve"> turi būti palaikoma iš mobilių įrenginių.</w:t>
      </w:r>
    </w:p>
    <w:p w14:paraId="48FB7458" w14:textId="0480ED52" w:rsidR="009D2092" w:rsidRPr="00CC4CE5" w:rsidRDefault="009D2092" w:rsidP="00FF3CF8">
      <w:pPr>
        <w:pStyle w:val="ListParagraph"/>
        <w:numPr>
          <w:ilvl w:val="1"/>
          <w:numId w:val="36"/>
        </w:numPr>
        <w:tabs>
          <w:tab w:val="left" w:pos="1701"/>
        </w:tabs>
        <w:spacing w:after="120" w:line="276" w:lineRule="auto"/>
        <w:jc w:val="both"/>
        <w:rPr>
          <w:rFonts w:ascii="Trebuchet MS" w:hAnsi="Trebuchet MS" w:cs="Arial"/>
          <w:sz w:val="22"/>
          <w:szCs w:val="22"/>
          <w:lang w:val="lt-LT"/>
        </w:rPr>
      </w:pPr>
      <w:r>
        <w:rPr>
          <w:rFonts w:ascii="Trebuchet MS" w:hAnsi="Trebuchet MS" w:cs="Arial"/>
          <w:sz w:val="22"/>
          <w:szCs w:val="22"/>
          <w:lang w:val="lt-LT"/>
        </w:rPr>
        <w:t xml:space="preserve">Visi kiekiai, pateikti 1-4 prieduose </w:t>
      </w:r>
      <w:r w:rsidR="00555E20">
        <w:rPr>
          <w:rFonts w:ascii="Trebuchet MS" w:hAnsi="Trebuchet MS" w:cs="Arial"/>
          <w:sz w:val="22"/>
          <w:szCs w:val="22"/>
          <w:lang w:val="lt-LT"/>
        </w:rPr>
        <w:t xml:space="preserve">apima vienos įmonės poreikį. </w:t>
      </w:r>
    </w:p>
    <w:p w14:paraId="0F8F9E93" w14:textId="77777777" w:rsidR="007B24CC" w:rsidRPr="00CC4CE5" w:rsidRDefault="007B24CC" w:rsidP="007B24CC">
      <w:pPr>
        <w:pStyle w:val="ListParagraph"/>
        <w:spacing w:after="120" w:line="240" w:lineRule="atLeast"/>
        <w:ind w:left="1418"/>
        <w:rPr>
          <w:rFonts w:ascii="Trebuchet MS" w:hAnsi="Trebuchet MS" w:cs="Arial"/>
          <w:sz w:val="22"/>
          <w:szCs w:val="22"/>
          <w:lang w:val="lt-LT"/>
        </w:rPr>
      </w:pPr>
    </w:p>
    <w:p w14:paraId="53446C62" w14:textId="77777777" w:rsidR="00193B9B" w:rsidRPr="00CC4CE5" w:rsidRDefault="00193B9B" w:rsidP="007B24CC">
      <w:pPr>
        <w:pStyle w:val="ListParagraph"/>
        <w:spacing w:after="120" w:line="240" w:lineRule="atLeast"/>
        <w:rPr>
          <w:rFonts w:ascii="Trebuchet MS" w:hAnsi="Trebuchet MS" w:cs="Arial"/>
          <w:sz w:val="22"/>
          <w:szCs w:val="22"/>
          <w:lang w:val="lt-LT"/>
        </w:rPr>
      </w:pPr>
    </w:p>
    <w:p w14:paraId="459AFE16" w14:textId="77777777" w:rsidR="002475DB" w:rsidRPr="00CC4CE5" w:rsidRDefault="002475DB" w:rsidP="002475DB">
      <w:pPr>
        <w:pStyle w:val="ListParagraph"/>
        <w:tabs>
          <w:tab w:val="left" w:pos="851"/>
          <w:tab w:val="left" w:pos="1701"/>
        </w:tabs>
        <w:spacing w:after="120" w:line="276" w:lineRule="auto"/>
        <w:ind w:left="792"/>
        <w:jc w:val="both"/>
        <w:rPr>
          <w:rFonts w:ascii="Trebuchet MS" w:hAnsi="Trebuchet MS" w:cs="Arial"/>
          <w:sz w:val="22"/>
          <w:szCs w:val="22"/>
          <w:lang w:val="lt-LT"/>
        </w:rPr>
      </w:pPr>
    </w:p>
    <w:p w14:paraId="76C236DD" w14:textId="77777777" w:rsidR="002475DB" w:rsidRPr="00CC4CE5" w:rsidRDefault="002475DB" w:rsidP="002475DB">
      <w:pPr>
        <w:pStyle w:val="ListParagraph"/>
        <w:tabs>
          <w:tab w:val="left" w:pos="851"/>
          <w:tab w:val="left" w:pos="1701"/>
        </w:tabs>
        <w:spacing w:after="120" w:line="276" w:lineRule="auto"/>
        <w:ind w:left="792"/>
        <w:jc w:val="both"/>
        <w:rPr>
          <w:rFonts w:ascii="Trebuchet MS" w:hAnsi="Trebuchet MS" w:cs="Arial"/>
          <w:sz w:val="22"/>
          <w:szCs w:val="22"/>
          <w:lang w:val="lt-LT"/>
        </w:rPr>
      </w:pPr>
    </w:p>
    <w:p w14:paraId="7EA71BC4" w14:textId="4C07157E" w:rsidR="00B328A7" w:rsidRPr="00CC4CE5" w:rsidRDefault="00B328A7">
      <w:pPr>
        <w:rPr>
          <w:rFonts w:ascii="Trebuchet MS" w:hAnsi="Trebuchet MS"/>
          <w:b/>
          <w:bCs/>
          <w:sz w:val="28"/>
          <w:szCs w:val="28"/>
          <w:lang w:val="lt-LT"/>
        </w:rPr>
      </w:pPr>
      <w:r w:rsidRPr="00CC4CE5">
        <w:rPr>
          <w:rFonts w:ascii="Trebuchet MS" w:hAnsi="Trebuchet MS"/>
          <w:b/>
          <w:bCs/>
          <w:sz w:val="28"/>
          <w:szCs w:val="28"/>
          <w:lang w:val="lt-LT"/>
        </w:rPr>
        <w:br w:type="page"/>
      </w:r>
    </w:p>
    <w:p w14:paraId="327358E2" w14:textId="77777777" w:rsidR="003012AE" w:rsidRPr="00CC4CE5" w:rsidRDefault="003012AE" w:rsidP="00980C5B">
      <w:pPr>
        <w:spacing w:line="276" w:lineRule="auto"/>
        <w:rPr>
          <w:rFonts w:ascii="Trebuchet MS" w:hAnsi="Trebuchet MS"/>
          <w:b/>
          <w:bCs/>
          <w:sz w:val="22"/>
          <w:szCs w:val="22"/>
          <w:lang w:val="lt-LT"/>
        </w:rPr>
        <w:sectPr w:rsidR="003012AE" w:rsidRPr="00CC4CE5" w:rsidSect="00B56DCA">
          <w:headerReference w:type="even" r:id="rId11"/>
          <w:headerReference w:type="default" r:id="rId12"/>
          <w:footerReference w:type="even" r:id="rId13"/>
          <w:footerReference w:type="default" r:id="rId14"/>
          <w:pgSz w:w="11906" w:h="16838"/>
          <w:pgMar w:top="1134" w:right="1106" w:bottom="567" w:left="1134" w:header="709" w:footer="709" w:gutter="0"/>
          <w:cols w:space="708"/>
          <w:docGrid w:linePitch="360"/>
        </w:sectPr>
      </w:pPr>
    </w:p>
    <w:p w14:paraId="46D06D19" w14:textId="5816200E" w:rsidR="002475DB" w:rsidRPr="00CC4CE5" w:rsidRDefault="00B328A7" w:rsidP="00980C5B">
      <w:pPr>
        <w:spacing w:line="276" w:lineRule="auto"/>
        <w:rPr>
          <w:rFonts w:ascii="Trebuchet MS" w:hAnsi="Trebuchet MS"/>
          <w:b/>
          <w:bCs/>
          <w:sz w:val="22"/>
          <w:szCs w:val="22"/>
          <w:lang w:val="lt-LT"/>
        </w:rPr>
      </w:pPr>
      <w:r w:rsidRPr="00CC4CE5">
        <w:rPr>
          <w:rFonts w:ascii="Trebuchet MS" w:hAnsi="Trebuchet MS"/>
          <w:b/>
          <w:bCs/>
          <w:sz w:val="22"/>
          <w:szCs w:val="22"/>
          <w:lang w:val="lt-LT"/>
        </w:rPr>
        <w:lastRenderedPageBreak/>
        <w:t xml:space="preserve">1 Priedas. </w:t>
      </w:r>
      <w:r w:rsidR="00980C5B" w:rsidRPr="00CC4CE5">
        <w:rPr>
          <w:rFonts w:ascii="Trebuchet MS" w:hAnsi="Trebuchet MS"/>
          <w:b/>
          <w:bCs/>
          <w:sz w:val="22"/>
          <w:szCs w:val="22"/>
          <w:lang w:val="lt-LT"/>
        </w:rPr>
        <w:t>CDE techninės specifikacijos</w:t>
      </w:r>
    </w:p>
    <w:p w14:paraId="2EB0FC86" w14:textId="27A8B012" w:rsidR="00980C5B" w:rsidRPr="00CC4CE5" w:rsidRDefault="00212625" w:rsidP="00212625">
      <w:pPr>
        <w:spacing w:line="276" w:lineRule="auto"/>
        <w:jc w:val="both"/>
        <w:rPr>
          <w:rFonts w:ascii="Trebuchet MS" w:hAnsi="Trebuchet MS"/>
          <w:sz w:val="22"/>
          <w:szCs w:val="22"/>
          <w:lang w:val="lt-LT"/>
        </w:rPr>
      </w:pPr>
      <w:r w:rsidRPr="00CC4CE5">
        <w:rPr>
          <w:rFonts w:ascii="Trebuchet MS" w:hAnsi="Trebuchet MS"/>
          <w:sz w:val="22"/>
          <w:szCs w:val="22"/>
          <w:lang w:val="lt-LT"/>
        </w:rPr>
        <w:t>Šiame skyriuje nustatyti minimalūs privalomi CDE funkciniai reikalavimai. Funkcionalumas gali būti realizuotas vienu ar keliais tarpusavyje integruotais siūlomos CDE komponentais. Visos licencijos, moduliai ar kiti programinės įrangos komponentai, būtini šiame skyriuje nustatytam funkcionalumui užtikrinti, turi būti įtraukti į pasiūlymo kainą ir prieinami visą Sutarties galiojimo laikotarpį.</w:t>
      </w:r>
    </w:p>
    <w:tbl>
      <w:tblPr>
        <w:tblW w:w="15163" w:type="dxa"/>
        <w:tblLook w:val="04A0" w:firstRow="1" w:lastRow="0" w:firstColumn="1" w:lastColumn="0" w:noHBand="0" w:noVBand="1"/>
      </w:tblPr>
      <w:tblGrid>
        <w:gridCol w:w="960"/>
        <w:gridCol w:w="2360"/>
        <w:gridCol w:w="4760"/>
        <w:gridCol w:w="3255"/>
        <w:gridCol w:w="3828"/>
      </w:tblGrid>
      <w:tr w:rsidR="00CC0268" w:rsidRPr="00CC4CE5" w14:paraId="385705EA" w14:textId="77777777" w:rsidTr="003012AE">
        <w:trPr>
          <w:trHeight w:val="290"/>
        </w:trPr>
        <w:tc>
          <w:tcPr>
            <w:tcW w:w="960" w:type="dxa"/>
            <w:tcBorders>
              <w:top w:val="single" w:sz="4" w:space="0" w:color="auto"/>
              <w:left w:val="single" w:sz="4" w:space="0" w:color="auto"/>
              <w:bottom w:val="single" w:sz="4" w:space="0" w:color="auto"/>
              <w:right w:val="single" w:sz="4" w:space="0" w:color="auto"/>
            </w:tcBorders>
            <w:vAlign w:val="center"/>
            <w:hideMark/>
          </w:tcPr>
          <w:p w14:paraId="79207018" w14:textId="77777777" w:rsidR="00CC0268" w:rsidRPr="00CC4CE5" w:rsidRDefault="00CC0268">
            <w:pPr>
              <w:jc w:val="center"/>
              <w:rPr>
                <w:rFonts w:ascii="Aptos Narrow" w:hAnsi="Aptos Narrow"/>
                <w:b/>
                <w:bCs/>
                <w:color w:val="000000"/>
                <w:sz w:val="22"/>
                <w:szCs w:val="22"/>
                <w:lang w:val="lt-LT" w:eastAsia="lt-LT"/>
              </w:rPr>
            </w:pPr>
            <w:r w:rsidRPr="00CC4CE5">
              <w:rPr>
                <w:rFonts w:ascii="Aptos Narrow" w:hAnsi="Aptos Narrow"/>
                <w:b/>
                <w:bCs/>
                <w:color w:val="000000"/>
                <w:sz w:val="22"/>
                <w:szCs w:val="22"/>
                <w:lang w:val="lt-LT"/>
              </w:rPr>
              <w:t>Nr.</w:t>
            </w:r>
          </w:p>
        </w:tc>
        <w:tc>
          <w:tcPr>
            <w:tcW w:w="2360" w:type="dxa"/>
            <w:tcBorders>
              <w:top w:val="single" w:sz="4" w:space="0" w:color="auto"/>
              <w:left w:val="nil"/>
              <w:bottom w:val="single" w:sz="4" w:space="0" w:color="auto"/>
              <w:right w:val="single" w:sz="4" w:space="0" w:color="auto"/>
            </w:tcBorders>
            <w:vAlign w:val="center"/>
            <w:hideMark/>
          </w:tcPr>
          <w:p w14:paraId="6C7930B8" w14:textId="77777777" w:rsidR="00CC0268" w:rsidRPr="00CC4CE5" w:rsidRDefault="00CC0268">
            <w:pPr>
              <w:jc w:val="center"/>
              <w:rPr>
                <w:rFonts w:ascii="Aptos Narrow" w:hAnsi="Aptos Narrow"/>
                <w:b/>
                <w:bCs/>
                <w:color w:val="000000"/>
                <w:sz w:val="22"/>
                <w:szCs w:val="22"/>
                <w:lang w:val="lt-LT"/>
              </w:rPr>
            </w:pPr>
            <w:r w:rsidRPr="00CC4CE5">
              <w:rPr>
                <w:rFonts w:ascii="Aptos Narrow" w:hAnsi="Aptos Narrow"/>
                <w:b/>
                <w:bCs/>
                <w:color w:val="000000"/>
                <w:sz w:val="22"/>
                <w:szCs w:val="22"/>
                <w:lang w:val="lt-LT"/>
              </w:rPr>
              <w:t>Funkcionalumo sritis</w:t>
            </w:r>
          </w:p>
        </w:tc>
        <w:tc>
          <w:tcPr>
            <w:tcW w:w="4760" w:type="dxa"/>
            <w:tcBorders>
              <w:top w:val="single" w:sz="4" w:space="0" w:color="auto"/>
              <w:left w:val="nil"/>
              <w:bottom w:val="single" w:sz="4" w:space="0" w:color="auto"/>
              <w:right w:val="single" w:sz="4" w:space="0" w:color="auto"/>
            </w:tcBorders>
            <w:vAlign w:val="center"/>
            <w:hideMark/>
          </w:tcPr>
          <w:p w14:paraId="004EF843" w14:textId="77777777" w:rsidR="00CC0268" w:rsidRPr="00CC4CE5" w:rsidRDefault="00CC0268">
            <w:pPr>
              <w:jc w:val="center"/>
              <w:rPr>
                <w:rFonts w:ascii="Aptos Narrow" w:hAnsi="Aptos Narrow"/>
                <w:b/>
                <w:bCs/>
                <w:color w:val="000000"/>
                <w:sz w:val="22"/>
                <w:szCs w:val="22"/>
                <w:lang w:val="lt-LT"/>
              </w:rPr>
            </w:pPr>
            <w:r w:rsidRPr="00CC4CE5">
              <w:rPr>
                <w:rFonts w:ascii="Aptos Narrow" w:hAnsi="Aptos Narrow"/>
                <w:b/>
                <w:bCs/>
                <w:color w:val="000000"/>
                <w:sz w:val="22"/>
                <w:szCs w:val="22"/>
                <w:lang w:val="lt-LT"/>
              </w:rPr>
              <w:t>Reikalavimas</w:t>
            </w:r>
          </w:p>
        </w:tc>
        <w:tc>
          <w:tcPr>
            <w:tcW w:w="3255" w:type="dxa"/>
            <w:tcBorders>
              <w:top w:val="single" w:sz="4" w:space="0" w:color="auto"/>
              <w:left w:val="nil"/>
              <w:bottom w:val="single" w:sz="4" w:space="0" w:color="auto"/>
              <w:right w:val="single" w:sz="4" w:space="0" w:color="auto"/>
            </w:tcBorders>
            <w:vAlign w:val="center"/>
            <w:hideMark/>
          </w:tcPr>
          <w:p w14:paraId="7096C7BA" w14:textId="77777777" w:rsidR="00CC0268" w:rsidRPr="00CC4CE5" w:rsidRDefault="00CC0268">
            <w:pPr>
              <w:jc w:val="center"/>
              <w:rPr>
                <w:rFonts w:ascii="Aptos Narrow" w:hAnsi="Aptos Narrow"/>
                <w:b/>
                <w:bCs/>
                <w:color w:val="000000"/>
                <w:sz w:val="22"/>
                <w:szCs w:val="22"/>
                <w:lang w:val="lt-LT"/>
              </w:rPr>
            </w:pPr>
            <w:r w:rsidRPr="00CC4CE5">
              <w:rPr>
                <w:rFonts w:ascii="Aptos Narrow" w:hAnsi="Aptos Narrow"/>
                <w:b/>
                <w:bCs/>
                <w:color w:val="000000"/>
                <w:sz w:val="22"/>
                <w:szCs w:val="22"/>
                <w:lang w:val="lt-LT"/>
              </w:rPr>
              <w:t>Funkcionalumo apimtis</w:t>
            </w:r>
          </w:p>
        </w:tc>
        <w:tc>
          <w:tcPr>
            <w:tcW w:w="3828" w:type="dxa"/>
            <w:tcBorders>
              <w:top w:val="single" w:sz="4" w:space="0" w:color="auto"/>
              <w:left w:val="nil"/>
              <w:bottom w:val="single" w:sz="4" w:space="0" w:color="auto"/>
              <w:right w:val="single" w:sz="4" w:space="0" w:color="auto"/>
            </w:tcBorders>
            <w:vAlign w:val="center"/>
            <w:hideMark/>
          </w:tcPr>
          <w:p w14:paraId="63791CE9" w14:textId="77777777" w:rsidR="00CC0268" w:rsidRPr="00CC4CE5" w:rsidRDefault="00CC0268">
            <w:pPr>
              <w:jc w:val="center"/>
              <w:rPr>
                <w:rFonts w:ascii="Aptos Narrow" w:hAnsi="Aptos Narrow"/>
                <w:b/>
                <w:bCs/>
                <w:color w:val="000000"/>
                <w:sz w:val="22"/>
                <w:szCs w:val="22"/>
                <w:lang w:val="lt-LT"/>
              </w:rPr>
            </w:pPr>
            <w:r w:rsidRPr="00CC4CE5">
              <w:rPr>
                <w:rFonts w:ascii="Aptos Narrow" w:hAnsi="Aptos Narrow"/>
                <w:b/>
                <w:bCs/>
                <w:color w:val="000000"/>
                <w:sz w:val="22"/>
                <w:szCs w:val="22"/>
                <w:lang w:val="lt-LT"/>
              </w:rPr>
              <w:t>Priėmimo kriterijus</w:t>
            </w:r>
          </w:p>
        </w:tc>
      </w:tr>
      <w:tr w:rsidR="006C5C46" w:rsidRPr="005A629B" w14:paraId="2926ABDE" w14:textId="77777777" w:rsidTr="003012AE">
        <w:trPr>
          <w:trHeight w:val="1740"/>
        </w:trPr>
        <w:tc>
          <w:tcPr>
            <w:tcW w:w="960" w:type="dxa"/>
            <w:tcBorders>
              <w:top w:val="nil"/>
              <w:left w:val="single" w:sz="4" w:space="0" w:color="auto"/>
              <w:bottom w:val="single" w:sz="4" w:space="0" w:color="auto"/>
              <w:right w:val="single" w:sz="4" w:space="0" w:color="auto"/>
            </w:tcBorders>
            <w:vAlign w:val="center"/>
          </w:tcPr>
          <w:p w14:paraId="383EE7C1" w14:textId="6999A7BA" w:rsidR="006C5C46" w:rsidRPr="00CC4CE5" w:rsidRDefault="00CC4CE5">
            <w:pPr>
              <w:rPr>
                <w:rFonts w:ascii="Aptos Narrow" w:hAnsi="Aptos Narrow"/>
                <w:b/>
                <w:bCs/>
                <w:color w:val="000000"/>
                <w:sz w:val="22"/>
                <w:szCs w:val="22"/>
                <w:lang w:val="lt-LT"/>
              </w:rPr>
            </w:pPr>
            <w:r w:rsidRPr="00CC4CE5">
              <w:rPr>
                <w:rFonts w:ascii="Aptos Narrow" w:hAnsi="Aptos Narrow"/>
                <w:b/>
                <w:bCs/>
                <w:color w:val="000000"/>
                <w:sz w:val="22"/>
                <w:szCs w:val="22"/>
                <w:lang w:val="lt-LT"/>
              </w:rPr>
              <w:t>1.0</w:t>
            </w:r>
          </w:p>
        </w:tc>
        <w:tc>
          <w:tcPr>
            <w:tcW w:w="2360" w:type="dxa"/>
            <w:tcBorders>
              <w:top w:val="nil"/>
              <w:left w:val="nil"/>
              <w:bottom w:val="single" w:sz="4" w:space="0" w:color="auto"/>
              <w:right w:val="single" w:sz="4" w:space="0" w:color="auto"/>
            </w:tcBorders>
            <w:vAlign w:val="center"/>
          </w:tcPr>
          <w:p w14:paraId="604D9EAB" w14:textId="03062C77" w:rsidR="006C5C46" w:rsidRPr="00CC4CE5" w:rsidRDefault="00CC4CE5">
            <w:pPr>
              <w:rPr>
                <w:rFonts w:ascii="Aptos Narrow" w:hAnsi="Aptos Narrow"/>
                <w:b/>
                <w:bCs/>
                <w:color w:val="000000"/>
                <w:sz w:val="22"/>
                <w:szCs w:val="22"/>
                <w:lang w:val="lt-LT"/>
              </w:rPr>
            </w:pPr>
            <w:r w:rsidRPr="00CC4CE5">
              <w:rPr>
                <w:rFonts w:ascii="Aptos Narrow" w:hAnsi="Aptos Narrow"/>
                <w:b/>
                <w:bCs/>
                <w:color w:val="000000"/>
                <w:sz w:val="22"/>
                <w:szCs w:val="22"/>
                <w:lang w:val="lt-LT"/>
              </w:rPr>
              <w:t>Siūlomos CDE technologinis parengtumas</w:t>
            </w:r>
          </w:p>
        </w:tc>
        <w:tc>
          <w:tcPr>
            <w:tcW w:w="4760" w:type="dxa"/>
            <w:tcBorders>
              <w:top w:val="nil"/>
              <w:left w:val="nil"/>
              <w:bottom w:val="single" w:sz="4" w:space="0" w:color="auto"/>
              <w:right w:val="single" w:sz="4" w:space="0" w:color="auto"/>
            </w:tcBorders>
            <w:vAlign w:val="center"/>
          </w:tcPr>
          <w:p w14:paraId="1CCCF1DF" w14:textId="30129CFD" w:rsidR="006C5C46" w:rsidRPr="00CC4CE5" w:rsidRDefault="00CC4CE5">
            <w:pPr>
              <w:rPr>
                <w:rFonts w:ascii="Aptos Narrow" w:hAnsi="Aptos Narrow"/>
                <w:color w:val="000000"/>
                <w:sz w:val="22"/>
                <w:szCs w:val="22"/>
                <w:lang w:val="lt-LT"/>
              </w:rPr>
            </w:pPr>
            <w:r w:rsidRPr="00CC4CE5">
              <w:rPr>
                <w:rFonts w:ascii="Aptos Narrow" w:hAnsi="Aptos Narrow"/>
                <w:color w:val="000000"/>
                <w:sz w:val="22"/>
                <w:szCs w:val="22"/>
                <w:lang w:val="lt-LT"/>
              </w:rPr>
              <w:t xml:space="preserve">Siūloma CDE pasiūlymo pateikimo termino pabaigos dieną turi būti </w:t>
            </w:r>
            <w:r w:rsidRPr="00CC4CE5">
              <w:rPr>
                <w:rFonts w:ascii="Aptos Narrow" w:hAnsi="Aptos Narrow"/>
                <w:b/>
                <w:bCs/>
                <w:color w:val="000000"/>
                <w:sz w:val="22"/>
                <w:szCs w:val="22"/>
                <w:lang w:val="lt-LT"/>
              </w:rPr>
              <w:t>gamybinei eksploatacijai skirta ir gamintojo oficialiai palaikoma programinės įrangos versija</w:t>
            </w:r>
            <w:r w:rsidRPr="00CC4CE5">
              <w:rPr>
                <w:rFonts w:ascii="Aptos Narrow" w:hAnsi="Aptos Narrow"/>
                <w:color w:val="000000"/>
                <w:sz w:val="22"/>
                <w:szCs w:val="22"/>
                <w:lang w:val="lt-LT"/>
              </w:rPr>
              <w:t>. Visi šioje techninėje specifikacijoje nustatyti privalomi funkciniai reikalavimai tuo metu turi būti faktiškai realizuoti siūlomoje CDE ir prieinami naudojant standartines siūlomo produkto priemones bei pasiūlyme įtrauktas licencijas, modulius ar kitus komponentus. Atitiktis negali būti grindžiama planuojamu funkcionalumu, produkto vystymo planu („</w:t>
            </w:r>
            <w:proofErr w:type="spellStart"/>
            <w:r w:rsidRPr="00CC4CE5">
              <w:rPr>
                <w:rFonts w:ascii="Aptos Narrow" w:hAnsi="Aptos Narrow"/>
                <w:color w:val="000000"/>
                <w:sz w:val="22"/>
                <w:szCs w:val="22"/>
                <w:lang w:val="lt-LT"/>
              </w:rPr>
              <w:t>roadmap</w:t>
            </w:r>
            <w:proofErr w:type="spellEnd"/>
            <w:r w:rsidRPr="00CC4CE5">
              <w:rPr>
                <w:rFonts w:ascii="Aptos Narrow" w:hAnsi="Aptos Narrow"/>
                <w:color w:val="000000"/>
                <w:sz w:val="22"/>
                <w:szCs w:val="22"/>
                <w:lang w:val="lt-LT"/>
              </w:rPr>
              <w:t>“), bandomosiomis („beta“), „</w:t>
            </w:r>
            <w:proofErr w:type="spellStart"/>
            <w:r w:rsidRPr="00CC4CE5">
              <w:rPr>
                <w:rFonts w:ascii="Aptos Narrow" w:hAnsi="Aptos Narrow"/>
                <w:color w:val="000000"/>
                <w:sz w:val="22"/>
                <w:szCs w:val="22"/>
                <w:lang w:val="lt-LT"/>
              </w:rPr>
              <w:t>preview</w:t>
            </w:r>
            <w:proofErr w:type="spellEnd"/>
            <w:r w:rsidRPr="00CC4CE5">
              <w:rPr>
                <w:rFonts w:ascii="Aptos Narrow" w:hAnsi="Aptos Narrow"/>
                <w:color w:val="000000"/>
                <w:sz w:val="22"/>
                <w:szCs w:val="22"/>
                <w:lang w:val="lt-LT"/>
              </w:rPr>
              <w:t>“, „</w:t>
            </w:r>
            <w:proofErr w:type="spellStart"/>
            <w:r w:rsidRPr="00CC4CE5">
              <w:rPr>
                <w:rFonts w:ascii="Aptos Narrow" w:hAnsi="Aptos Narrow"/>
                <w:color w:val="000000"/>
                <w:sz w:val="22"/>
                <w:szCs w:val="22"/>
                <w:lang w:val="lt-LT"/>
              </w:rPr>
              <w:t>early</w:t>
            </w:r>
            <w:proofErr w:type="spellEnd"/>
            <w:r w:rsidRPr="00CC4CE5">
              <w:rPr>
                <w:rFonts w:ascii="Aptos Narrow" w:hAnsi="Aptos Narrow"/>
                <w:color w:val="000000"/>
                <w:sz w:val="22"/>
                <w:szCs w:val="22"/>
                <w:lang w:val="lt-LT"/>
              </w:rPr>
              <w:t xml:space="preserve"> </w:t>
            </w:r>
            <w:proofErr w:type="spellStart"/>
            <w:r w:rsidRPr="00CC4CE5">
              <w:rPr>
                <w:rFonts w:ascii="Aptos Narrow" w:hAnsi="Aptos Narrow"/>
                <w:color w:val="000000"/>
                <w:sz w:val="22"/>
                <w:szCs w:val="22"/>
                <w:lang w:val="lt-LT"/>
              </w:rPr>
              <w:t>access</w:t>
            </w:r>
            <w:proofErr w:type="spellEnd"/>
            <w:r w:rsidRPr="00CC4CE5">
              <w:rPr>
                <w:rFonts w:ascii="Aptos Narrow" w:hAnsi="Aptos Narrow"/>
                <w:color w:val="000000"/>
                <w:sz w:val="22"/>
                <w:szCs w:val="22"/>
                <w:lang w:val="lt-LT"/>
              </w:rPr>
              <w:t xml:space="preserve">“, </w:t>
            </w:r>
            <w:proofErr w:type="spellStart"/>
            <w:r w:rsidRPr="00CC4CE5">
              <w:rPr>
                <w:rFonts w:ascii="Aptos Narrow" w:hAnsi="Aptos Narrow"/>
                <w:color w:val="000000"/>
                <w:sz w:val="22"/>
                <w:szCs w:val="22"/>
                <w:lang w:val="lt-LT"/>
              </w:rPr>
              <w:t>prototipinėmis</w:t>
            </w:r>
            <w:proofErr w:type="spellEnd"/>
            <w:r w:rsidRPr="00CC4CE5">
              <w:rPr>
                <w:rFonts w:ascii="Aptos Narrow" w:hAnsi="Aptos Narrow"/>
                <w:color w:val="000000"/>
                <w:sz w:val="22"/>
                <w:szCs w:val="22"/>
                <w:lang w:val="lt-LT"/>
              </w:rPr>
              <w:t xml:space="preserve"> ar kitomis gamybinei eksploatacijai neskirtomis funkcijomis, taip pat įsipareigojimu reikiamą funkcionalumą sukurti po pasiūlymo pateikimo. Techninės specifikacijos privalomų funkcijų įgyvendinimui negali būti reikalingas individualus programavimas ar naujų produkto funkcijų kūrimas specialiai Užsakovui. </w:t>
            </w:r>
            <w:r w:rsidRPr="00CC4CE5">
              <w:rPr>
                <w:rFonts w:ascii="Aptos Narrow" w:hAnsi="Aptos Narrow"/>
                <w:b/>
                <w:bCs/>
                <w:color w:val="000000"/>
                <w:sz w:val="22"/>
                <w:szCs w:val="22"/>
                <w:lang w:val="lt-LT"/>
              </w:rPr>
              <w:t>Leidžiamas standartinis CDE konfigūravimas pagal 2 skyriaus reikalavimus.</w:t>
            </w:r>
          </w:p>
        </w:tc>
        <w:tc>
          <w:tcPr>
            <w:tcW w:w="3255" w:type="dxa"/>
            <w:tcBorders>
              <w:top w:val="nil"/>
              <w:left w:val="nil"/>
              <w:bottom w:val="single" w:sz="4" w:space="0" w:color="auto"/>
              <w:right w:val="single" w:sz="4" w:space="0" w:color="auto"/>
            </w:tcBorders>
            <w:vAlign w:val="center"/>
          </w:tcPr>
          <w:p w14:paraId="7D67B320" w14:textId="75831D96" w:rsidR="006C5C46" w:rsidRPr="00CC4CE5" w:rsidRDefault="00CC4CE5">
            <w:pPr>
              <w:rPr>
                <w:rFonts w:ascii="Aptos Narrow" w:hAnsi="Aptos Narrow"/>
                <w:color w:val="000000"/>
                <w:sz w:val="22"/>
                <w:szCs w:val="22"/>
                <w:lang w:val="lt-LT"/>
              </w:rPr>
            </w:pPr>
            <w:r w:rsidRPr="00CC4CE5">
              <w:rPr>
                <w:rFonts w:ascii="Aptos Narrow" w:hAnsi="Aptos Narrow"/>
                <w:color w:val="000000"/>
                <w:sz w:val="22"/>
                <w:szCs w:val="22"/>
                <w:lang w:val="lt-LT"/>
              </w:rPr>
              <w:t>Taikoma visam 1.1–1.10 punktuose nustatytam privalomam CDE funkcionalumui ir visiems jo veikimui būtiniems siūlomos CDE komponentams.</w:t>
            </w:r>
          </w:p>
        </w:tc>
        <w:tc>
          <w:tcPr>
            <w:tcW w:w="3828" w:type="dxa"/>
            <w:tcBorders>
              <w:top w:val="nil"/>
              <w:left w:val="nil"/>
              <w:bottom w:val="single" w:sz="4" w:space="0" w:color="auto"/>
              <w:right w:val="single" w:sz="4" w:space="0" w:color="auto"/>
            </w:tcBorders>
            <w:vAlign w:val="center"/>
          </w:tcPr>
          <w:p w14:paraId="0E4FDEE5" w14:textId="694105CF" w:rsidR="006C5C46" w:rsidRPr="00CC4CE5" w:rsidRDefault="00CC4CE5">
            <w:pPr>
              <w:rPr>
                <w:rFonts w:ascii="Aptos Narrow" w:hAnsi="Aptos Narrow"/>
                <w:color w:val="000000"/>
                <w:sz w:val="22"/>
                <w:szCs w:val="22"/>
                <w:lang w:val="lt-LT"/>
              </w:rPr>
            </w:pPr>
            <w:r w:rsidRPr="00CC4CE5">
              <w:rPr>
                <w:rFonts w:ascii="Aptos Narrow" w:hAnsi="Aptos Narrow"/>
                <w:color w:val="000000"/>
                <w:sz w:val="22"/>
                <w:szCs w:val="22"/>
                <w:lang w:val="lt-LT"/>
              </w:rPr>
              <w:t xml:space="preserve">Pasiūlymo vertinimo metu Tiekėjas turi būti pasirengęs praktiškai pademonstruoti techninėje specifikacijoje nustatytą funkcionalumą </w:t>
            </w:r>
            <w:r w:rsidRPr="00CC4CE5">
              <w:rPr>
                <w:rFonts w:ascii="Aptos Narrow" w:hAnsi="Aptos Narrow"/>
                <w:b/>
                <w:bCs/>
                <w:color w:val="000000"/>
                <w:sz w:val="22"/>
                <w:szCs w:val="22"/>
                <w:lang w:val="lt-LT"/>
              </w:rPr>
              <w:t>pasiūlyme nurodytoje gamybinėje CDE versijoje</w:t>
            </w:r>
            <w:r w:rsidRPr="00CC4CE5">
              <w:rPr>
                <w:rFonts w:ascii="Aptos Narrow" w:hAnsi="Aptos Narrow"/>
                <w:color w:val="000000"/>
                <w:sz w:val="22"/>
                <w:szCs w:val="22"/>
                <w:lang w:val="lt-LT"/>
              </w:rPr>
              <w:t>. Demonstraciniai maketai, prototipai, vaizdo įrašai ar dar gamybinėje produkto versijoje neprieinamos funkcijos nelaikomi atitikties įrodymu. Nustačius, kad privaloma funkcija pasiūlymo pateikimo termino pabaigos dieną siūlomoje CDE nebuvo faktiškai prieinama, laikoma, kad atitinkamas techninės specifikacijos reikalavimas nėra tenkinamas.</w:t>
            </w:r>
          </w:p>
        </w:tc>
      </w:tr>
      <w:tr w:rsidR="00CC0268" w:rsidRPr="00CC4CE5" w14:paraId="149C40CF" w14:textId="77777777" w:rsidTr="003012AE">
        <w:trPr>
          <w:trHeight w:val="1740"/>
        </w:trPr>
        <w:tc>
          <w:tcPr>
            <w:tcW w:w="960" w:type="dxa"/>
            <w:tcBorders>
              <w:top w:val="nil"/>
              <w:left w:val="single" w:sz="4" w:space="0" w:color="auto"/>
              <w:bottom w:val="single" w:sz="4" w:space="0" w:color="auto"/>
              <w:right w:val="single" w:sz="4" w:space="0" w:color="auto"/>
            </w:tcBorders>
            <w:vAlign w:val="center"/>
            <w:hideMark/>
          </w:tcPr>
          <w:p w14:paraId="7D8AB1BA" w14:textId="77777777" w:rsidR="00CC0268" w:rsidRPr="00CC4CE5" w:rsidRDefault="00CC0268">
            <w:pPr>
              <w:rPr>
                <w:rFonts w:ascii="Aptos Narrow" w:hAnsi="Aptos Narrow"/>
                <w:b/>
                <w:bCs/>
                <w:color w:val="000000"/>
                <w:sz w:val="22"/>
                <w:szCs w:val="22"/>
                <w:lang w:val="lt-LT"/>
              </w:rPr>
            </w:pPr>
            <w:r w:rsidRPr="00CC4CE5">
              <w:rPr>
                <w:rFonts w:ascii="Aptos Narrow" w:hAnsi="Aptos Narrow"/>
                <w:b/>
                <w:bCs/>
                <w:color w:val="000000"/>
                <w:sz w:val="22"/>
                <w:szCs w:val="22"/>
                <w:lang w:val="lt-LT"/>
              </w:rPr>
              <w:t>1.1</w:t>
            </w:r>
          </w:p>
        </w:tc>
        <w:tc>
          <w:tcPr>
            <w:tcW w:w="2360" w:type="dxa"/>
            <w:tcBorders>
              <w:top w:val="nil"/>
              <w:left w:val="nil"/>
              <w:bottom w:val="single" w:sz="4" w:space="0" w:color="auto"/>
              <w:right w:val="single" w:sz="4" w:space="0" w:color="auto"/>
            </w:tcBorders>
            <w:vAlign w:val="center"/>
            <w:hideMark/>
          </w:tcPr>
          <w:p w14:paraId="4CD136F6" w14:textId="77777777" w:rsidR="00CC0268" w:rsidRPr="00CC4CE5" w:rsidRDefault="00CC0268">
            <w:pPr>
              <w:rPr>
                <w:rFonts w:ascii="Aptos Narrow" w:hAnsi="Aptos Narrow"/>
                <w:b/>
                <w:bCs/>
                <w:color w:val="000000"/>
                <w:sz w:val="22"/>
                <w:szCs w:val="22"/>
                <w:lang w:val="lt-LT"/>
              </w:rPr>
            </w:pPr>
            <w:r w:rsidRPr="00CC4CE5">
              <w:rPr>
                <w:rFonts w:ascii="Aptos Narrow" w:hAnsi="Aptos Narrow"/>
                <w:b/>
                <w:bCs/>
                <w:color w:val="000000"/>
                <w:sz w:val="22"/>
                <w:szCs w:val="22"/>
                <w:lang w:val="lt-LT"/>
              </w:rPr>
              <w:t>Bendrieji CDE funkcionalumo reikalavimai</w:t>
            </w:r>
          </w:p>
        </w:tc>
        <w:tc>
          <w:tcPr>
            <w:tcW w:w="4760" w:type="dxa"/>
            <w:tcBorders>
              <w:top w:val="nil"/>
              <w:left w:val="nil"/>
              <w:bottom w:val="single" w:sz="4" w:space="0" w:color="auto"/>
              <w:right w:val="single" w:sz="4" w:space="0" w:color="auto"/>
            </w:tcBorders>
            <w:vAlign w:val="center"/>
            <w:hideMark/>
          </w:tcPr>
          <w:p w14:paraId="11366817" w14:textId="77777777" w:rsidR="00CC0268" w:rsidRPr="00CC4CE5" w:rsidRDefault="00CC0268">
            <w:pPr>
              <w:rPr>
                <w:rFonts w:ascii="Aptos Narrow" w:hAnsi="Aptos Narrow"/>
                <w:color w:val="000000"/>
                <w:sz w:val="22"/>
                <w:szCs w:val="22"/>
                <w:lang w:val="lt-LT"/>
              </w:rPr>
            </w:pPr>
            <w:r w:rsidRPr="00CC4CE5">
              <w:rPr>
                <w:rFonts w:ascii="Aptos Narrow" w:hAnsi="Aptos Narrow"/>
                <w:color w:val="000000"/>
                <w:sz w:val="22"/>
                <w:szCs w:val="22"/>
                <w:lang w:val="lt-LT"/>
              </w:rPr>
              <w:t>CDE turi užtikrinti centralizuotą projekto dokumentų, 2D ir 3D projektinės informacijos, erdvinės projekto informacijos bei statybos procesų valdymą tarpusavyje susietoje aplinkoje. CDE turi būti prieinama interneto naršyklėje ir mobiliuosiuose įrenginiuose.</w:t>
            </w:r>
          </w:p>
        </w:tc>
        <w:tc>
          <w:tcPr>
            <w:tcW w:w="3255" w:type="dxa"/>
            <w:tcBorders>
              <w:top w:val="nil"/>
              <w:left w:val="nil"/>
              <w:bottom w:val="single" w:sz="4" w:space="0" w:color="auto"/>
              <w:right w:val="single" w:sz="4" w:space="0" w:color="auto"/>
            </w:tcBorders>
            <w:vAlign w:val="center"/>
            <w:hideMark/>
          </w:tcPr>
          <w:p w14:paraId="6F440355" w14:textId="77777777" w:rsidR="00CC0268" w:rsidRPr="00CC4CE5" w:rsidRDefault="00CC0268">
            <w:pPr>
              <w:rPr>
                <w:rFonts w:ascii="Aptos Narrow" w:hAnsi="Aptos Narrow"/>
                <w:color w:val="000000"/>
                <w:sz w:val="22"/>
                <w:szCs w:val="22"/>
                <w:lang w:val="lt-LT"/>
              </w:rPr>
            </w:pPr>
            <w:r w:rsidRPr="00CC4CE5">
              <w:rPr>
                <w:rFonts w:ascii="Aptos Narrow" w:hAnsi="Aptos Narrow"/>
                <w:color w:val="000000"/>
                <w:sz w:val="22"/>
                <w:szCs w:val="22"/>
                <w:lang w:val="lt-LT"/>
              </w:rPr>
              <w:t>Visas 1.2–1.10 punktuose nustatytas funkcionalumas.</w:t>
            </w:r>
          </w:p>
        </w:tc>
        <w:tc>
          <w:tcPr>
            <w:tcW w:w="3828" w:type="dxa"/>
            <w:tcBorders>
              <w:top w:val="nil"/>
              <w:left w:val="nil"/>
              <w:bottom w:val="single" w:sz="4" w:space="0" w:color="auto"/>
              <w:right w:val="single" w:sz="4" w:space="0" w:color="auto"/>
            </w:tcBorders>
            <w:vAlign w:val="center"/>
            <w:hideMark/>
          </w:tcPr>
          <w:p w14:paraId="1F40D0F0" w14:textId="77777777" w:rsidR="00CC0268" w:rsidRPr="00CC4CE5" w:rsidRDefault="00CC0268">
            <w:pPr>
              <w:rPr>
                <w:rFonts w:ascii="Aptos Narrow" w:hAnsi="Aptos Narrow"/>
                <w:color w:val="000000"/>
                <w:sz w:val="22"/>
                <w:szCs w:val="22"/>
                <w:lang w:val="lt-LT"/>
              </w:rPr>
            </w:pPr>
            <w:r w:rsidRPr="00CC4CE5">
              <w:rPr>
                <w:rFonts w:ascii="Aptos Narrow" w:hAnsi="Aptos Narrow"/>
                <w:color w:val="000000"/>
                <w:sz w:val="22"/>
                <w:szCs w:val="22"/>
                <w:lang w:val="lt-LT"/>
              </w:rPr>
              <w:t>CDE aplinkoje galima pasiekti ir naudoti visas šiame skyriuje nustatytas funkcines sritis.</w:t>
            </w:r>
          </w:p>
        </w:tc>
      </w:tr>
      <w:tr w:rsidR="00CC0268" w:rsidRPr="005A629B" w14:paraId="7DB66F82" w14:textId="77777777" w:rsidTr="003012AE">
        <w:trPr>
          <w:trHeight w:val="1740"/>
        </w:trPr>
        <w:tc>
          <w:tcPr>
            <w:tcW w:w="960" w:type="dxa"/>
            <w:tcBorders>
              <w:top w:val="nil"/>
              <w:left w:val="single" w:sz="4" w:space="0" w:color="auto"/>
              <w:bottom w:val="single" w:sz="4" w:space="0" w:color="auto"/>
              <w:right w:val="single" w:sz="4" w:space="0" w:color="auto"/>
            </w:tcBorders>
            <w:vAlign w:val="center"/>
            <w:hideMark/>
          </w:tcPr>
          <w:p w14:paraId="496F12D3" w14:textId="77777777" w:rsidR="00CC0268" w:rsidRPr="00CC4CE5" w:rsidRDefault="00CC0268">
            <w:pPr>
              <w:rPr>
                <w:rFonts w:ascii="Aptos Narrow" w:hAnsi="Aptos Narrow"/>
                <w:b/>
                <w:bCs/>
                <w:color w:val="000000"/>
                <w:sz w:val="22"/>
                <w:szCs w:val="22"/>
                <w:lang w:val="lt-LT"/>
              </w:rPr>
            </w:pPr>
            <w:r w:rsidRPr="00CC4CE5">
              <w:rPr>
                <w:rFonts w:ascii="Aptos Narrow" w:hAnsi="Aptos Narrow"/>
                <w:b/>
                <w:bCs/>
                <w:color w:val="000000"/>
                <w:sz w:val="22"/>
                <w:szCs w:val="22"/>
                <w:lang w:val="lt-LT"/>
              </w:rPr>
              <w:lastRenderedPageBreak/>
              <w:t>1.2</w:t>
            </w:r>
          </w:p>
        </w:tc>
        <w:tc>
          <w:tcPr>
            <w:tcW w:w="2360" w:type="dxa"/>
            <w:tcBorders>
              <w:top w:val="nil"/>
              <w:left w:val="nil"/>
              <w:bottom w:val="single" w:sz="4" w:space="0" w:color="auto"/>
              <w:right w:val="single" w:sz="4" w:space="0" w:color="auto"/>
            </w:tcBorders>
            <w:vAlign w:val="center"/>
            <w:hideMark/>
          </w:tcPr>
          <w:p w14:paraId="45320963" w14:textId="77777777" w:rsidR="00CC0268" w:rsidRPr="00CC4CE5" w:rsidRDefault="00CC0268">
            <w:pPr>
              <w:rPr>
                <w:rFonts w:ascii="Aptos Narrow" w:hAnsi="Aptos Narrow"/>
                <w:b/>
                <w:bCs/>
                <w:color w:val="000000"/>
                <w:sz w:val="22"/>
                <w:szCs w:val="22"/>
                <w:lang w:val="lt-LT"/>
              </w:rPr>
            </w:pPr>
            <w:r w:rsidRPr="00CC4CE5">
              <w:rPr>
                <w:rFonts w:ascii="Aptos Narrow" w:hAnsi="Aptos Narrow"/>
                <w:b/>
                <w:bCs/>
                <w:color w:val="000000"/>
                <w:sz w:val="22"/>
                <w:szCs w:val="22"/>
                <w:lang w:val="lt-LT"/>
              </w:rPr>
              <w:t>Dokumentų ir failų valdymas</w:t>
            </w:r>
          </w:p>
        </w:tc>
        <w:tc>
          <w:tcPr>
            <w:tcW w:w="4760" w:type="dxa"/>
            <w:tcBorders>
              <w:top w:val="nil"/>
              <w:left w:val="nil"/>
              <w:bottom w:val="single" w:sz="4" w:space="0" w:color="auto"/>
              <w:right w:val="single" w:sz="4" w:space="0" w:color="auto"/>
            </w:tcBorders>
            <w:vAlign w:val="center"/>
            <w:hideMark/>
          </w:tcPr>
          <w:p w14:paraId="2B9EE18D" w14:textId="77777777" w:rsidR="00CC0268" w:rsidRPr="00CC4CE5" w:rsidRDefault="00CC0268">
            <w:pPr>
              <w:rPr>
                <w:rFonts w:ascii="Aptos Narrow" w:hAnsi="Aptos Narrow"/>
                <w:color w:val="000000"/>
                <w:sz w:val="22"/>
                <w:szCs w:val="22"/>
                <w:lang w:val="lt-LT"/>
              </w:rPr>
            </w:pPr>
            <w:r w:rsidRPr="00CC4CE5">
              <w:rPr>
                <w:rFonts w:ascii="Aptos Narrow" w:hAnsi="Aptos Narrow"/>
                <w:color w:val="000000"/>
                <w:sz w:val="22"/>
                <w:szCs w:val="22"/>
                <w:lang w:val="lt-LT"/>
              </w:rPr>
              <w:t>CDE turi užtikrinti projekto dokumentų ir failų saugojimą, struktūrizavimą, paiešką, metaduomenų naudojimą, failų pavadinimų taisyklių taikymą, versijų ir būsenų valdymą, dokumentų versijų palyginimą bei atliktų pakeitimų ir veiksmų istorijos atsekamumą.</w:t>
            </w:r>
          </w:p>
        </w:tc>
        <w:tc>
          <w:tcPr>
            <w:tcW w:w="3255" w:type="dxa"/>
            <w:tcBorders>
              <w:top w:val="nil"/>
              <w:left w:val="nil"/>
              <w:bottom w:val="single" w:sz="4" w:space="0" w:color="auto"/>
              <w:right w:val="single" w:sz="4" w:space="0" w:color="auto"/>
            </w:tcBorders>
            <w:vAlign w:val="center"/>
            <w:hideMark/>
          </w:tcPr>
          <w:p w14:paraId="093F95C0" w14:textId="77777777" w:rsidR="00CC0268" w:rsidRPr="00CC4CE5" w:rsidRDefault="00CC0268">
            <w:pPr>
              <w:rPr>
                <w:rFonts w:ascii="Aptos Narrow" w:hAnsi="Aptos Narrow"/>
                <w:color w:val="000000"/>
                <w:sz w:val="22"/>
                <w:szCs w:val="22"/>
                <w:lang w:val="lt-LT"/>
              </w:rPr>
            </w:pPr>
            <w:r w:rsidRPr="00CC4CE5">
              <w:rPr>
                <w:rFonts w:ascii="Aptos Narrow" w:hAnsi="Aptos Narrow"/>
                <w:color w:val="000000"/>
                <w:sz w:val="22"/>
                <w:szCs w:val="22"/>
                <w:lang w:val="lt-LT"/>
              </w:rPr>
              <w:t>Visų CDE saugomų projekto dokumentų ir failų valdymas pagal naudotojui suteiktas teises.</w:t>
            </w:r>
          </w:p>
        </w:tc>
        <w:tc>
          <w:tcPr>
            <w:tcW w:w="3828" w:type="dxa"/>
            <w:tcBorders>
              <w:top w:val="nil"/>
              <w:left w:val="nil"/>
              <w:bottom w:val="single" w:sz="4" w:space="0" w:color="auto"/>
              <w:right w:val="single" w:sz="4" w:space="0" w:color="auto"/>
            </w:tcBorders>
            <w:vAlign w:val="center"/>
            <w:hideMark/>
          </w:tcPr>
          <w:p w14:paraId="67608AB7" w14:textId="77777777" w:rsidR="00CC0268" w:rsidRPr="00CC4CE5" w:rsidRDefault="00CC0268">
            <w:pPr>
              <w:rPr>
                <w:rFonts w:ascii="Aptos Narrow" w:hAnsi="Aptos Narrow"/>
                <w:color w:val="000000"/>
                <w:sz w:val="22"/>
                <w:szCs w:val="22"/>
                <w:lang w:val="lt-LT"/>
              </w:rPr>
            </w:pPr>
            <w:r w:rsidRPr="00CC4CE5">
              <w:rPr>
                <w:rFonts w:ascii="Aptos Narrow" w:hAnsi="Aptos Narrow"/>
                <w:color w:val="000000"/>
                <w:sz w:val="22"/>
                <w:szCs w:val="22"/>
                <w:lang w:val="lt-LT"/>
              </w:rPr>
              <w:t>Galima įkelti, klasifikuoti ir surasti dokumentą, peržiūrėti jo metaduomenis, būseną, aktualią ir ankstesnes versijas, palyginti versijas ir atsekti pakeitimų istoriją.</w:t>
            </w:r>
          </w:p>
        </w:tc>
      </w:tr>
      <w:tr w:rsidR="00CC0268" w:rsidRPr="005A629B" w14:paraId="4396699A" w14:textId="77777777" w:rsidTr="003012AE">
        <w:trPr>
          <w:trHeight w:val="3190"/>
        </w:trPr>
        <w:tc>
          <w:tcPr>
            <w:tcW w:w="960" w:type="dxa"/>
            <w:tcBorders>
              <w:top w:val="nil"/>
              <w:left w:val="single" w:sz="4" w:space="0" w:color="auto"/>
              <w:bottom w:val="single" w:sz="4" w:space="0" w:color="auto"/>
              <w:right w:val="single" w:sz="4" w:space="0" w:color="auto"/>
            </w:tcBorders>
            <w:vAlign w:val="center"/>
            <w:hideMark/>
          </w:tcPr>
          <w:p w14:paraId="5AE0D70B" w14:textId="77777777" w:rsidR="00CC0268" w:rsidRPr="00CC4CE5" w:rsidRDefault="00CC0268">
            <w:pPr>
              <w:rPr>
                <w:rFonts w:ascii="Aptos Narrow" w:hAnsi="Aptos Narrow"/>
                <w:b/>
                <w:bCs/>
                <w:color w:val="000000"/>
                <w:sz w:val="22"/>
                <w:szCs w:val="22"/>
                <w:lang w:val="lt-LT"/>
              </w:rPr>
            </w:pPr>
            <w:r w:rsidRPr="00CC4CE5">
              <w:rPr>
                <w:rFonts w:ascii="Aptos Narrow" w:hAnsi="Aptos Narrow"/>
                <w:b/>
                <w:bCs/>
                <w:color w:val="000000"/>
                <w:sz w:val="22"/>
                <w:szCs w:val="22"/>
                <w:lang w:val="lt-LT"/>
              </w:rPr>
              <w:t>1.3</w:t>
            </w:r>
          </w:p>
        </w:tc>
        <w:tc>
          <w:tcPr>
            <w:tcW w:w="2360" w:type="dxa"/>
            <w:tcBorders>
              <w:top w:val="nil"/>
              <w:left w:val="nil"/>
              <w:bottom w:val="single" w:sz="4" w:space="0" w:color="auto"/>
              <w:right w:val="single" w:sz="4" w:space="0" w:color="auto"/>
            </w:tcBorders>
            <w:vAlign w:val="center"/>
            <w:hideMark/>
          </w:tcPr>
          <w:p w14:paraId="7EA6B4E8" w14:textId="77777777" w:rsidR="00CC0268" w:rsidRPr="00CC4CE5" w:rsidRDefault="00CC0268">
            <w:pPr>
              <w:rPr>
                <w:rFonts w:ascii="Aptos Narrow" w:hAnsi="Aptos Narrow"/>
                <w:b/>
                <w:bCs/>
                <w:color w:val="000000"/>
                <w:sz w:val="22"/>
                <w:szCs w:val="22"/>
                <w:lang w:val="lt-LT"/>
              </w:rPr>
            </w:pPr>
            <w:r w:rsidRPr="00CC4CE5">
              <w:rPr>
                <w:rFonts w:ascii="Aptos Narrow" w:hAnsi="Aptos Narrow"/>
                <w:b/>
                <w:bCs/>
                <w:color w:val="000000"/>
                <w:sz w:val="22"/>
                <w:szCs w:val="22"/>
                <w:lang w:val="lt-LT"/>
              </w:rPr>
              <w:t>Dokumentų derinimas ir bendradarbiavimas</w:t>
            </w:r>
          </w:p>
        </w:tc>
        <w:tc>
          <w:tcPr>
            <w:tcW w:w="4760" w:type="dxa"/>
            <w:tcBorders>
              <w:top w:val="nil"/>
              <w:left w:val="nil"/>
              <w:bottom w:val="single" w:sz="4" w:space="0" w:color="auto"/>
              <w:right w:val="single" w:sz="4" w:space="0" w:color="auto"/>
            </w:tcBorders>
            <w:vAlign w:val="center"/>
            <w:hideMark/>
          </w:tcPr>
          <w:p w14:paraId="5C772868" w14:textId="77777777" w:rsidR="00CC0268" w:rsidRPr="00CC4CE5" w:rsidRDefault="00CC0268">
            <w:pPr>
              <w:rPr>
                <w:rFonts w:ascii="Aptos Narrow" w:hAnsi="Aptos Narrow"/>
                <w:color w:val="000000"/>
                <w:sz w:val="22"/>
                <w:szCs w:val="22"/>
                <w:lang w:val="lt-LT"/>
              </w:rPr>
            </w:pPr>
            <w:r w:rsidRPr="00CC4CE5">
              <w:rPr>
                <w:rFonts w:ascii="Aptos Narrow" w:hAnsi="Aptos Narrow"/>
                <w:color w:val="000000"/>
                <w:sz w:val="22"/>
                <w:szCs w:val="22"/>
                <w:lang w:val="lt-LT"/>
              </w:rPr>
              <w:t>CDE turi užtikrinti dokumentų pateikimo, tikrinimo, derinimo, tvirtinimo ir paskelbimo procesus bei galimybę kurti ir valdyti su dokumentu ar konkrečia jo vieta susietas pastabas ir komentarus. Kelių puslapių PDF dokumentas turi būti peržiūrimas kaip vientisas dokumentas, sudarant galimybę nuosekliai slinkti per jo puslapius ir teikti pastabas skirtinguose puslapiuose bei konkrečiose jų vietose, neatidarant kiekvieno puslapio kaip atskiro dokumento. Turi būti išlaikoma pastabų, atsakymų, būsenų ir atliktų veiksmų istorija.</w:t>
            </w:r>
          </w:p>
        </w:tc>
        <w:tc>
          <w:tcPr>
            <w:tcW w:w="3255" w:type="dxa"/>
            <w:tcBorders>
              <w:top w:val="nil"/>
              <w:left w:val="nil"/>
              <w:bottom w:val="single" w:sz="4" w:space="0" w:color="auto"/>
              <w:right w:val="single" w:sz="4" w:space="0" w:color="auto"/>
            </w:tcBorders>
            <w:vAlign w:val="center"/>
            <w:hideMark/>
          </w:tcPr>
          <w:p w14:paraId="62560EFF" w14:textId="77777777" w:rsidR="00CC0268" w:rsidRPr="00CC4CE5" w:rsidRDefault="00CC0268">
            <w:pPr>
              <w:rPr>
                <w:rFonts w:ascii="Aptos Narrow" w:hAnsi="Aptos Narrow"/>
                <w:color w:val="000000"/>
                <w:sz w:val="22"/>
                <w:szCs w:val="22"/>
                <w:lang w:val="lt-LT"/>
              </w:rPr>
            </w:pPr>
            <w:r w:rsidRPr="00CC4CE5">
              <w:rPr>
                <w:rFonts w:ascii="Aptos Narrow" w:hAnsi="Aptos Narrow"/>
                <w:color w:val="000000"/>
                <w:sz w:val="22"/>
                <w:szCs w:val="22"/>
                <w:lang w:val="lt-LT"/>
              </w:rPr>
              <w:t>Dokumentų derinimo ir bendradarbiavimo funkcionalumas visiems pagal Užsakovo procesus derinamiems dokumentams.</w:t>
            </w:r>
          </w:p>
        </w:tc>
        <w:tc>
          <w:tcPr>
            <w:tcW w:w="3828" w:type="dxa"/>
            <w:tcBorders>
              <w:top w:val="nil"/>
              <w:left w:val="nil"/>
              <w:bottom w:val="single" w:sz="4" w:space="0" w:color="auto"/>
              <w:right w:val="single" w:sz="4" w:space="0" w:color="auto"/>
            </w:tcBorders>
            <w:vAlign w:val="center"/>
            <w:hideMark/>
          </w:tcPr>
          <w:p w14:paraId="1A8A3816" w14:textId="77777777" w:rsidR="00CC0268" w:rsidRPr="00CC4CE5" w:rsidRDefault="00CC0268">
            <w:pPr>
              <w:rPr>
                <w:rFonts w:ascii="Aptos Narrow" w:hAnsi="Aptos Narrow"/>
                <w:color w:val="000000"/>
                <w:sz w:val="22"/>
                <w:szCs w:val="22"/>
                <w:lang w:val="lt-LT"/>
              </w:rPr>
            </w:pPr>
            <w:r w:rsidRPr="00CC4CE5">
              <w:rPr>
                <w:rFonts w:ascii="Aptos Narrow" w:hAnsi="Aptos Narrow"/>
                <w:color w:val="000000"/>
                <w:sz w:val="22"/>
                <w:szCs w:val="22"/>
                <w:lang w:val="lt-LT"/>
              </w:rPr>
              <w:t>Galima vykdyti dokumento derinimo procesą, atidaryti kelių puslapių PDF kaip vientisą dokumentą, nuosekliai slinkti per jo puslapius, pateikti pastabas skirtinguose puslapiuose ir konkrečiose dokumento vietose, į jas atsakyti, valdyti jų būseną ir atsekti veiksmų istoriją.</w:t>
            </w:r>
          </w:p>
        </w:tc>
      </w:tr>
      <w:tr w:rsidR="00CC0268" w:rsidRPr="00CC4CE5" w14:paraId="5ADAC85C" w14:textId="77777777" w:rsidTr="003012AE">
        <w:trPr>
          <w:trHeight w:val="1450"/>
        </w:trPr>
        <w:tc>
          <w:tcPr>
            <w:tcW w:w="960" w:type="dxa"/>
            <w:tcBorders>
              <w:top w:val="nil"/>
              <w:left w:val="single" w:sz="4" w:space="0" w:color="auto"/>
              <w:bottom w:val="single" w:sz="4" w:space="0" w:color="auto"/>
              <w:right w:val="single" w:sz="4" w:space="0" w:color="auto"/>
            </w:tcBorders>
            <w:vAlign w:val="center"/>
            <w:hideMark/>
          </w:tcPr>
          <w:p w14:paraId="7C5E08F7" w14:textId="77777777" w:rsidR="00CC0268" w:rsidRPr="00CC4CE5" w:rsidRDefault="00CC0268">
            <w:pPr>
              <w:rPr>
                <w:rFonts w:ascii="Aptos Narrow" w:hAnsi="Aptos Narrow"/>
                <w:b/>
                <w:bCs/>
                <w:color w:val="000000"/>
                <w:sz w:val="22"/>
                <w:szCs w:val="22"/>
                <w:lang w:val="lt-LT"/>
              </w:rPr>
            </w:pPr>
            <w:r w:rsidRPr="00CC4CE5">
              <w:rPr>
                <w:rFonts w:ascii="Aptos Narrow" w:hAnsi="Aptos Narrow"/>
                <w:b/>
                <w:bCs/>
                <w:color w:val="000000"/>
                <w:sz w:val="22"/>
                <w:szCs w:val="22"/>
                <w:lang w:val="lt-LT"/>
              </w:rPr>
              <w:t>1.4</w:t>
            </w:r>
          </w:p>
        </w:tc>
        <w:tc>
          <w:tcPr>
            <w:tcW w:w="2360" w:type="dxa"/>
            <w:tcBorders>
              <w:top w:val="nil"/>
              <w:left w:val="nil"/>
              <w:bottom w:val="single" w:sz="4" w:space="0" w:color="auto"/>
              <w:right w:val="single" w:sz="4" w:space="0" w:color="auto"/>
            </w:tcBorders>
            <w:vAlign w:val="center"/>
            <w:hideMark/>
          </w:tcPr>
          <w:p w14:paraId="3E8AEBA2" w14:textId="77777777" w:rsidR="00CC0268" w:rsidRPr="00CC4CE5" w:rsidRDefault="00CC0268">
            <w:pPr>
              <w:rPr>
                <w:rFonts w:ascii="Aptos Narrow" w:hAnsi="Aptos Narrow"/>
                <w:b/>
                <w:bCs/>
                <w:color w:val="000000"/>
                <w:sz w:val="22"/>
                <w:szCs w:val="22"/>
                <w:lang w:val="lt-LT"/>
              </w:rPr>
            </w:pPr>
            <w:r w:rsidRPr="00CC4CE5">
              <w:rPr>
                <w:rFonts w:ascii="Aptos Narrow" w:hAnsi="Aptos Narrow"/>
                <w:b/>
                <w:bCs/>
                <w:color w:val="000000"/>
                <w:sz w:val="22"/>
                <w:szCs w:val="22"/>
                <w:lang w:val="lt-LT"/>
              </w:rPr>
              <w:t>Naudotojų ir prieigos teisių valdymas</w:t>
            </w:r>
          </w:p>
        </w:tc>
        <w:tc>
          <w:tcPr>
            <w:tcW w:w="4760" w:type="dxa"/>
            <w:tcBorders>
              <w:top w:val="nil"/>
              <w:left w:val="nil"/>
              <w:bottom w:val="single" w:sz="4" w:space="0" w:color="auto"/>
              <w:right w:val="single" w:sz="4" w:space="0" w:color="auto"/>
            </w:tcBorders>
            <w:vAlign w:val="center"/>
            <w:hideMark/>
          </w:tcPr>
          <w:p w14:paraId="727E8216" w14:textId="77777777" w:rsidR="00CC0268" w:rsidRPr="00CC4CE5" w:rsidRDefault="00CC0268">
            <w:pPr>
              <w:rPr>
                <w:rFonts w:ascii="Aptos Narrow" w:hAnsi="Aptos Narrow"/>
                <w:color w:val="000000"/>
                <w:sz w:val="22"/>
                <w:szCs w:val="22"/>
                <w:lang w:val="lt-LT"/>
              </w:rPr>
            </w:pPr>
            <w:r w:rsidRPr="00CC4CE5">
              <w:rPr>
                <w:rFonts w:ascii="Aptos Narrow" w:hAnsi="Aptos Narrow"/>
                <w:color w:val="000000"/>
                <w:sz w:val="22"/>
                <w:szCs w:val="22"/>
                <w:lang w:val="lt-LT"/>
              </w:rPr>
              <w:t>CDE turi užtikrinti naudotojų, naudotojų grupių bei jų prieigos ir veiksmų teisių valdymą pagal projekto dalyvių funkcijas ir atsakomybes. Turi būti galima diferencijuoti prieigą prie projekto informacijos ir CDE funkcijų.</w:t>
            </w:r>
          </w:p>
        </w:tc>
        <w:tc>
          <w:tcPr>
            <w:tcW w:w="3255" w:type="dxa"/>
            <w:tcBorders>
              <w:top w:val="nil"/>
              <w:left w:val="nil"/>
              <w:bottom w:val="single" w:sz="4" w:space="0" w:color="auto"/>
              <w:right w:val="single" w:sz="4" w:space="0" w:color="auto"/>
            </w:tcBorders>
            <w:vAlign w:val="center"/>
            <w:hideMark/>
          </w:tcPr>
          <w:p w14:paraId="7A5176D5" w14:textId="77777777" w:rsidR="00CC0268" w:rsidRPr="00CC4CE5" w:rsidRDefault="00CC0268">
            <w:pPr>
              <w:rPr>
                <w:rFonts w:ascii="Aptos Narrow" w:hAnsi="Aptos Narrow"/>
                <w:color w:val="000000"/>
                <w:sz w:val="22"/>
                <w:szCs w:val="22"/>
                <w:lang w:val="lt-LT"/>
              </w:rPr>
            </w:pPr>
            <w:r w:rsidRPr="00CC4CE5">
              <w:rPr>
                <w:rFonts w:ascii="Aptos Narrow" w:hAnsi="Aptos Narrow"/>
                <w:color w:val="000000"/>
                <w:sz w:val="22"/>
                <w:szCs w:val="22"/>
                <w:lang w:val="lt-LT"/>
              </w:rPr>
              <w:t>Visų CDE projektų naudotojų ir naudotojų grupių teisių valdymas.</w:t>
            </w:r>
          </w:p>
        </w:tc>
        <w:tc>
          <w:tcPr>
            <w:tcW w:w="3828" w:type="dxa"/>
            <w:tcBorders>
              <w:top w:val="nil"/>
              <w:left w:val="nil"/>
              <w:bottom w:val="single" w:sz="4" w:space="0" w:color="auto"/>
              <w:right w:val="single" w:sz="4" w:space="0" w:color="auto"/>
            </w:tcBorders>
            <w:vAlign w:val="center"/>
            <w:hideMark/>
          </w:tcPr>
          <w:p w14:paraId="2248B880" w14:textId="77777777" w:rsidR="00CC0268" w:rsidRPr="00CC4CE5" w:rsidRDefault="00CC0268">
            <w:pPr>
              <w:rPr>
                <w:rFonts w:ascii="Aptos Narrow" w:hAnsi="Aptos Narrow"/>
                <w:color w:val="000000"/>
                <w:sz w:val="22"/>
                <w:szCs w:val="22"/>
                <w:lang w:val="lt-LT"/>
              </w:rPr>
            </w:pPr>
            <w:r w:rsidRPr="00CC4CE5">
              <w:rPr>
                <w:rFonts w:ascii="Aptos Narrow" w:hAnsi="Aptos Narrow"/>
                <w:color w:val="000000"/>
                <w:sz w:val="22"/>
                <w:szCs w:val="22"/>
                <w:lang w:val="lt-LT"/>
              </w:rPr>
              <w:t>Administratoriui galima sukurti naudotojų grupes ir nustatyti joms skirtingas prieigos bei veiksmų teises.</w:t>
            </w:r>
          </w:p>
        </w:tc>
      </w:tr>
      <w:tr w:rsidR="00CC0268" w:rsidRPr="005A629B" w14:paraId="68BF4F42" w14:textId="77777777" w:rsidTr="003012AE">
        <w:trPr>
          <w:trHeight w:val="2030"/>
        </w:trPr>
        <w:tc>
          <w:tcPr>
            <w:tcW w:w="960" w:type="dxa"/>
            <w:tcBorders>
              <w:top w:val="nil"/>
              <w:left w:val="single" w:sz="4" w:space="0" w:color="auto"/>
              <w:bottom w:val="single" w:sz="4" w:space="0" w:color="auto"/>
              <w:right w:val="single" w:sz="4" w:space="0" w:color="auto"/>
            </w:tcBorders>
            <w:vAlign w:val="center"/>
            <w:hideMark/>
          </w:tcPr>
          <w:p w14:paraId="164564AA" w14:textId="77777777" w:rsidR="00CC0268" w:rsidRPr="00CC4CE5" w:rsidRDefault="00CC0268">
            <w:pPr>
              <w:rPr>
                <w:rFonts w:ascii="Aptos Narrow" w:hAnsi="Aptos Narrow"/>
                <w:b/>
                <w:bCs/>
                <w:color w:val="000000"/>
                <w:sz w:val="22"/>
                <w:szCs w:val="22"/>
                <w:lang w:val="lt-LT"/>
              </w:rPr>
            </w:pPr>
            <w:r w:rsidRPr="00CC4CE5">
              <w:rPr>
                <w:rFonts w:ascii="Aptos Narrow" w:hAnsi="Aptos Narrow"/>
                <w:b/>
                <w:bCs/>
                <w:color w:val="000000"/>
                <w:sz w:val="22"/>
                <w:szCs w:val="22"/>
                <w:lang w:val="lt-LT"/>
              </w:rPr>
              <w:t>1.5</w:t>
            </w:r>
          </w:p>
        </w:tc>
        <w:tc>
          <w:tcPr>
            <w:tcW w:w="2360" w:type="dxa"/>
            <w:tcBorders>
              <w:top w:val="nil"/>
              <w:left w:val="nil"/>
              <w:bottom w:val="single" w:sz="4" w:space="0" w:color="auto"/>
              <w:right w:val="single" w:sz="4" w:space="0" w:color="auto"/>
            </w:tcBorders>
            <w:vAlign w:val="center"/>
            <w:hideMark/>
          </w:tcPr>
          <w:p w14:paraId="7F338F2B" w14:textId="77777777" w:rsidR="00CC0268" w:rsidRPr="00CC4CE5" w:rsidRDefault="00CC0268">
            <w:pPr>
              <w:rPr>
                <w:rFonts w:ascii="Aptos Narrow" w:hAnsi="Aptos Narrow"/>
                <w:b/>
                <w:bCs/>
                <w:color w:val="000000"/>
                <w:sz w:val="22"/>
                <w:szCs w:val="22"/>
                <w:lang w:val="lt-LT"/>
              </w:rPr>
            </w:pPr>
            <w:r w:rsidRPr="00CC4CE5">
              <w:rPr>
                <w:rFonts w:ascii="Aptos Narrow" w:hAnsi="Aptos Narrow"/>
                <w:b/>
                <w:bCs/>
                <w:color w:val="000000"/>
                <w:sz w:val="22"/>
                <w:szCs w:val="22"/>
                <w:lang w:val="lt-LT"/>
              </w:rPr>
              <w:t>2D ir 3D projektinės informacijos valdymas</w:t>
            </w:r>
          </w:p>
        </w:tc>
        <w:tc>
          <w:tcPr>
            <w:tcW w:w="4760" w:type="dxa"/>
            <w:tcBorders>
              <w:top w:val="nil"/>
              <w:left w:val="nil"/>
              <w:bottom w:val="single" w:sz="4" w:space="0" w:color="auto"/>
              <w:right w:val="single" w:sz="4" w:space="0" w:color="auto"/>
            </w:tcBorders>
            <w:vAlign w:val="center"/>
            <w:hideMark/>
          </w:tcPr>
          <w:p w14:paraId="78085469" w14:textId="77777777" w:rsidR="00CC0268" w:rsidRPr="00CC4CE5" w:rsidRDefault="00CC0268">
            <w:pPr>
              <w:rPr>
                <w:rFonts w:ascii="Aptos Narrow" w:hAnsi="Aptos Narrow"/>
                <w:color w:val="000000"/>
                <w:sz w:val="22"/>
                <w:szCs w:val="22"/>
                <w:lang w:val="lt-LT"/>
              </w:rPr>
            </w:pPr>
            <w:r w:rsidRPr="00CC4CE5">
              <w:rPr>
                <w:rFonts w:ascii="Aptos Narrow" w:hAnsi="Aptos Narrow"/>
                <w:color w:val="000000"/>
                <w:sz w:val="22"/>
                <w:szCs w:val="22"/>
                <w:lang w:val="lt-LT"/>
              </w:rPr>
              <w:t>CDE turi užtikrinti 2D brėžinių ir BIM modelių įkėlimą, peržiūrą ir naudojimą projekto aplinkoje, kelių projekto dalių modelių bendrą peržiūrą, modelio elementų informacijos peržiūrą, filtravimą, matavimus, pjūvių formavimą, modelių versijų palyginimą bei 2D ir 3D projektinės informacijos tarpusavio naudojimą.</w:t>
            </w:r>
          </w:p>
        </w:tc>
        <w:tc>
          <w:tcPr>
            <w:tcW w:w="3255" w:type="dxa"/>
            <w:tcBorders>
              <w:top w:val="nil"/>
              <w:left w:val="nil"/>
              <w:bottom w:val="single" w:sz="4" w:space="0" w:color="auto"/>
              <w:right w:val="single" w:sz="4" w:space="0" w:color="auto"/>
            </w:tcBorders>
            <w:vAlign w:val="center"/>
            <w:hideMark/>
          </w:tcPr>
          <w:p w14:paraId="729B40A5" w14:textId="77777777" w:rsidR="00CC0268" w:rsidRPr="00CC4CE5" w:rsidRDefault="00CC0268">
            <w:pPr>
              <w:rPr>
                <w:rFonts w:ascii="Aptos Narrow" w:hAnsi="Aptos Narrow"/>
                <w:color w:val="000000"/>
                <w:sz w:val="22"/>
                <w:szCs w:val="22"/>
                <w:lang w:val="lt-LT"/>
              </w:rPr>
            </w:pPr>
            <w:r w:rsidRPr="00CC4CE5">
              <w:rPr>
                <w:rFonts w:ascii="Aptos Narrow" w:hAnsi="Aptos Narrow"/>
                <w:color w:val="000000"/>
                <w:sz w:val="22"/>
                <w:szCs w:val="22"/>
                <w:lang w:val="lt-LT"/>
              </w:rPr>
              <w:t>2D projektinės informacijos ir atskirų projekto dalių BIM modelių valdymas ir peržiūra.</w:t>
            </w:r>
          </w:p>
        </w:tc>
        <w:tc>
          <w:tcPr>
            <w:tcW w:w="3828" w:type="dxa"/>
            <w:tcBorders>
              <w:top w:val="nil"/>
              <w:left w:val="nil"/>
              <w:bottom w:val="single" w:sz="4" w:space="0" w:color="auto"/>
              <w:right w:val="single" w:sz="4" w:space="0" w:color="auto"/>
            </w:tcBorders>
            <w:vAlign w:val="center"/>
            <w:hideMark/>
          </w:tcPr>
          <w:p w14:paraId="490BE790" w14:textId="77777777" w:rsidR="00CC0268" w:rsidRPr="00CC4CE5" w:rsidRDefault="00CC0268">
            <w:pPr>
              <w:rPr>
                <w:rFonts w:ascii="Aptos Narrow" w:hAnsi="Aptos Narrow"/>
                <w:color w:val="000000"/>
                <w:sz w:val="22"/>
                <w:szCs w:val="22"/>
                <w:lang w:val="lt-LT"/>
              </w:rPr>
            </w:pPr>
            <w:r w:rsidRPr="00CC4CE5">
              <w:rPr>
                <w:rFonts w:ascii="Aptos Narrow" w:hAnsi="Aptos Narrow"/>
                <w:color w:val="000000"/>
                <w:sz w:val="22"/>
                <w:szCs w:val="22"/>
                <w:lang w:val="lt-LT"/>
              </w:rPr>
              <w:t>Galima peržiūrėti 2D brėžinius ir kelių projekto dalių modelius bendrame 3D vaizde, pasirinkti modelio elementą ir jo informaciją, filtruoti objektus, atlikti matavimus ir pjūvius bei palyginti modelio versijas.</w:t>
            </w:r>
          </w:p>
        </w:tc>
      </w:tr>
      <w:tr w:rsidR="00CC0268" w:rsidRPr="00CC4CE5" w14:paraId="4D853889" w14:textId="77777777" w:rsidTr="003012AE">
        <w:trPr>
          <w:trHeight w:val="2320"/>
        </w:trPr>
        <w:tc>
          <w:tcPr>
            <w:tcW w:w="960" w:type="dxa"/>
            <w:tcBorders>
              <w:top w:val="nil"/>
              <w:left w:val="single" w:sz="4" w:space="0" w:color="auto"/>
              <w:bottom w:val="single" w:sz="4" w:space="0" w:color="auto"/>
              <w:right w:val="single" w:sz="4" w:space="0" w:color="auto"/>
            </w:tcBorders>
            <w:vAlign w:val="center"/>
            <w:hideMark/>
          </w:tcPr>
          <w:p w14:paraId="0E508FEA" w14:textId="77777777" w:rsidR="00CC0268" w:rsidRPr="00CC4CE5" w:rsidRDefault="00CC0268">
            <w:pPr>
              <w:rPr>
                <w:rFonts w:ascii="Aptos Narrow" w:hAnsi="Aptos Narrow"/>
                <w:b/>
                <w:bCs/>
                <w:color w:val="000000"/>
                <w:sz w:val="22"/>
                <w:szCs w:val="22"/>
                <w:lang w:val="lt-LT"/>
              </w:rPr>
            </w:pPr>
            <w:r w:rsidRPr="00CC4CE5">
              <w:rPr>
                <w:rFonts w:ascii="Aptos Narrow" w:hAnsi="Aptos Narrow"/>
                <w:b/>
                <w:bCs/>
                <w:color w:val="000000"/>
                <w:sz w:val="22"/>
                <w:szCs w:val="22"/>
                <w:lang w:val="lt-LT"/>
              </w:rPr>
              <w:lastRenderedPageBreak/>
              <w:t>1.6</w:t>
            </w:r>
          </w:p>
        </w:tc>
        <w:tc>
          <w:tcPr>
            <w:tcW w:w="2360" w:type="dxa"/>
            <w:tcBorders>
              <w:top w:val="nil"/>
              <w:left w:val="nil"/>
              <w:bottom w:val="single" w:sz="4" w:space="0" w:color="auto"/>
              <w:right w:val="single" w:sz="4" w:space="0" w:color="auto"/>
            </w:tcBorders>
            <w:vAlign w:val="center"/>
            <w:hideMark/>
          </w:tcPr>
          <w:p w14:paraId="43ADBDED" w14:textId="77777777" w:rsidR="00CC0268" w:rsidRPr="00CC4CE5" w:rsidRDefault="00CC0268">
            <w:pPr>
              <w:rPr>
                <w:rFonts w:ascii="Aptos Narrow" w:hAnsi="Aptos Narrow"/>
                <w:b/>
                <w:bCs/>
                <w:color w:val="000000"/>
                <w:sz w:val="22"/>
                <w:szCs w:val="22"/>
                <w:lang w:val="lt-LT"/>
              </w:rPr>
            </w:pPr>
            <w:r w:rsidRPr="00CC4CE5">
              <w:rPr>
                <w:rFonts w:ascii="Aptos Narrow" w:hAnsi="Aptos Narrow"/>
                <w:b/>
                <w:bCs/>
                <w:color w:val="000000"/>
                <w:sz w:val="22"/>
                <w:szCs w:val="22"/>
                <w:lang w:val="lt-LT"/>
              </w:rPr>
              <w:t>Erdvinės ir infrastruktūros projekto informacijos valdymas</w:t>
            </w:r>
          </w:p>
        </w:tc>
        <w:tc>
          <w:tcPr>
            <w:tcW w:w="4760" w:type="dxa"/>
            <w:tcBorders>
              <w:top w:val="nil"/>
              <w:left w:val="nil"/>
              <w:bottom w:val="single" w:sz="4" w:space="0" w:color="auto"/>
              <w:right w:val="single" w:sz="4" w:space="0" w:color="auto"/>
            </w:tcBorders>
            <w:vAlign w:val="center"/>
            <w:hideMark/>
          </w:tcPr>
          <w:p w14:paraId="7B5C1698" w14:textId="1F07BAE8" w:rsidR="00CC0268" w:rsidRPr="00A7711B" w:rsidRDefault="00A7711B">
            <w:pPr>
              <w:rPr>
                <w:rFonts w:ascii="Aptos Narrow" w:hAnsi="Aptos Narrow"/>
                <w:color w:val="000000"/>
                <w:sz w:val="22"/>
                <w:szCs w:val="22"/>
                <w:lang w:val="lt-LT"/>
              </w:rPr>
            </w:pPr>
            <w:r w:rsidRPr="00A7711B">
              <w:rPr>
                <w:rFonts w:ascii="Aptos Narrow" w:hAnsi="Aptos Narrow"/>
                <w:color w:val="000000"/>
                <w:sz w:val="22"/>
                <w:szCs w:val="22"/>
                <w:lang w:val="lt-LT"/>
              </w:rPr>
              <w:t xml:space="preserve">CDE turi užtikrinti projekto informacijos valdymą realiame erdviniame kontekste, naudojant projekto koordinačių sistemą, žemėlapį ir GIS ar kitą lygiavertę </w:t>
            </w:r>
            <w:proofErr w:type="spellStart"/>
            <w:r w:rsidRPr="00A7711B">
              <w:rPr>
                <w:rFonts w:ascii="Aptos Narrow" w:hAnsi="Aptos Narrow"/>
                <w:color w:val="000000"/>
                <w:sz w:val="22"/>
                <w:szCs w:val="22"/>
                <w:lang w:val="lt-LT"/>
              </w:rPr>
              <w:t>georeferencinę</w:t>
            </w:r>
            <w:proofErr w:type="spellEnd"/>
            <w:r w:rsidRPr="00A7711B">
              <w:rPr>
                <w:rFonts w:ascii="Aptos Narrow" w:hAnsi="Aptos Narrow"/>
                <w:color w:val="000000"/>
                <w:sz w:val="22"/>
                <w:szCs w:val="22"/>
                <w:lang w:val="lt-LT"/>
              </w:rPr>
              <w:t xml:space="preserve"> informaciją. Infrastruktūros projektuose turi būti galima valdyti arba atvaizduoti linijinių objektų trasas, atkarpas, zonas ar kitą lygiavertę erdvinio segmentavimo struktūrą bei susieti ją su projekto informacija.</w:t>
            </w:r>
          </w:p>
        </w:tc>
        <w:tc>
          <w:tcPr>
            <w:tcW w:w="3255" w:type="dxa"/>
            <w:tcBorders>
              <w:top w:val="nil"/>
              <w:left w:val="nil"/>
              <w:bottom w:val="single" w:sz="4" w:space="0" w:color="auto"/>
              <w:right w:val="single" w:sz="4" w:space="0" w:color="auto"/>
            </w:tcBorders>
            <w:vAlign w:val="center"/>
            <w:hideMark/>
          </w:tcPr>
          <w:p w14:paraId="16DBBBD5" w14:textId="77777777" w:rsidR="00CC0268" w:rsidRPr="00CC4CE5" w:rsidRDefault="00CC0268">
            <w:pPr>
              <w:rPr>
                <w:rFonts w:ascii="Aptos Narrow" w:hAnsi="Aptos Narrow"/>
                <w:color w:val="000000"/>
                <w:sz w:val="22"/>
                <w:szCs w:val="22"/>
                <w:lang w:val="lt-LT"/>
              </w:rPr>
            </w:pPr>
            <w:r w:rsidRPr="00CC4CE5">
              <w:rPr>
                <w:rFonts w:ascii="Aptos Narrow" w:hAnsi="Aptos Narrow"/>
                <w:color w:val="000000"/>
                <w:sz w:val="22"/>
                <w:szCs w:val="22"/>
                <w:lang w:val="lt-LT"/>
              </w:rPr>
              <w:t>Pastatų, teritorinių ir linijinių infrastruktūros objektų erdvinės informacijos valdymas.</w:t>
            </w:r>
          </w:p>
        </w:tc>
        <w:tc>
          <w:tcPr>
            <w:tcW w:w="3828" w:type="dxa"/>
            <w:tcBorders>
              <w:top w:val="nil"/>
              <w:left w:val="nil"/>
              <w:bottom w:val="single" w:sz="4" w:space="0" w:color="auto"/>
              <w:right w:val="single" w:sz="4" w:space="0" w:color="auto"/>
            </w:tcBorders>
            <w:vAlign w:val="center"/>
            <w:hideMark/>
          </w:tcPr>
          <w:p w14:paraId="06C1A28A" w14:textId="3DC19D74" w:rsidR="00CC0268" w:rsidRPr="00CC4CE5" w:rsidRDefault="00E916DC">
            <w:pPr>
              <w:rPr>
                <w:rFonts w:ascii="Aptos Narrow" w:hAnsi="Aptos Narrow"/>
                <w:color w:val="000000"/>
                <w:sz w:val="22"/>
                <w:szCs w:val="22"/>
                <w:lang w:val="lt-LT"/>
              </w:rPr>
            </w:pPr>
            <w:proofErr w:type="spellStart"/>
            <w:r w:rsidRPr="00E916DC">
              <w:rPr>
                <w:rFonts w:ascii="Aptos Narrow" w:hAnsi="Aptos Narrow"/>
                <w:color w:val="000000"/>
                <w:sz w:val="22"/>
                <w:szCs w:val="22"/>
              </w:rPr>
              <w:t>Projekto</w:t>
            </w:r>
            <w:proofErr w:type="spellEnd"/>
            <w:r w:rsidRPr="00E916DC">
              <w:rPr>
                <w:rFonts w:ascii="Aptos Narrow" w:hAnsi="Aptos Narrow"/>
                <w:color w:val="000000"/>
                <w:sz w:val="22"/>
                <w:szCs w:val="22"/>
              </w:rPr>
              <w:t xml:space="preserve"> </w:t>
            </w:r>
            <w:proofErr w:type="spellStart"/>
            <w:r w:rsidRPr="00E916DC">
              <w:rPr>
                <w:rFonts w:ascii="Aptos Narrow" w:hAnsi="Aptos Narrow"/>
                <w:color w:val="000000"/>
                <w:sz w:val="22"/>
                <w:szCs w:val="22"/>
              </w:rPr>
              <w:t>modeliai</w:t>
            </w:r>
            <w:proofErr w:type="spellEnd"/>
            <w:r w:rsidRPr="00E916DC">
              <w:rPr>
                <w:rFonts w:ascii="Aptos Narrow" w:hAnsi="Aptos Narrow"/>
                <w:color w:val="000000"/>
                <w:sz w:val="22"/>
                <w:szCs w:val="22"/>
              </w:rPr>
              <w:t xml:space="preserve">, </w:t>
            </w:r>
            <w:proofErr w:type="spellStart"/>
            <w:r w:rsidRPr="00E916DC">
              <w:rPr>
                <w:rFonts w:ascii="Aptos Narrow" w:hAnsi="Aptos Narrow"/>
                <w:color w:val="000000"/>
                <w:sz w:val="22"/>
                <w:szCs w:val="22"/>
              </w:rPr>
              <w:t>brėžiniai</w:t>
            </w:r>
            <w:proofErr w:type="spellEnd"/>
            <w:r w:rsidRPr="00E916DC">
              <w:rPr>
                <w:rFonts w:ascii="Aptos Narrow" w:hAnsi="Aptos Narrow"/>
                <w:color w:val="000000"/>
                <w:sz w:val="22"/>
                <w:szCs w:val="22"/>
              </w:rPr>
              <w:t xml:space="preserve"> </w:t>
            </w:r>
            <w:proofErr w:type="spellStart"/>
            <w:r w:rsidRPr="00E916DC">
              <w:rPr>
                <w:rFonts w:ascii="Aptos Narrow" w:hAnsi="Aptos Narrow"/>
                <w:color w:val="000000"/>
                <w:sz w:val="22"/>
                <w:szCs w:val="22"/>
              </w:rPr>
              <w:t>ir</w:t>
            </w:r>
            <w:proofErr w:type="spellEnd"/>
            <w:r w:rsidRPr="00E916DC">
              <w:rPr>
                <w:rFonts w:ascii="Aptos Narrow" w:hAnsi="Aptos Narrow"/>
                <w:color w:val="000000"/>
                <w:sz w:val="22"/>
                <w:szCs w:val="22"/>
              </w:rPr>
              <w:t xml:space="preserve"> </w:t>
            </w:r>
            <w:proofErr w:type="spellStart"/>
            <w:r w:rsidRPr="00E916DC">
              <w:rPr>
                <w:rFonts w:ascii="Aptos Narrow" w:hAnsi="Aptos Narrow"/>
                <w:color w:val="000000"/>
                <w:sz w:val="22"/>
                <w:szCs w:val="22"/>
              </w:rPr>
              <w:t>kita</w:t>
            </w:r>
            <w:proofErr w:type="spellEnd"/>
            <w:r w:rsidRPr="00E916DC">
              <w:rPr>
                <w:rFonts w:ascii="Aptos Narrow" w:hAnsi="Aptos Narrow"/>
                <w:color w:val="000000"/>
                <w:sz w:val="22"/>
                <w:szCs w:val="22"/>
              </w:rPr>
              <w:t xml:space="preserve"> </w:t>
            </w:r>
            <w:proofErr w:type="spellStart"/>
            <w:r w:rsidRPr="00E916DC">
              <w:rPr>
                <w:rFonts w:ascii="Aptos Narrow" w:hAnsi="Aptos Narrow"/>
                <w:color w:val="000000"/>
                <w:sz w:val="22"/>
                <w:szCs w:val="22"/>
              </w:rPr>
              <w:t>georeferencinė</w:t>
            </w:r>
            <w:proofErr w:type="spellEnd"/>
            <w:r w:rsidRPr="00E916DC">
              <w:rPr>
                <w:rFonts w:ascii="Aptos Narrow" w:hAnsi="Aptos Narrow"/>
                <w:color w:val="000000"/>
                <w:sz w:val="22"/>
                <w:szCs w:val="22"/>
              </w:rPr>
              <w:t xml:space="preserve"> </w:t>
            </w:r>
            <w:proofErr w:type="spellStart"/>
            <w:r w:rsidRPr="00E916DC">
              <w:rPr>
                <w:rFonts w:ascii="Aptos Narrow" w:hAnsi="Aptos Narrow"/>
                <w:color w:val="000000"/>
                <w:sz w:val="22"/>
                <w:szCs w:val="22"/>
              </w:rPr>
              <w:t>informacija</w:t>
            </w:r>
            <w:proofErr w:type="spellEnd"/>
            <w:r w:rsidRPr="00E916DC">
              <w:rPr>
                <w:rFonts w:ascii="Aptos Narrow" w:hAnsi="Aptos Narrow"/>
                <w:color w:val="000000"/>
                <w:sz w:val="22"/>
                <w:szCs w:val="22"/>
              </w:rPr>
              <w:t xml:space="preserve"> </w:t>
            </w:r>
            <w:proofErr w:type="spellStart"/>
            <w:r w:rsidRPr="00E916DC">
              <w:rPr>
                <w:rFonts w:ascii="Aptos Narrow" w:hAnsi="Aptos Narrow"/>
                <w:color w:val="000000"/>
                <w:sz w:val="22"/>
                <w:szCs w:val="22"/>
              </w:rPr>
              <w:t>pateikiami</w:t>
            </w:r>
            <w:proofErr w:type="spellEnd"/>
            <w:r w:rsidRPr="00E916DC">
              <w:rPr>
                <w:rFonts w:ascii="Aptos Narrow" w:hAnsi="Aptos Narrow"/>
                <w:color w:val="000000"/>
                <w:sz w:val="22"/>
                <w:szCs w:val="22"/>
              </w:rPr>
              <w:t xml:space="preserve"> </w:t>
            </w:r>
            <w:proofErr w:type="spellStart"/>
            <w:r w:rsidRPr="00E916DC">
              <w:rPr>
                <w:rFonts w:ascii="Aptos Narrow" w:hAnsi="Aptos Narrow"/>
                <w:color w:val="000000"/>
                <w:sz w:val="22"/>
                <w:szCs w:val="22"/>
              </w:rPr>
              <w:t>bendrame</w:t>
            </w:r>
            <w:proofErr w:type="spellEnd"/>
            <w:r w:rsidRPr="00E916DC">
              <w:rPr>
                <w:rFonts w:ascii="Aptos Narrow" w:hAnsi="Aptos Narrow"/>
                <w:color w:val="000000"/>
                <w:sz w:val="22"/>
                <w:szCs w:val="22"/>
              </w:rPr>
              <w:t xml:space="preserve"> </w:t>
            </w:r>
            <w:proofErr w:type="spellStart"/>
            <w:r w:rsidRPr="00E916DC">
              <w:rPr>
                <w:rFonts w:ascii="Aptos Narrow" w:hAnsi="Aptos Narrow"/>
                <w:color w:val="000000"/>
                <w:sz w:val="22"/>
                <w:szCs w:val="22"/>
              </w:rPr>
              <w:t>realiame</w:t>
            </w:r>
            <w:proofErr w:type="spellEnd"/>
            <w:r w:rsidRPr="00E916DC">
              <w:rPr>
                <w:rFonts w:ascii="Aptos Narrow" w:hAnsi="Aptos Narrow"/>
                <w:color w:val="000000"/>
                <w:sz w:val="22"/>
                <w:szCs w:val="22"/>
              </w:rPr>
              <w:t xml:space="preserve"> </w:t>
            </w:r>
            <w:proofErr w:type="spellStart"/>
            <w:r w:rsidRPr="00E916DC">
              <w:rPr>
                <w:rFonts w:ascii="Aptos Narrow" w:hAnsi="Aptos Narrow"/>
                <w:color w:val="000000"/>
                <w:sz w:val="22"/>
                <w:szCs w:val="22"/>
              </w:rPr>
              <w:t>erdviniame</w:t>
            </w:r>
            <w:proofErr w:type="spellEnd"/>
            <w:r w:rsidRPr="00E916DC">
              <w:rPr>
                <w:rFonts w:ascii="Aptos Narrow" w:hAnsi="Aptos Narrow"/>
                <w:color w:val="000000"/>
                <w:sz w:val="22"/>
                <w:szCs w:val="22"/>
              </w:rPr>
              <w:t xml:space="preserve"> </w:t>
            </w:r>
            <w:proofErr w:type="spellStart"/>
            <w:r w:rsidRPr="00E916DC">
              <w:rPr>
                <w:rFonts w:ascii="Aptos Narrow" w:hAnsi="Aptos Narrow"/>
                <w:color w:val="000000"/>
                <w:sz w:val="22"/>
                <w:szCs w:val="22"/>
              </w:rPr>
              <w:t>kontekste</w:t>
            </w:r>
            <w:proofErr w:type="spellEnd"/>
            <w:r w:rsidRPr="00E916DC">
              <w:rPr>
                <w:rFonts w:ascii="Aptos Narrow" w:hAnsi="Aptos Narrow"/>
                <w:color w:val="000000"/>
                <w:sz w:val="22"/>
                <w:szCs w:val="22"/>
              </w:rPr>
              <w:t xml:space="preserve"> </w:t>
            </w:r>
            <w:proofErr w:type="spellStart"/>
            <w:r w:rsidRPr="00E916DC">
              <w:rPr>
                <w:rFonts w:ascii="Aptos Narrow" w:hAnsi="Aptos Narrow"/>
                <w:color w:val="000000"/>
                <w:sz w:val="22"/>
                <w:szCs w:val="22"/>
              </w:rPr>
              <w:t>pagal</w:t>
            </w:r>
            <w:proofErr w:type="spellEnd"/>
            <w:r w:rsidRPr="00E916DC">
              <w:rPr>
                <w:rFonts w:ascii="Aptos Narrow" w:hAnsi="Aptos Narrow"/>
                <w:color w:val="000000"/>
                <w:sz w:val="22"/>
                <w:szCs w:val="22"/>
              </w:rPr>
              <w:t xml:space="preserve"> </w:t>
            </w:r>
            <w:proofErr w:type="spellStart"/>
            <w:r w:rsidRPr="00E916DC">
              <w:rPr>
                <w:rFonts w:ascii="Aptos Narrow" w:hAnsi="Aptos Narrow"/>
                <w:color w:val="000000"/>
                <w:sz w:val="22"/>
                <w:szCs w:val="22"/>
              </w:rPr>
              <w:t>projekto</w:t>
            </w:r>
            <w:proofErr w:type="spellEnd"/>
            <w:r w:rsidRPr="00E916DC">
              <w:rPr>
                <w:rFonts w:ascii="Aptos Narrow" w:hAnsi="Aptos Narrow"/>
                <w:color w:val="000000"/>
                <w:sz w:val="22"/>
                <w:szCs w:val="22"/>
              </w:rPr>
              <w:t xml:space="preserve"> </w:t>
            </w:r>
            <w:proofErr w:type="spellStart"/>
            <w:r w:rsidRPr="00E916DC">
              <w:rPr>
                <w:rFonts w:ascii="Aptos Narrow" w:hAnsi="Aptos Narrow"/>
                <w:color w:val="000000"/>
                <w:sz w:val="22"/>
                <w:szCs w:val="22"/>
              </w:rPr>
              <w:t>koordinačių</w:t>
            </w:r>
            <w:proofErr w:type="spellEnd"/>
            <w:r w:rsidRPr="00E916DC">
              <w:rPr>
                <w:rFonts w:ascii="Aptos Narrow" w:hAnsi="Aptos Narrow"/>
                <w:color w:val="000000"/>
                <w:sz w:val="22"/>
                <w:szCs w:val="22"/>
              </w:rPr>
              <w:t xml:space="preserve"> </w:t>
            </w:r>
            <w:proofErr w:type="spellStart"/>
            <w:r w:rsidRPr="00E916DC">
              <w:rPr>
                <w:rFonts w:ascii="Aptos Narrow" w:hAnsi="Aptos Narrow"/>
                <w:color w:val="000000"/>
                <w:sz w:val="22"/>
                <w:szCs w:val="22"/>
              </w:rPr>
              <w:t>sistemą</w:t>
            </w:r>
            <w:proofErr w:type="spellEnd"/>
            <w:r w:rsidRPr="00E916DC">
              <w:rPr>
                <w:rFonts w:ascii="Aptos Narrow" w:hAnsi="Aptos Narrow"/>
                <w:color w:val="000000"/>
                <w:sz w:val="22"/>
                <w:szCs w:val="22"/>
              </w:rPr>
              <w:t xml:space="preserve">. </w:t>
            </w:r>
            <w:proofErr w:type="spellStart"/>
            <w:r w:rsidRPr="00E916DC">
              <w:rPr>
                <w:rFonts w:ascii="Aptos Narrow" w:hAnsi="Aptos Narrow"/>
                <w:color w:val="000000"/>
                <w:sz w:val="22"/>
                <w:szCs w:val="22"/>
              </w:rPr>
              <w:t>Infrastruktūros</w:t>
            </w:r>
            <w:proofErr w:type="spellEnd"/>
            <w:r w:rsidRPr="00E916DC">
              <w:rPr>
                <w:rFonts w:ascii="Aptos Narrow" w:hAnsi="Aptos Narrow"/>
                <w:color w:val="000000"/>
                <w:sz w:val="22"/>
                <w:szCs w:val="22"/>
              </w:rPr>
              <w:t xml:space="preserve"> </w:t>
            </w:r>
            <w:proofErr w:type="spellStart"/>
            <w:r w:rsidRPr="00E916DC">
              <w:rPr>
                <w:rFonts w:ascii="Aptos Narrow" w:hAnsi="Aptos Narrow"/>
                <w:color w:val="000000"/>
                <w:sz w:val="22"/>
                <w:szCs w:val="22"/>
              </w:rPr>
              <w:t>projekte</w:t>
            </w:r>
            <w:proofErr w:type="spellEnd"/>
            <w:r w:rsidRPr="00E916DC">
              <w:rPr>
                <w:rFonts w:ascii="Aptos Narrow" w:hAnsi="Aptos Narrow"/>
                <w:color w:val="000000"/>
                <w:sz w:val="22"/>
                <w:szCs w:val="22"/>
              </w:rPr>
              <w:t xml:space="preserve"> </w:t>
            </w:r>
            <w:proofErr w:type="spellStart"/>
            <w:r w:rsidRPr="00E916DC">
              <w:rPr>
                <w:rFonts w:ascii="Aptos Narrow" w:hAnsi="Aptos Narrow"/>
                <w:color w:val="000000"/>
                <w:sz w:val="22"/>
                <w:szCs w:val="22"/>
              </w:rPr>
              <w:t>galima</w:t>
            </w:r>
            <w:proofErr w:type="spellEnd"/>
            <w:r w:rsidRPr="00E916DC">
              <w:rPr>
                <w:rFonts w:ascii="Aptos Narrow" w:hAnsi="Aptos Narrow"/>
                <w:color w:val="000000"/>
                <w:sz w:val="22"/>
                <w:szCs w:val="22"/>
              </w:rPr>
              <w:t xml:space="preserve"> </w:t>
            </w:r>
            <w:proofErr w:type="spellStart"/>
            <w:r w:rsidRPr="00E916DC">
              <w:rPr>
                <w:rFonts w:ascii="Aptos Narrow" w:hAnsi="Aptos Narrow"/>
                <w:color w:val="000000"/>
                <w:sz w:val="22"/>
                <w:szCs w:val="22"/>
              </w:rPr>
              <w:t>identifikuoti</w:t>
            </w:r>
            <w:proofErr w:type="spellEnd"/>
            <w:r w:rsidRPr="00E916DC">
              <w:rPr>
                <w:rFonts w:ascii="Aptos Narrow" w:hAnsi="Aptos Narrow"/>
                <w:color w:val="000000"/>
                <w:sz w:val="22"/>
                <w:szCs w:val="22"/>
              </w:rPr>
              <w:t xml:space="preserve"> </w:t>
            </w:r>
            <w:proofErr w:type="spellStart"/>
            <w:r w:rsidRPr="00E916DC">
              <w:rPr>
                <w:rFonts w:ascii="Aptos Narrow" w:hAnsi="Aptos Narrow"/>
                <w:color w:val="000000"/>
                <w:sz w:val="22"/>
                <w:szCs w:val="22"/>
              </w:rPr>
              <w:t>linijinio</w:t>
            </w:r>
            <w:proofErr w:type="spellEnd"/>
            <w:r w:rsidRPr="00E916DC">
              <w:rPr>
                <w:rFonts w:ascii="Aptos Narrow" w:hAnsi="Aptos Narrow"/>
                <w:color w:val="000000"/>
                <w:sz w:val="22"/>
                <w:szCs w:val="22"/>
              </w:rPr>
              <w:t xml:space="preserve"> </w:t>
            </w:r>
            <w:proofErr w:type="spellStart"/>
            <w:r w:rsidRPr="00E916DC">
              <w:rPr>
                <w:rFonts w:ascii="Aptos Narrow" w:hAnsi="Aptos Narrow"/>
                <w:color w:val="000000"/>
                <w:sz w:val="22"/>
                <w:szCs w:val="22"/>
              </w:rPr>
              <w:t>objekto</w:t>
            </w:r>
            <w:proofErr w:type="spellEnd"/>
            <w:r w:rsidRPr="00E916DC">
              <w:rPr>
                <w:rFonts w:ascii="Aptos Narrow" w:hAnsi="Aptos Narrow"/>
                <w:color w:val="000000"/>
                <w:sz w:val="22"/>
                <w:szCs w:val="22"/>
              </w:rPr>
              <w:t xml:space="preserve"> </w:t>
            </w:r>
            <w:proofErr w:type="spellStart"/>
            <w:r w:rsidRPr="00E916DC">
              <w:rPr>
                <w:rFonts w:ascii="Aptos Narrow" w:hAnsi="Aptos Narrow"/>
                <w:color w:val="000000"/>
                <w:sz w:val="22"/>
                <w:szCs w:val="22"/>
              </w:rPr>
              <w:t>trasą</w:t>
            </w:r>
            <w:proofErr w:type="spellEnd"/>
            <w:r w:rsidRPr="00E916DC">
              <w:rPr>
                <w:rFonts w:ascii="Aptos Narrow" w:hAnsi="Aptos Narrow"/>
                <w:color w:val="000000"/>
                <w:sz w:val="22"/>
                <w:szCs w:val="22"/>
              </w:rPr>
              <w:t xml:space="preserve">, </w:t>
            </w:r>
            <w:proofErr w:type="spellStart"/>
            <w:r w:rsidRPr="00E916DC">
              <w:rPr>
                <w:rFonts w:ascii="Aptos Narrow" w:hAnsi="Aptos Narrow"/>
                <w:color w:val="000000"/>
                <w:sz w:val="22"/>
                <w:szCs w:val="22"/>
              </w:rPr>
              <w:t>atkarpą</w:t>
            </w:r>
            <w:proofErr w:type="spellEnd"/>
            <w:r w:rsidRPr="00E916DC">
              <w:rPr>
                <w:rFonts w:ascii="Aptos Narrow" w:hAnsi="Aptos Narrow"/>
                <w:color w:val="000000"/>
                <w:sz w:val="22"/>
                <w:szCs w:val="22"/>
              </w:rPr>
              <w:t xml:space="preserve">, </w:t>
            </w:r>
            <w:proofErr w:type="spellStart"/>
            <w:r w:rsidRPr="00E916DC">
              <w:rPr>
                <w:rFonts w:ascii="Aptos Narrow" w:hAnsi="Aptos Narrow"/>
                <w:color w:val="000000"/>
                <w:sz w:val="22"/>
                <w:szCs w:val="22"/>
              </w:rPr>
              <w:t>zoną</w:t>
            </w:r>
            <w:proofErr w:type="spellEnd"/>
            <w:r w:rsidRPr="00E916DC">
              <w:rPr>
                <w:rFonts w:ascii="Aptos Narrow" w:hAnsi="Aptos Narrow"/>
                <w:color w:val="000000"/>
                <w:sz w:val="22"/>
                <w:szCs w:val="22"/>
              </w:rPr>
              <w:t xml:space="preserve"> </w:t>
            </w:r>
            <w:proofErr w:type="spellStart"/>
            <w:r w:rsidRPr="00E916DC">
              <w:rPr>
                <w:rFonts w:ascii="Aptos Narrow" w:hAnsi="Aptos Narrow"/>
                <w:color w:val="000000"/>
                <w:sz w:val="22"/>
                <w:szCs w:val="22"/>
              </w:rPr>
              <w:t>ar</w:t>
            </w:r>
            <w:proofErr w:type="spellEnd"/>
            <w:r w:rsidRPr="00E916DC">
              <w:rPr>
                <w:rFonts w:ascii="Aptos Narrow" w:hAnsi="Aptos Narrow"/>
                <w:color w:val="000000"/>
                <w:sz w:val="22"/>
                <w:szCs w:val="22"/>
              </w:rPr>
              <w:t xml:space="preserve"> </w:t>
            </w:r>
            <w:proofErr w:type="spellStart"/>
            <w:r w:rsidRPr="00E916DC">
              <w:rPr>
                <w:rFonts w:ascii="Aptos Narrow" w:hAnsi="Aptos Narrow"/>
                <w:color w:val="000000"/>
                <w:sz w:val="22"/>
                <w:szCs w:val="22"/>
              </w:rPr>
              <w:t>kitą</w:t>
            </w:r>
            <w:proofErr w:type="spellEnd"/>
            <w:r w:rsidRPr="00E916DC">
              <w:rPr>
                <w:rFonts w:ascii="Aptos Narrow" w:hAnsi="Aptos Narrow"/>
                <w:color w:val="000000"/>
                <w:sz w:val="22"/>
                <w:szCs w:val="22"/>
              </w:rPr>
              <w:t xml:space="preserve"> </w:t>
            </w:r>
            <w:proofErr w:type="spellStart"/>
            <w:r w:rsidRPr="00E916DC">
              <w:rPr>
                <w:rFonts w:ascii="Aptos Narrow" w:hAnsi="Aptos Narrow"/>
                <w:color w:val="000000"/>
                <w:sz w:val="22"/>
                <w:szCs w:val="22"/>
              </w:rPr>
              <w:t>lygiavertę</w:t>
            </w:r>
            <w:proofErr w:type="spellEnd"/>
            <w:r w:rsidRPr="00E916DC">
              <w:rPr>
                <w:rFonts w:ascii="Aptos Narrow" w:hAnsi="Aptos Narrow"/>
                <w:color w:val="000000"/>
                <w:sz w:val="22"/>
                <w:szCs w:val="22"/>
              </w:rPr>
              <w:t xml:space="preserve"> </w:t>
            </w:r>
            <w:proofErr w:type="spellStart"/>
            <w:r w:rsidRPr="00E916DC">
              <w:rPr>
                <w:rFonts w:ascii="Aptos Narrow" w:hAnsi="Aptos Narrow"/>
                <w:color w:val="000000"/>
                <w:sz w:val="22"/>
                <w:szCs w:val="22"/>
              </w:rPr>
              <w:t>erdvinio</w:t>
            </w:r>
            <w:proofErr w:type="spellEnd"/>
            <w:r w:rsidRPr="00E916DC">
              <w:rPr>
                <w:rFonts w:ascii="Aptos Narrow" w:hAnsi="Aptos Narrow"/>
                <w:color w:val="000000"/>
                <w:sz w:val="22"/>
                <w:szCs w:val="22"/>
              </w:rPr>
              <w:t xml:space="preserve"> </w:t>
            </w:r>
            <w:proofErr w:type="spellStart"/>
            <w:r w:rsidRPr="00E916DC">
              <w:rPr>
                <w:rFonts w:ascii="Aptos Narrow" w:hAnsi="Aptos Narrow"/>
                <w:color w:val="000000"/>
                <w:sz w:val="22"/>
                <w:szCs w:val="22"/>
              </w:rPr>
              <w:t>segmentavimo</w:t>
            </w:r>
            <w:proofErr w:type="spellEnd"/>
            <w:r w:rsidRPr="00E916DC">
              <w:rPr>
                <w:rFonts w:ascii="Aptos Narrow" w:hAnsi="Aptos Narrow"/>
                <w:color w:val="000000"/>
                <w:sz w:val="22"/>
                <w:szCs w:val="22"/>
              </w:rPr>
              <w:t xml:space="preserve"> </w:t>
            </w:r>
            <w:proofErr w:type="spellStart"/>
            <w:r w:rsidRPr="00E916DC">
              <w:rPr>
                <w:rFonts w:ascii="Aptos Narrow" w:hAnsi="Aptos Narrow"/>
                <w:color w:val="000000"/>
                <w:sz w:val="22"/>
                <w:szCs w:val="22"/>
              </w:rPr>
              <w:t>struktūrą</w:t>
            </w:r>
            <w:proofErr w:type="spellEnd"/>
            <w:r w:rsidRPr="00E916DC">
              <w:rPr>
                <w:rFonts w:ascii="Aptos Narrow" w:hAnsi="Aptos Narrow"/>
                <w:color w:val="000000"/>
                <w:sz w:val="22"/>
                <w:szCs w:val="22"/>
              </w:rPr>
              <w:t xml:space="preserve"> </w:t>
            </w:r>
            <w:proofErr w:type="spellStart"/>
            <w:r w:rsidRPr="00E916DC">
              <w:rPr>
                <w:rFonts w:ascii="Aptos Narrow" w:hAnsi="Aptos Narrow"/>
                <w:color w:val="000000"/>
                <w:sz w:val="22"/>
                <w:szCs w:val="22"/>
              </w:rPr>
              <w:t>ir</w:t>
            </w:r>
            <w:proofErr w:type="spellEnd"/>
            <w:r w:rsidRPr="00E916DC">
              <w:rPr>
                <w:rFonts w:ascii="Aptos Narrow" w:hAnsi="Aptos Narrow"/>
                <w:color w:val="000000"/>
                <w:sz w:val="22"/>
                <w:szCs w:val="22"/>
              </w:rPr>
              <w:t xml:space="preserve"> </w:t>
            </w:r>
            <w:proofErr w:type="spellStart"/>
            <w:r w:rsidRPr="00E916DC">
              <w:rPr>
                <w:rFonts w:ascii="Aptos Narrow" w:hAnsi="Aptos Narrow"/>
                <w:color w:val="000000"/>
                <w:sz w:val="22"/>
                <w:szCs w:val="22"/>
              </w:rPr>
              <w:t>susieti</w:t>
            </w:r>
            <w:proofErr w:type="spellEnd"/>
            <w:r w:rsidRPr="00E916DC">
              <w:rPr>
                <w:rFonts w:ascii="Aptos Narrow" w:hAnsi="Aptos Narrow"/>
                <w:color w:val="000000"/>
                <w:sz w:val="22"/>
                <w:szCs w:val="22"/>
              </w:rPr>
              <w:t xml:space="preserve"> </w:t>
            </w:r>
            <w:proofErr w:type="spellStart"/>
            <w:r w:rsidRPr="00E916DC">
              <w:rPr>
                <w:rFonts w:ascii="Aptos Narrow" w:hAnsi="Aptos Narrow"/>
                <w:color w:val="000000"/>
                <w:sz w:val="22"/>
                <w:szCs w:val="22"/>
              </w:rPr>
              <w:t>su</w:t>
            </w:r>
            <w:proofErr w:type="spellEnd"/>
            <w:r w:rsidRPr="00E916DC">
              <w:rPr>
                <w:rFonts w:ascii="Aptos Narrow" w:hAnsi="Aptos Narrow"/>
                <w:color w:val="000000"/>
                <w:sz w:val="22"/>
                <w:szCs w:val="22"/>
              </w:rPr>
              <w:t xml:space="preserve"> </w:t>
            </w:r>
            <w:proofErr w:type="spellStart"/>
            <w:r w:rsidRPr="00E916DC">
              <w:rPr>
                <w:rFonts w:ascii="Aptos Narrow" w:hAnsi="Aptos Narrow"/>
                <w:color w:val="000000"/>
                <w:sz w:val="22"/>
                <w:szCs w:val="22"/>
              </w:rPr>
              <w:t>ja</w:t>
            </w:r>
            <w:proofErr w:type="spellEnd"/>
            <w:r w:rsidRPr="00E916DC">
              <w:rPr>
                <w:rFonts w:ascii="Aptos Narrow" w:hAnsi="Aptos Narrow"/>
                <w:color w:val="000000"/>
                <w:sz w:val="22"/>
                <w:szCs w:val="22"/>
              </w:rPr>
              <w:t xml:space="preserve"> </w:t>
            </w:r>
            <w:proofErr w:type="spellStart"/>
            <w:r w:rsidRPr="00E916DC">
              <w:rPr>
                <w:rFonts w:ascii="Aptos Narrow" w:hAnsi="Aptos Narrow"/>
                <w:color w:val="000000"/>
                <w:sz w:val="22"/>
                <w:szCs w:val="22"/>
              </w:rPr>
              <w:t>dokumentus</w:t>
            </w:r>
            <w:proofErr w:type="spellEnd"/>
            <w:r w:rsidRPr="00E916DC">
              <w:rPr>
                <w:rFonts w:ascii="Aptos Narrow" w:hAnsi="Aptos Narrow"/>
                <w:color w:val="000000"/>
                <w:sz w:val="22"/>
                <w:szCs w:val="22"/>
              </w:rPr>
              <w:t xml:space="preserve">, </w:t>
            </w:r>
            <w:proofErr w:type="spellStart"/>
            <w:r w:rsidRPr="00E916DC">
              <w:rPr>
                <w:rFonts w:ascii="Aptos Narrow" w:hAnsi="Aptos Narrow"/>
                <w:color w:val="000000"/>
                <w:sz w:val="22"/>
                <w:szCs w:val="22"/>
              </w:rPr>
              <w:t>modelius</w:t>
            </w:r>
            <w:proofErr w:type="spellEnd"/>
            <w:r w:rsidRPr="00E916DC">
              <w:rPr>
                <w:rFonts w:ascii="Aptos Narrow" w:hAnsi="Aptos Narrow"/>
                <w:color w:val="000000"/>
                <w:sz w:val="22"/>
                <w:szCs w:val="22"/>
              </w:rPr>
              <w:t xml:space="preserve">, </w:t>
            </w:r>
            <w:proofErr w:type="spellStart"/>
            <w:r w:rsidRPr="00E916DC">
              <w:rPr>
                <w:rFonts w:ascii="Aptos Narrow" w:hAnsi="Aptos Narrow"/>
                <w:color w:val="000000"/>
                <w:sz w:val="22"/>
                <w:szCs w:val="22"/>
              </w:rPr>
              <w:t>užduotis</w:t>
            </w:r>
            <w:proofErr w:type="spellEnd"/>
            <w:r w:rsidRPr="00E916DC">
              <w:rPr>
                <w:rFonts w:ascii="Aptos Narrow" w:hAnsi="Aptos Narrow"/>
                <w:color w:val="000000"/>
                <w:sz w:val="22"/>
                <w:szCs w:val="22"/>
              </w:rPr>
              <w:t xml:space="preserve">, </w:t>
            </w:r>
            <w:proofErr w:type="spellStart"/>
            <w:r w:rsidRPr="00E916DC">
              <w:rPr>
                <w:rFonts w:ascii="Aptos Narrow" w:hAnsi="Aptos Narrow"/>
                <w:color w:val="000000"/>
                <w:sz w:val="22"/>
                <w:szCs w:val="22"/>
              </w:rPr>
              <w:t>pastabas</w:t>
            </w:r>
            <w:proofErr w:type="spellEnd"/>
            <w:r w:rsidRPr="00E916DC">
              <w:rPr>
                <w:rFonts w:ascii="Aptos Narrow" w:hAnsi="Aptos Narrow"/>
                <w:color w:val="000000"/>
                <w:sz w:val="22"/>
                <w:szCs w:val="22"/>
              </w:rPr>
              <w:t xml:space="preserve"> </w:t>
            </w:r>
            <w:proofErr w:type="spellStart"/>
            <w:r w:rsidRPr="00E916DC">
              <w:rPr>
                <w:rFonts w:ascii="Aptos Narrow" w:hAnsi="Aptos Narrow"/>
                <w:color w:val="000000"/>
                <w:sz w:val="22"/>
                <w:szCs w:val="22"/>
              </w:rPr>
              <w:t>ar</w:t>
            </w:r>
            <w:proofErr w:type="spellEnd"/>
            <w:r w:rsidRPr="00E916DC">
              <w:rPr>
                <w:rFonts w:ascii="Aptos Narrow" w:hAnsi="Aptos Narrow"/>
                <w:color w:val="000000"/>
                <w:sz w:val="22"/>
                <w:szCs w:val="22"/>
              </w:rPr>
              <w:t xml:space="preserve"> </w:t>
            </w:r>
            <w:proofErr w:type="spellStart"/>
            <w:r w:rsidRPr="00E916DC">
              <w:rPr>
                <w:rFonts w:ascii="Aptos Narrow" w:hAnsi="Aptos Narrow"/>
                <w:color w:val="000000"/>
                <w:sz w:val="22"/>
                <w:szCs w:val="22"/>
              </w:rPr>
              <w:t>kitą</w:t>
            </w:r>
            <w:proofErr w:type="spellEnd"/>
            <w:r w:rsidRPr="00E916DC">
              <w:rPr>
                <w:rFonts w:ascii="Aptos Narrow" w:hAnsi="Aptos Narrow"/>
                <w:color w:val="000000"/>
                <w:sz w:val="22"/>
                <w:szCs w:val="22"/>
              </w:rPr>
              <w:t xml:space="preserve"> </w:t>
            </w:r>
            <w:proofErr w:type="spellStart"/>
            <w:r w:rsidRPr="00E916DC">
              <w:rPr>
                <w:rFonts w:ascii="Aptos Narrow" w:hAnsi="Aptos Narrow"/>
                <w:color w:val="000000"/>
                <w:sz w:val="22"/>
                <w:szCs w:val="22"/>
              </w:rPr>
              <w:t>projekto</w:t>
            </w:r>
            <w:proofErr w:type="spellEnd"/>
            <w:r w:rsidRPr="00E916DC">
              <w:rPr>
                <w:rFonts w:ascii="Aptos Narrow" w:hAnsi="Aptos Narrow"/>
                <w:color w:val="000000"/>
                <w:sz w:val="22"/>
                <w:szCs w:val="22"/>
              </w:rPr>
              <w:t xml:space="preserve"> </w:t>
            </w:r>
            <w:proofErr w:type="spellStart"/>
            <w:r w:rsidRPr="00E916DC">
              <w:rPr>
                <w:rFonts w:ascii="Aptos Narrow" w:hAnsi="Aptos Narrow"/>
                <w:color w:val="000000"/>
                <w:sz w:val="22"/>
                <w:szCs w:val="22"/>
              </w:rPr>
              <w:t>informaciją</w:t>
            </w:r>
            <w:proofErr w:type="spellEnd"/>
            <w:r w:rsidRPr="00E916DC">
              <w:rPr>
                <w:rFonts w:ascii="Aptos Narrow" w:hAnsi="Aptos Narrow"/>
                <w:color w:val="000000"/>
                <w:sz w:val="22"/>
                <w:szCs w:val="22"/>
              </w:rPr>
              <w:t>.</w:t>
            </w:r>
          </w:p>
        </w:tc>
      </w:tr>
      <w:tr w:rsidR="00CC0268" w:rsidRPr="005A629B" w14:paraId="7E443E09" w14:textId="77777777" w:rsidTr="003012AE">
        <w:trPr>
          <w:trHeight w:val="3190"/>
        </w:trPr>
        <w:tc>
          <w:tcPr>
            <w:tcW w:w="960" w:type="dxa"/>
            <w:tcBorders>
              <w:top w:val="nil"/>
              <w:left w:val="single" w:sz="4" w:space="0" w:color="auto"/>
              <w:bottom w:val="single" w:sz="4" w:space="0" w:color="auto"/>
              <w:right w:val="single" w:sz="4" w:space="0" w:color="auto"/>
            </w:tcBorders>
            <w:vAlign w:val="center"/>
            <w:hideMark/>
          </w:tcPr>
          <w:p w14:paraId="0AD6C6A6" w14:textId="77777777" w:rsidR="00CC0268" w:rsidRPr="00CC4CE5" w:rsidRDefault="00CC0268">
            <w:pPr>
              <w:rPr>
                <w:rFonts w:ascii="Aptos Narrow" w:hAnsi="Aptos Narrow"/>
                <w:b/>
                <w:bCs/>
                <w:color w:val="000000"/>
                <w:sz w:val="22"/>
                <w:szCs w:val="22"/>
                <w:lang w:val="lt-LT"/>
              </w:rPr>
            </w:pPr>
            <w:r w:rsidRPr="00CC4CE5">
              <w:rPr>
                <w:rFonts w:ascii="Aptos Narrow" w:hAnsi="Aptos Narrow"/>
                <w:b/>
                <w:bCs/>
                <w:color w:val="000000"/>
                <w:sz w:val="22"/>
                <w:szCs w:val="22"/>
                <w:lang w:val="lt-LT"/>
              </w:rPr>
              <w:t>1.7</w:t>
            </w:r>
          </w:p>
        </w:tc>
        <w:tc>
          <w:tcPr>
            <w:tcW w:w="2360" w:type="dxa"/>
            <w:tcBorders>
              <w:top w:val="nil"/>
              <w:left w:val="nil"/>
              <w:bottom w:val="single" w:sz="4" w:space="0" w:color="auto"/>
              <w:right w:val="single" w:sz="4" w:space="0" w:color="auto"/>
            </w:tcBorders>
            <w:vAlign w:val="center"/>
            <w:hideMark/>
          </w:tcPr>
          <w:p w14:paraId="6C8F90D7" w14:textId="77777777" w:rsidR="00CC0268" w:rsidRPr="00CC4CE5" w:rsidRDefault="00CC0268">
            <w:pPr>
              <w:rPr>
                <w:rFonts w:ascii="Aptos Narrow" w:hAnsi="Aptos Narrow"/>
                <w:b/>
                <w:bCs/>
                <w:color w:val="000000"/>
                <w:sz w:val="22"/>
                <w:szCs w:val="22"/>
                <w:lang w:val="lt-LT"/>
              </w:rPr>
            </w:pPr>
            <w:r w:rsidRPr="00CC4CE5">
              <w:rPr>
                <w:rFonts w:ascii="Aptos Narrow" w:hAnsi="Aptos Narrow"/>
                <w:b/>
                <w:bCs/>
                <w:color w:val="000000"/>
                <w:sz w:val="22"/>
                <w:szCs w:val="22"/>
                <w:lang w:val="lt-LT"/>
              </w:rPr>
              <w:t>Statybos užduočių ir procesų valdymas</w:t>
            </w:r>
          </w:p>
        </w:tc>
        <w:tc>
          <w:tcPr>
            <w:tcW w:w="4760" w:type="dxa"/>
            <w:tcBorders>
              <w:top w:val="nil"/>
              <w:left w:val="nil"/>
              <w:bottom w:val="single" w:sz="4" w:space="0" w:color="auto"/>
              <w:right w:val="single" w:sz="4" w:space="0" w:color="auto"/>
            </w:tcBorders>
            <w:vAlign w:val="center"/>
            <w:hideMark/>
          </w:tcPr>
          <w:p w14:paraId="5AB46D55" w14:textId="77777777" w:rsidR="00CC0268" w:rsidRPr="00CC4CE5" w:rsidRDefault="00CC0268">
            <w:pPr>
              <w:rPr>
                <w:rFonts w:ascii="Aptos Narrow" w:hAnsi="Aptos Narrow"/>
                <w:color w:val="000000"/>
                <w:sz w:val="22"/>
                <w:szCs w:val="22"/>
                <w:lang w:val="lt-LT"/>
              </w:rPr>
            </w:pPr>
            <w:r w:rsidRPr="00CC4CE5">
              <w:rPr>
                <w:rFonts w:ascii="Aptos Narrow" w:hAnsi="Aptos Narrow"/>
                <w:color w:val="000000"/>
                <w:sz w:val="22"/>
                <w:szCs w:val="22"/>
                <w:lang w:val="lt-LT"/>
              </w:rPr>
              <w:t>CDE turi užtikrinti statybos metu naudojamų užduočių, pastabų, neatitikčių, defektų ir kitų registracijų kūrimą, paskirstymą, būsenų ir terminų valdymą, atsakymų bei priedų / įrodymų pateikimą ir atliktų veiksmų istorijos atsekamumą. Registracijos turi būti susiejamos su projekto dokumentu, brėžiniu, modeliu ir (ar) konkrečia projekto vieta. Pagrindinis statybos vietoje naudojamas funkcionalumas turi būti prieinamas ir laikinai nesant interneto ryšio, užregistruotą informaciją sinchronizuojant atkūrus ryšį.</w:t>
            </w:r>
          </w:p>
        </w:tc>
        <w:tc>
          <w:tcPr>
            <w:tcW w:w="3255" w:type="dxa"/>
            <w:tcBorders>
              <w:top w:val="nil"/>
              <w:left w:val="nil"/>
              <w:bottom w:val="single" w:sz="4" w:space="0" w:color="auto"/>
              <w:right w:val="single" w:sz="4" w:space="0" w:color="auto"/>
            </w:tcBorders>
            <w:vAlign w:val="center"/>
            <w:hideMark/>
          </w:tcPr>
          <w:p w14:paraId="56D33F01" w14:textId="77777777" w:rsidR="00CC0268" w:rsidRPr="00CC4CE5" w:rsidRDefault="00CC0268">
            <w:pPr>
              <w:rPr>
                <w:rFonts w:ascii="Aptos Narrow" w:hAnsi="Aptos Narrow"/>
                <w:color w:val="000000"/>
                <w:sz w:val="22"/>
                <w:szCs w:val="22"/>
                <w:lang w:val="lt-LT"/>
              </w:rPr>
            </w:pPr>
            <w:r w:rsidRPr="00CC4CE5">
              <w:rPr>
                <w:rFonts w:ascii="Aptos Narrow" w:hAnsi="Aptos Narrow"/>
                <w:color w:val="000000"/>
                <w:sz w:val="22"/>
                <w:szCs w:val="22"/>
                <w:lang w:val="lt-LT"/>
              </w:rPr>
              <w:t>Statybos procesų registracijų valdymas interneto naršyklėje ir mobiliuosiuose įrenginiuose.</w:t>
            </w:r>
          </w:p>
        </w:tc>
        <w:tc>
          <w:tcPr>
            <w:tcW w:w="3828" w:type="dxa"/>
            <w:tcBorders>
              <w:top w:val="nil"/>
              <w:left w:val="nil"/>
              <w:bottom w:val="single" w:sz="4" w:space="0" w:color="auto"/>
              <w:right w:val="single" w:sz="4" w:space="0" w:color="auto"/>
            </w:tcBorders>
            <w:vAlign w:val="center"/>
            <w:hideMark/>
          </w:tcPr>
          <w:p w14:paraId="0124DD23" w14:textId="77777777" w:rsidR="00CC0268" w:rsidRPr="00CC4CE5" w:rsidRDefault="00CC0268">
            <w:pPr>
              <w:rPr>
                <w:rFonts w:ascii="Aptos Narrow" w:hAnsi="Aptos Narrow"/>
                <w:color w:val="000000"/>
                <w:sz w:val="22"/>
                <w:szCs w:val="22"/>
                <w:lang w:val="lt-LT"/>
              </w:rPr>
            </w:pPr>
            <w:r w:rsidRPr="00CC4CE5">
              <w:rPr>
                <w:rFonts w:ascii="Aptos Narrow" w:hAnsi="Aptos Narrow"/>
                <w:color w:val="000000"/>
                <w:sz w:val="22"/>
                <w:szCs w:val="22"/>
                <w:lang w:val="lt-LT"/>
              </w:rPr>
              <w:t>Galima sukurti registraciją, susieti ją su konkrečia projekto informacija ar vieta, priskirti atsakingam dalyviui, nustatyti terminą, valdyti būseną, pateikti atsakymą ir priedus bei atsekti veiksmų istoriją. Laikinai nesant interneto ryšio mobiliuoju įrenginiu galima atlikti pagrindinius statybos vietoje naudojamus veiksmus, o atkūrus ryšį užregistruota informacija sinchronizuojama su CDE.</w:t>
            </w:r>
          </w:p>
        </w:tc>
      </w:tr>
      <w:tr w:rsidR="00CC0268" w:rsidRPr="005A629B" w14:paraId="7EDFB4B9" w14:textId="77777777" w:rsidTr="003012AE">
        <w:trPr>
          <w:trHeight w:val="1450"/>
        </w:trPr>
        <w:tc>
          <w:tcPr>
            <w:tcW w:w="960" w:type="dxa"/>
            <w:tcBorders>
              <w:top w:val="nil"/>
              <w:left w:val="single" w:sz="4" w:space="0" w:color="auto"/>
              <w:bottom w:val="single" w:sz="4" w:space="0" w:color="auto"/>
              <w:right w:val="single" w:sz="4" w:space="0" w:color="auto"/>
            </w:tcBorders>
            <w:vAlign w:val="center"/>
            <w:hideMark/>
          </w:tcPr>
          <w:p w14:paraId="1B0CD390" w14:textId="77777777" w:rsidR="00CC0268" w:rsidRPr="00CC4CE5" w:rsidRDefault="00CC0268">
            <w:pPr>
              <w:rPr>
                <w:rFonts w:ascii="Aptos Narrow" w:hAnsi="Aptos Narrow"/>
                <w:b/>
                <w:bCs/>
                <w:color w:val="000000"/>
                <w:sz w:val="22"/>
                <w:szCs w:val="22"/>
                <w:lang w:val="lt-LT"/>
              </w:rPr>
            </w:pPr>
            <w:r w:rsidRPr="00CC4CE5">
              <w:rPr>
                <w:rFonts w:ascii="Aptos Narrow" w:hAnsi="Aptos Narrow"/>
                <w:b/>
                <w:bCs/>
                <w:color w:val="000000"/>
                <w:sz w:val="22"/>
                <w:szCs w:val="22"/>
                <w:lang w:val="lt-LT"/>
              </w:rPr>
              <w:t>1.8</w:t>
            </w:r>
          </w:p>
        </w:tc>
        <w:tc>
          <w:tcPr>
            <w:tcW w:w="2360" w:type="dxa"/>
            <w:tcBorders>
              <w:top w:val="nil"/>
              <w:left w:val="nil"/>
              <w:bottom w:val="single" w:sz="4" w:space="0" w:color="auto"/>
              <w:right w:val="single" w:sz="4" w:space="0" w:color="auto"/>
            </w:tcBorders>
            <w:vAlign w:val="center"/>
            <w:hideMark/>
          </w:tcPr>
          <w:p w14:paraId="561CF6BB" w14:textId="77777777" w:rsidR="00CC0268" w:rsidRPr="00CC4CE5" w:rsidRDefault="00CC0268">
            <w:pPr>
              <w:rPr>
                <w:rFonts w:ascii="Aptos Narrow" w:hAnsi="Aptos Narrow"/>
                <w:b/>
                <w:bCs/>
                <w:color w:val="000000"/>
                <w:sz w:val="22"/>
                <w:szCs w:val="22"/>
                <w:lang w:val="lt-LT"/>
              </w:rPr>
            </w:pPr>
            <w:r w:rsidRPr="00CC4CE5">
              <w:rPr>
                <w:rFonts w:ascii="Aptos Narrow" w:hAnsi="Aptos Narrow"/>
                <w:b/>
                <w:bCs/>
                <w:color w:val="000000"/>
                <w:sz w:val="22"/>
                <w:szCs w:val="22"/>
                <w:lang w:val="lt-LT"/>
              </w:rPr>
              <w:t>Informacijos paieška, stebėsena ir ataskaitos</w:t>
            </w:r>
          </w:p>
        </w:tc>
        <w:tc>
          <w:tcPr>
            <w:tcW w:w="4760" w:type="dxa"/>
            <w:tcBorders>
              <w:top w:val="nil"/>
              <w:left w:val="nil"/>
              <w:bottom w:val="single" w:sz="4" w:space="0" w:color="auto"/>
              <w:right w:val="single" w:sz="4" w:space="0" w:color="auto"/>
            </w:tcBorders>
            <w:vAlign w:val="center"/>
            <w:hideMark/>
          </w:tcPr>
          <w:p w14:paraId="30323F59" w14:textId="77777777" w:rsidR="00CC0268" w:rsidRPr="00CC4CE5" w:rsidRDefault="00CC0268">
            <w:pPr>
              <w:rPr>
                <w:rFonts w:ascii="Aptos Narrow" w:hAnsi="Aptos Narrow"/>
                <w:color w:val="000000"/>
                <w:sz w:val="22"/>
                <w:szCs w:val="22"/>
                <w:lang w:val="lt-LT"/>
              </w:rPr>
            </w:pPr>
            <w:r w:rsidRPr="00CC4CE5">
              <w:rPr>
                <w:rFonts w:ascii="Aptos Narrow" w:hAnsi="Aptos Narrow"/>
                <w:color w:val="000000"/>
                <w:sz w:val="22"/>
                <w:szCs w:val="22"/>
                <w:lang w:val="lt-LT"/>
              </w:rPr>
              <w:t>CDE turi sudaryti galimybę ieškoti, filtruoti, grupuoti ir rūšiuoti projekto dokumentus, užduotis, pastabas ir kitas registracijas pagal jų atributus bei gauti projekto informacijos ir vykdomų procesų suvestines.</w:t>
            </w:r>
          </w:p>
        </w:tc>
        <w:tc>
          <w:tcPr>
            <w:tcW w:w="3255" w:type="dxa"/>
            <w:tcBorders>
              <w:top w:val="nil"/>
              <w:left w:val="nil"/>
              <w:bottom w:val="single" w:sz="4" w:space="0" w:color="auto"/>
              <w:right w:val="single" w:sz="4" w:space="0" w:color="auto"/>
            </w:tcBorders>
            <w:vAlign w:val="center"/>
            <w:hideMark/>
          </w:tcPr>
          <w:p w14:paraId="12B503E4" w14:textId="77777777" w:rsidR="00CC0268" w:rsidRPr="00CC4CE5" w:rsidRDefault="00CC0268">
            <w:pPr>
              <w:rPr>
                <w:rFonts w:ascii="Aptos Narrow" w:hAnsi="Aptos Narrow"/>
                <w:color w:val="000000"/>
                <w:sz w:val="22"/>
                <w:szCs w:val="22"/>
                <w:lang w:val="lt-LT"/>
              </w:rPr>
            </w:pPr>
            <w:r w:rsidRPr="00CC4CE5">
              <w:rPr>
                <w:rFonts w:ascii="Aptos Narrow" w:hAnsi="Aptos Narrow"/>
                <w:color w:val="000000"/>
                <w:sz w:val="22"/>
                <w:szCs w:val="22"/>
                <w:lang w:val="lt-LT"/>
              </w:rPr>
              <w:t>Visų pagrindinių CDE valdomų informacijos objektų paieška ir stebėsena.</w:t>
            </w:r>
          </w:p>
        </w:tc>
        <w:tc>
          <w:tcPr>
            <w:tcW w:w="3828" w:type="dxa"/>
            <w:tcBorders>
              <w:top w:val="nil"/>
              <w:left w:val="nil"/>
              <w:bottom w:val="single" w:sz="4" w:space="0" w:color="auto"/>
              <w:right w:val="single" w:sz="4" w:space="0" w:color="auto"/>
            </w:tcBorders>
            <w:vAlign w:val="center"/>
            <w:hideMark/>
          </w:tcPr>
          <w:p w14:paraId="4562EB0A" w14:textId="77777777" w:rsidR="00CC0268" w:rsidRPr="00CC4CE5" w:rsidRDefault="00CC0268">
            <w:pPr>
              <w:rPr>
                <w:rFonts w:ascii="Aptos Narrow" w:hAnsi="Aptos Narrow"/>
                <w:color w:val="000000"/>
                <w:sz w:val="22"/>
                <w:szCs w:val="22"/>
                <w:lang w:val="lt-LT"/>
              </w:rPr>
            </w:pPr>
            <w:r w:rsidRPr="00CC4CE5">
              <w:rPr>
                <w:rFonts w:ascii="Aptos Narrow" w:hAnsi="Aptos Narrow"/>
                <w:color w:val="000000"/>
                <w:sz w:val="22"/>
                <w:szCs w:val="22"/>
                <w:lang w:val="lt-LT"/>
              </w:rPr>
              <w:t>Naudotojas gali pagal pasirinktus kriterijus atrinkti ir filtruoti informaciją, matyti atrinktų objektų kiekį ir (ar) suvestinę.</w:t>
            </w:r>
          </w:p>
        </w:tc>
      </w:tr>
      <w:tr w:rsidR="00CC0268" w:rsidRPr="005A629B" w14:paraId="0E5DD458" w14:textId="77777777" w:rsidTr="003012AE">
        <w:trPr>
          <w:trHeight w:val="2610"/>
        </w:trPr>
        <w:tc>
          <w:tcPr>
            <w:tcW w:w="960" w:type="dxa"/>
            <w:tcBorders>
              <w:top w:val="nil"/>
              <w:left w:val="single" w:sz="4" w:space="0" w:color="auto"/>
              <w:bottom w:val="single" w:sz="4" w:space="0" w:color="auto"/>
              <w:right w:val="single" w:sz="4" w:space="0" w:color="auto"/>
            </w:tcBorders>
            <w:vAlign w:val="center"/>
            <w:hideMark/>
          </w:tcPr>
          <w:p w14:paraId="67251218" w14:textId="77777777" w:rsidR="00CC0268" w:rsidRPr="00CC4CE5" w:rsidRDefault="00CC0268">
            <w:pPr>
              <w:rPr>
                <w:rFonts w:ascii="Aptos Narrow" w:hAnsi="Aptos Narrow"/>
                <w:b/>
                <w:bCs/>
                <w:color w:val="000000"/>
                <w:sz w:val="22"/>
                <w:szCs w:val="22"/>
                <w:lang w:val="lt-LT"/>
              </w:rPr>
            </w:pPr>
            <w:r w:rsidRPr="00CC4CE5">
              <w:rPr>
                <w:rFonts w:ascii="Aptos Narrow" w:hAnsi="Aptos Narrow"/>
                <w:b/>
                <w:bCs/>
                <w:color w:val="000000"/>
                <w:sz w:val="22"/>
                <w:szCs w:val="22"/>
                <w:lang w:val="lt-LT"/>
              </w:rPr>
              <w:lastRenderedPageBreak/>
              <w:t>1.9</w:t>
            </w:r>
          </w:p>
        </w:tc>
        <w:tc>
          <w:tcPr>
            <w:tcW w:w="2360" w:type="dxa"/>
            <w:tcBorders>
              <w:top w:val="nil"/>
              <w:left w:val="nil"/>
              <w:bottom w:val="single" w:sz="4" w:space="0" w:color="auto"/>
              <w:right w:val="single" w:sz="4" w:space="0" w:color="auto"/>
            </w:tcBorders>
            <w:vAlign w:val="center"/>
            <w:hideMark/>
          </w:tcPr>
          <w:p w14:paraId="14340A59" w14:textId="77777777" w:rsidR="00CC0268" w:rsidRPr="00CC4CE5" w:rsidRDefault="00CC0268">
            <w:pPr>
              <w:rPr>
                <w:rFonts w:ascii="Aptos Narrow" w:hAnsi="Aptos Narrow"/>
                <w:b/>
                <w:bCs/>
                <w:color w:val="000000"/>
                <w:sz w:val="22"/>
                <w:szCs w:val="22"/>
                <w:lang w:val="lt-LT"/>
              </w:rPr>
            </w:pPr>
            <w:r w:rsidRPr="00CC4CE5">
              <w:rPr>
                <w:rFonts w:ascii="Aptos Narrow" w:hAnsi="Aptos Narrow"/>
                <w:b/>
                <w:bCs/>
                <w:color w:val="000000"/>
                <w:sz w:val="22"/>
                <w:szCs w:val="22"/>
                <w:lang w:val="lt-LT"/>
              </w:rPr>
              <w:t>BIM modelių tikrinimas</w:t>
            </w:r>
          </w:p>
        </w:tc>
        <w:tc>
          <w:tcPr>
            <w:tcW w:w="4760" w:type="dxa"/>
            <w:tcBorders>
              <w:top w:val="nil"/>
              <w:left w:val="nil"/>
              <w:bottom w:val="single" w:sz="4" w:space="0" w:color="auto"/>
              <w:right w:val="single" w:sz="4" w:space="0" w:color="auto"/>
            </w:tcBorders>
            <w:vAlign w:val="center"/>
            <w:hideMark/>
          </w:tcPr>
          <w:p w14:paraId="2B7DB3D4" w14:textId="06DC651A" w:rsidR="00CC0268" w:rsidRPr="00CC4CE5" w:rsidRDefault="00FD4B48">
            <w:pPr>
              <w:rPr>
                <w:rFonts w:ascii="Aptos Narrow" w:hAnsi="Aptos Narrow"/>
                <w:color w:val="000000"/>
                <w:sz w:val="22"/>
                <w:szCs w:val="22"/>
                <w:lang w:val="lt-LT"/>
              </w:rPr>
            </w:pPr>
            <w:r w:rsidRPr="00FD4B48">
              <w:rPr>
                <w:rFonts w:ascii="Aptos Narrow" w:hAnsi="Aptos Narrow"/>
                <w:color w:val="000000"/>
                <w:sz w:val="22"/>
                <w:szCs w:val="22"/>
                <w:lang w:val="lt-LT"/>
              </w:rPr>
              <w:t>CDE turi suteikti naudotojui galimybę CDE aplinkoje pasirinkti tikrinamus BIM modelius ar jų elementus, nustatyti tikrinimo sąlygas, inicijuoti geometrinių sankirtų, nustatytų atstumų neatitikimų bei modelio elementų informacijos atitikties patikras ir CDE aplinkoje peržiūrėti jų rezultatus, susietus su atitinkamais modelio elementais. Patikrai atlikti iš naudotojo neturi būti reikalaujama eksportuoti modelių į atskirą savarankišką programinę įrangą ar joje atskirai vykdyti patikros proceso.</w:t>
            </w:r>
          </w:p>
        </w:tc>
        <w:tc>
          <w:tcPr>
            <w:tcW w:w="3255" w:type="dxa"/>
            <w:tcBorders>
              <w:top w:val="nil"/>
              <w:left w:val="nil"/>
              <w:bottom w:val="single" w:sz="4" w:space="0" w:color="auto"/>
              <w:right w:val="single" w:sz="4" w:space="0" w:color="auto"/>
            </w:tcBorders>
            <w:vAlign w:val="center"/>
            <w:hideMark/>
          </w:tcPr>
          <w:p w14:paraId="10688809" w14:textId="77777777" w:rsidR="00CC0268" w:rsidRPr="00CC4CE5" w:rsidRDefault="00CC0268">
            <w:pPr>
              <w:rPr>
                <w:rFonts w:ascii="Aptos Narrow" w:hAnsi="Aptos Narrow"/>
                <w:color w:val="000000"/>
                <w:sz w:val="22"/>
                <w:szCs w:val="22"/>
                <w:lang w:val="lt-LT"/>
              </w:rPr>
            </w:pPr>
            <w:r w:rsidRPr="00CC4CE5">
              <w:rPr>
                <w:rFonts w:ascii="Aptos Narrow" w:hAnsi="Aptos Narrow"/>
                <w:color w:val="000000"/>
                <w:sz w:val="22"/>
                <w:szCs w:val="22"/>
                <w:lang w:val="lt-LT"/>
              </w:rPr>
              <w:t>BIM modelių geometrinės ir informacinės kokybės tikrinimas.</w:t>
            </w:r>
          </w:p>
        </w:tc>
        <w:tc>
          <w:tcPr>
            <w:tcW w:w="3828" w:type="dxa"/>
            <w:tcBorders>
              <w:top w:val="nil"/>
              <w:left w:val="nil"/>
              <w:bottom w:val="single" w:sz="4" w:space="0" w:color="auto"/>
              <w:right w:val="single" w:sz="4" w:space="0" w:color="auto"/>
            </w:tcBorders>
            <w:vAlign w:val="center"/>
            <w:hideMark/>
          </w:tcPr>
          <w:p w14:paraId="153787B4" w14:textId="14E67323" w:rsidR="00CC0268" w:rsidRPr="002B278A" w:rsidRDefault="002B278A">
            <w:pPr>
              <w:rPr>
                <w:rFonts w:ascii="Aptos Narrow" w:hAnsi="Aptos Narrow"/>
                <w:color w:val="000000"/>
                <w:sz w:val="22"/>
                <w:szCs w:val="22"/>
                <w:lang w:val="lt-LT"/>
              </w:rPr>
            </w:pPr>
            <w:r w:rsidRPr="002B278A">
              <w:rPr>
                <w:rFonts w:ascii="Aptos Narrow" w:hAnsi="Aptos Narrow"/>
                <w:color w:val="000000"/>
                <w:sz w:val="22"/>
                <w:szCs w:val="22"/>
                <w:lang w:val="lt-LT"/>
              </w:rPr>
              <w:t>CDE aplinkoje pasirenkami tikrinami BIM modeliai ar jų elementai, nustatomos patikros sąlygos, inicijuojama geometrinė ir informacinė patikra, peržiūrimi nustatyti neatitikimai ir identifikuojami su jais susiję modelio elementai. Patikrai atlikti nereikia eksportuoti modelių ir atskirai vykdyti patikros kitoje savarankiškoje programinėje įrangoje.</w:t>
            </w:r>
          </w:p>
        </w:tc>
      </w:tr>
      <w:tr w:rsidR="00CC0268" w:rsidRPr="005A629B" w14:paraId="5CF40FEA" w14:textId="77777777" w:rsidTr="003012AE">
        <w:trPr>
          <w:trHeight w:val="2320"/>
        </w:trPr>
        <w:tc>
          <w:tcPr>
            <w:tcW w:w="960" w:type="dxa"/>
            <w:tcBorders>
              <w:top w:val="nil"/>
              <w:left w:val="single" w:sz="4" w:space="0" w:color="auto"/>
              <w:bottom w:val="single" w:sz="4" w:space="0" w:color="auto"/>
              <w:right w:val="single" w:sz="4" w:space="0" w:color="auto"/>
            </w:tcBorders>
            <w:vAlign w:val="center"/>
            <w:hideMark/>
          </w:tcPr>
          <w:p w14:paraId="40A7E02D" w14:textId="77777777" w:rsidR="00CC0268" w:rsidRPr="00CC4CE5" w:rsidRDefault="00CC0268">
            <w:pPr>
              <w:rPr>
                <w:rFonts w:ascii="Aptos Narrow" w:hAnsi="Aptos Narrow"/>
                <w:b/>
                <w:bCs/>
                <w:color w:val="000000"/>
                <w:sz w:val="22"/>
                <w:szCs w:val="22"/>
                <w:lang w:val="lt-LT"/>
              </w:rPr>
            </w:pPr>
            <w:r w:rsidRPr="00CC4CE5">
              <w:rPr>
                <w:rFonts w:ascii="Aptos Narrow" w:hAnsi="Aptos Narrow"/>
                <w:b/>
                <w:bCs/>
                <w:color w:val="000000"/>
                <w:sz w:val="22"/>
                <w:szCs w:val="22"/>
                <w:lang w:val="lt-LT"/>
              </w:rPr>
              <w:t>1.10</w:t>
            </w:r>
          </w:p>
        </w:tc>
        <w:tc>
          <w:tcPr>
            <w:tcW w:w="2360" w:type="dxa"/>
            <w:tcBorders>
              <w:top w:val="nil"/>
              <w:left w:val="nil"/>
              <w:bottom w:val="single" w:sz="4" w:space="0" w:color="auto"/>
              <w:right w:val="single" w:sz="4" w:space="0" w:color="auto"/>
            </w:tcBorders>
            <w:vAlign w:val="center"/>
            <w:hideMark/>
          </w:tcPr>
          <w:p w14:paraId="034FFEA2" w14:textId="7150D3EB" w:rsidR="00CC0268" w:rsidRPr="00CC4CE5" w:rsidRDefault="00CC0268">
            <w:pPr>
              <w:rPr>
                <w:rFonts w:ascii="Aptos Narrow" w:hAnsi="Aptos Narrow"/>
                <w:b/>
                <w:bCs/>
                <w:color w:val="000000"/>
                <w:sz w:val="22"/>
                <w:szCs w:val="22"/>
                <w:lang w:val="lt-LT"/>
              </w:rPr>
            </w:pPr>
            <w:r w:rsidRPr="00CC4CE5">
              <w:rPr>
                <w:rFonts w:ascii="Aptos Narrow" w:hAnsi="Aptos Narrow"/>
                <w:b/>
                <w:bCs/>
                <w:color w:val="000000"/>
                <w:sz w:val="22"/>
                <w:szCs w:val="22"/>
                <w:lang w:val="lt-LT"/>
              </w:rPr>
              <w:t xml:space="preserve">Duomenų </w:t>
            </w:r>
            <w:proofErr w:type="spellStart"/>
            <w:r w:rsidR="005A0DCD" w:rsidRPr="00CC4CE5">
              <w:rPr>
                <w:rFonts w:ascii="Aptos Narrow" w:hAnsi="Aptos Narrow"/>
                <w:b/>
                <w:bCs/>
                <w:color w:val="000000"/>
                <w:sz w:val="22"/>
                <w:szCs w:val="22"/>
                <w:lang w:val="lt-LT"/>
              </w:rPr>
              <w:t>perkeliamumas</w:t>
            </w:r>
            <w:proofErr w:type="spellEnd"/>
          </w:p>
        </w:tc>
        <w:tc>
          <w:tcPr>
            <w:tcW w:w="4760" w:type="dxa"/>
            <w:tcBorders>
              <w:top w:val="nil"/>
              <w:left w:val="nil"/>
              <w:bottom w:val="single" w:sz="4" w:space="0" w:color="auto"/>
              <w:right w:val="single" w:sz="4" w:space="0" w:color="auto"/>
            </w:tcBorders>
            <w:vAlign w:val="center"/>
            <w:hideMark/>
          </w:tcPr>
          <w:p w14:paraId="2EE84FFD" w14:textId="77777777" w:rsidR="00CC0268" w:rsidRPr="00CC4CE5" w:rsidRDefault="00CC0268">
            <w:pPr>
              <w:rPr>
                <w:rFonts w:ascii="Aptos Narrow" w:hAnsi="Aptos Narrow"/>
                <w:color w:val="000000"/>
                <w:sz w:val="22"/>
                <w:szCs w:val="22"/>
                <w:lang w:val="lt-LT"/>
              </w:rPr>
            </w:pPr>
            <w:r w:rsidRPr="00CC4CE5">
              <w:rPr>
                <w:rFonts w:ascii="Aptos Narrow" w:hAnsi="Aptos Narrow"/>
                <w:color w:val="000000"/>
                <w:sz w:val="22"/>
                <w:szCs w:val="22"/>
                <w:lang w:val="lt-LT"/>
              </w:rPr>
              <w:t>CDE turi sudaryti galimybę Užsakovui eksportuoti ne tik saugomus dokumentus ir modelius, bet ir su jais susijusius struktūrizuotus duomenis bei jų tarpusavio ryšius, įskaitant metaduomenis, pastabas, užduotis, jų būsenas ir kitą CDE sukauptą projekto informaciją, naudojant dokumentuotą duomenų eksporto būdą ir (ar) programinę sąsają (API).</w:t>
            </w:r>
          </w:p>
        </w:tc>
        <w:tc>
          <w:tcPr>
            <w:tcW w:w="3255" w:type="dxa"/>
            <w:tcBorders>
              <w:top w:val="nil"/>
              <w:left w:val="nil"/>
              <w:bottom w:val="single" w:sz="4" w:space="0" w:color="auto"/>
              <w:right w:val="single" w:sz="4" w:space="0" w:color="auto"/>
            </w:tcBorders>
            <w:vAlign w:val="center"/>
            <w:hideMark/>
          </w:tcPr>
          <w:p w14:paraId="21516D2A" w14:textId="77777777" w:rsidR="00CC0268" w:rsidRPr="00CC4CE5" w:rsidRDefault="00CC0268">
            <w:pPr>
              <w:rPr>
                <w:rFonts w:ascii="Aptos Narrow" w:hAnsi="Aptos Narrow"/>
                <w:color w:val="000000"/>
                <w:sz w:val="22"/>
                <w:szCs w:val="22"/>
                <w:lang w:val="lt-LT"/>
              </w:rPr>
            </w:pPr>
            <w:r w:rsidRPr="00CC4CE5">
              <w:rPr>
                <w:rFonts w:ascii="Aptos Narrow" w:hAnsi="Aptos Narrow"/>
                <w:color w:val="000000"/>
                <w:sz w:val="22"/>
                <w:szCs w:val="22"/>
                <w:lang w:val="lt-LT"/>
              </w:rPr>
              <w:t>Užsakovo CDE sukauptų projektų duomenų eksportas tolesniam jų naudojimui ar perkėlimui į kitą informacinę sistemą.</w:t>
            </w:r>
          </w:p>
        </w:tc>
        <w:tc>
          <w:tcPr>
            <w:tcW w:w="3828" w:type="dxa"/>
            <w:tcBorders>
              <w:top w:val="nil"/>
              <w:left w:val="nil"/>
              <w:bottom w:val="single" w:sz="4" w:space="0" w:color="auto"/>
              <w:right w:val="single" w:sz="4" w:space="0" w:color="auto"/>
            </w:tcBorders>
            <w:vAlign w:val="center"/>
            <w:hideMark/>
          </w:tcPr>
          <w:p w14:paraId="4BD59CFA" w14:textId="77777777" w:rsidR="00CC0268" w:rsidRPr="00CC4CE5" w:rsidRDefault="00CC0268">
            <w:pPr>
              <w:rPr>
                <w:rFonts w:ascii="Aptos Narrow" w:hAnsi="Aptos Narrow"/>
                <w:color w:val="000000"/>
                <w:sz w:val="22"/>
                <w:szCs w:val="22"/>
                <w:lang w:val="lt-LT"/>
              </w:rPr>
            </w:pPr>
            <w:r w:rsidRPr="00CC4CE5">
              <w:rPr>
                <w:rFonts w:ascii="Aptos Narrow" w:hAnsi="Aptos Narrow"/>
                <w:color w:val="000000"/>
                <w:sz w:val="22"/>
                <w:szCs w:val="22"/>
                <w:lang w:val="lt-LT"/>
              </w:rPr>
              <w:t>Galima iš CDE gauti dokumentus ir su jais susijusius struktūrizuotus projekto duomenis bei informaciją apie jų tarpusavio ryšius tokiu formatu ar būdu, kuris leidžia šiuos duomenis apdoroti kitomis informacinėmis sistemomis.</w:t>
            </w:r>
          </w:p>
        </w:tc>
      </w:tr>
    </w:tbl>
    <w:p w14:paraId="77718ADA" w14:textId="77777777" w:rsidR="006857ED" w:rsidRPr="00CC4CE5" w:rsidRDefault="006857ED" w:rsidP="00212625">
      <w:pPr>
        <w:spacing w:line="276" w:lineRule="auto"/>
        <w:jc w:val="both"/>
        <w:rPr>
          <w:rFonts w:ascii="Trebuchet MS" w:hAnsi="Trebuchet MS"/>
          <w:sz w:val="22"/>
          <w:szCs w:val="22"/>
          <w:lang w:val="lt-LT"/>
        </w:rPr>
      </w:pPr>
    </w:p>
    <w:p w14:paraId="6A60EEA1" w14:textId="77777777" w:rsidR="005328E6" w:rsidRPr="00CC4CE5" w:rsidRDefault="005328E6" w:rsidP="00212625">
      <w:pPr>
        <w:spacing w:line="276" w:lineRule="auto"/>
        <w:jc w:val="both"/>
        <w:rPr>
          <w:rFonts w:ascii="Trebuchet MS" w:hAnsi="Trebuchet MS"/>
          <w:sz w:val="22"/>
          <w:szCs w:val="22"/>
          <w:lang w:val="lt-LT"/>
        </w:rPr>
      </w:pPr>
    </w:p>
    <w:p w14:paraId="1CE81304" w14:textId="77777777" w:rsidR="005328E6" w:rsidRPr="00CC4CE5" w:rsidRDefault="005328E6" w:rsidP="00212625">
      <w:pPr>
        <w:spacing w:line="276" w:lineRule="auto"/>
        <w:jc w:val="both"/>
        <w:rPr>
          <w:rFonts w:ascii="Trebuchet MS" w:hAnsi="Trebuchet MS"/>
          <w:sz w:val="22"/>
          <w:szCs w:val="22"/>
          <w:lang w:val="lt-LT"/>
        </w:rPr>
      </w:pPr>
    </w:p>
    <w:p w14:paraId="2184955B" w14:textId="77777777" w:rsidR="005328E6" w:rsidRPr="00CC4CE5" w:rsidRDefault="005328E6" w:rsidP="00212625">
      <w:pPr>
        <w:spacing w:line="276" w:lineRule="auto"/>
        <w:jc w:val="both"/>
        <w:rPr>
          <w:rFonts w:ascii="Trebuchet MS" w:hAnsi="Trebuchet MS"/>
          <w:sz w:val="22"/>
          <w:szCs w:val="22"/>
          <w:lang w:val="lt-LT"/>
        </w:rPr>
      </w:pPr>
    </w:p>
    <w:p w14:paraId="3A571707" w14:textId="77777777" w:rsidR="005328E6" w:rsidRPr="00CC4CE5" w:rsidRDefault="005328E6" w:rsidP="00212625">
      <w:pPr>
        <w:spacing w:line="276" w:lineRule="auto"/>
        <w:jc w:val="both"/>
        <w:rPr>
          <w:rFonts w:ascii="Trebuchet MS" w:hAnsi="Trebuchet MS"/>
          <w:sz w:val="22"/>
          <w:szCs w:val="22"/>
          <w:lang w:val="lt-LT"/>
        </w:rPr>
      </w:pPr>
    </w:p>
    <w:p w14:paraId="437714F6" w14:textId="77777777" w:rsidR="005328E6" w:rsidRPr="00CC4CE5" w:rsidRDefault="005328E6" w:rsidP="00212625">
      <w:pPr>
        <w:spacing w:line="276" w:lineRule="auto"/>
        <w:jc w:val="both"/>
        <w:rPr>
          <w:rFonts w:ascii="Trebuchet MS" w:hAnsi="Trebuchet MS"/>
          <w:sz w:val="22"/>
          <w:szCs w:val="22"/>
          <w:lang w:val="lt-LT"/>
        </w:rPr>
      </w:pPr>
    </w:p>
    <w:p w14:paraId="2D06A11D" w14:textId="77777777" w:rsidR="005328E6" w:rsidRPr="00CC4CE5" w:rsidRDefault="005328E6" w:rsidP="00212625">
      <w:pPr>
        <w:spacing w:line="276" w:lineRule="auto"/>
        <w:jc w:val="both"/>
        <w:rPr>
          <w:rFonts w:ascii="Trebuchet MS" w:hAnsi="Trebuchet MS"/>
          <w:sz w:val="22"/>
          <w:szCs w:val="22"/>
          <w:lang w:val="lt-LT"/>
        </w:rPr>
      </w:pPr>
    </w:p>
    <w:p w14:paraId="5BFA45FE" w14:textId="77777777" w:rsidR="005328E6" w:rsidRPr="00CC4CE5" w:rsidRDefault="005328E6" w:rsidP="00212625">
      <w:pPr>
        <w:spacing w:line="276" w:lineRule="auto"/>
        <w:jc w:val="both"/>
        <w:rPr>
          <w:rFonts w:ascii="Trebuchet MS" w:hAnsi="Trebuchet MS"/>
          <w:sz w:val="22"/>
          <w:szCs w:val="22"/>
          <w:lang w:val="lt-LT"/>
        </w:rPr>
      </w:pPr>
    </w:p>
    <w:p w14:paraId="06C82AA7" w14:textId="77777777" w:rsidR="005328E6" w:rsidRPr="00CC4CE5" w:rsidRDefault="005328E6" w:rsidP="00212625">
      <w:pPr>
        <w:spacing w:line="276" w:lineRule="auto"/>
        <w:jc w:val="both"/>
        <w:rPr>
          <w:rFonts w:ascii="Trebuchet MS" w:hAnsi="Trebuchet MS"/>
          <w:sz w:val="22"/>
          <w:szCs w:val="22"/>
          <w:lang w:val="lt-LT"/>
        </w:rPr>
      </w:pPr>
    </w:p>
    <w:p w14:paraId="035F942B" w14:textId="77777777" w:rsidR="005328E6" w:rsidRPr="00CC4CE5" w:rsidRDefault="005328E6" w:rsidP="00212625">
      <w:pPr>
        <w:spacing w:line="276" w:lineRule="auto"/>
        <w:jc w:val="both"/>
        <w:rPr>
          <w:rFonts w:ascii="Trebuchet MS" w:hAnsi="Trebuchet MS"/>
          <w:sz w:val="22"/>
          <w:szCs w:val="22"/>
          <w:lang w:val="lt-LT"/>
        </w:rPr>
      </w:pPr>
    </w:p>
    <w:p w14:paraId="6870D12B" w14:textId="77777777" w:rsidR="005328E6" w:rsidRPr="00CC4CE5" w:rsidRDefault="005328E6" w:rsidP="00212625">
      <w:pPr>
        <w:spacing w:line="276" w:lineRule="auto"/>
        <w:jc w:val="both"/>
        <w:rPr>
          <w:rFonts w:ascii="Trebuchet MS" w:hAnsi="Trebuchet MS"/>
          <w:sz w:val="22"/>
          <w:szCs w:val="22"/>
          <w:lang w:val="lt-LT"/>
        </w:rPr>
      </w:pPr>
    </w:p>
    <w:p w14:paraId="0C84E61B" w14:textId="77777777" w:rsidR="005328E6" w:rsidRPr="00CC4CE5" w:rsidRDefault="005328E6" w:rsidP="00212625">
      <w:pPr>
        <w:spacing w:line="276" w:lineRule="auto"/>
        <w:jc w:val="both"/>
        <w:rPr>
          <w:rFonts w:ascii="Trebuchet MS" w:hAnsi="Trebuchet MS"/>
          <w:sz w:val="22"/>
          <w:szCs w:val="22"/>
          <w:lang w:val="lt-LT"/>
        </w:rPr>
      </w:pPr>
    </w:p>
    <w:p w14:paraId="7937B4FB" w14:textId="77777777" w:rsidR="005328E6" w:rsidRPr="00CC4CE5" w:rsidRDefault="005328E6" w:rsidP="00212625">
      <w:pPr>
        <w:spacing w:line="276" w:lineRule="auto"/>
        <w:jc w:val="both"/>
        <w:rPr>
          <w:rFonts w:ascii="Trebuchet MS" w:hAnsi="Trebuchet MS"/>
          <w:sz w:val="22"/>
          <w:szCs w:val="22"/>
          <w:lang w:val="lt-LT"/>
        </w:rPr>
      </w:pPr>
    </w:p>
    <w:p w14:paraId="1775CFD6" w14:textId="77777777" w:rsidR="005328E6" w:rsidRPr="00CC4CE5" w:rsidRDefault="005328E6" w:rsidP="00212625">
      <w:pPr>
        <w:spacing w:line="276" w:lineRule="auto"/>
        <w:jc w:val="both"/>
        <w:rPr>
          <w:rFonts w:ascii="Trebuchet MS" w:hAnsi="Trebuchet MS"/>
          <w:sz w:val="22"/>
          <w:szCs w:val="22"/>
          <w:lang w:val="lt-LT"/>
        </w:rPr>
      </w:pPr>
    </w:p>
    <w:p w14:paraId="784212FC" w14:textId="77777777" w:rsidR="005328E6" w:rsidRPr="00CC4CE5" w:rsidRDefault="005328E6" w:rsidP="00212625">
      <w:pPr>
        <w:spacing w:line="276" w:lineRule="auto"/>
        <w:jc w:val="both"/>
        <w:rPr>
          <w:rFonts w:ascii="Trebuchet MS" w:hAnsi="Trebuchet MS"/>
          <w:sz w:val="22"/>
          <w:szCs w:val="22"/>
          <w:lang w:val="lt-LT"/>
        </w:rPr>
      </w:pPr>
    </w:p>
    <w:p w14:paraId="240D4F39" w14:textId="77777777" w:rsidR="005328E6" w:rsidRPr="00CC4CE5" w:rsidRDefault="005328E6" w:rsidP="00212625">
      <w:pPr>
        <w:spacing w:line="276" w:lineRule="auto"/>
        <w:jc w:val="both"/>
        <w:rPr>
          <w:rFonts w:ascii="Trebuchet MS" w:hAnsi="Trebuchet MS"/>
          <w:sz w:val="22"/>
          <w:szCs w:val="22"/>
          <w:lang w:val="lt-LT"/>
        </w:rPr>
      </w:pPr>
    </w:p>
    <w:p w14:paraId="6589ED07" w14:textId="15E5A155" w:rsidR="00191A0C" w:rsidRPr="00CC4CE5" w:rsidRDefault="00191A0C" w:rsidP="00191A0C">
      <w:pPr>
        <w:spacing w:line="276" w:lineRule="auto"/>
        <w:rPr>
          <w:rFonts w:ascii="Trebuchet MS" w:hAnsi="Trebuchet MS"/>
          <w:b/>
          <w:bCs/>
          <w:sz w:val="22"/>
          <w:szCs w:val="22"/>
          <w:lang w:val="lt-LT"/>
        </w:rPr>
      </w:pPr>
      <w:r w:rsidRPr="00CC4CE5">
        <w:rPr>
          <w:rFonts w:ascii="Trebuchet MS" w:hAnsi="Trebuchet MS"/>
          <w:b/>
          <w:bCs/>
          <w:sz w:val="22"/>
          <w:szCs w:val="22"/>
          <w:lang w:val="lt-LT"/>
        </w:rPr>
        <w:t xml:space="preserve">2 Priedas. </w:t>
      </w:r>
      <w:r w:rsidR="002460F8" w:rsidRPr="00CC4CE5">
        <w:rPr>
          <w:rFonts w:ascii="Trebuchet MS" w:hAnsi="Trebuchet MS"/>
          <w:b/>
          <w:bCs/>
          <w:sz w:val="22"/>
          <w:szCs w:val="22"/>
          <w:lang w:val="lt-LT"/>
        </w:rPr>
        <w:t>CDE konfigūravimo paslaugų reikalavimai</w:t>
      </w:r>
    </w:p>
    <w:p w14:paraId="0C1462BD" w14:textId="1894D8F1" w:rsidR="002460F8" w:rsidRPr="00CC4CE5" w:rsidRDefault="005F5F9F" w:rsidP="005F5F9F">
      <w:pPr>
        <w:spacing w:line="276" w:lineRule="auto"/>
        <w:jc w:val="both"/>
        <w:rPr>
          <w:rFonts w:ascii="Trebuchet MS" w:hAnsi="Trebuchet MS"/>
          <w:sz w:val="22"/>
          <w:szCs w:val="22"/>
          <w:lang w:val="lt-LT"/>
        </w:rPr>
      </w:pPr>
      <w:r w:rsidRPr="00CC4CE5">
        <w:rPr>
          <w:rFonts w:ascii="Trebuchet MS" w:hAnsi="Trebuchet MS"/>
          <w:sz w:val="22"/>
          <w:szCs w:val="22"/>
          <w:lang w:val="lt-LT"/>
        </w:rPr>
        <w:t>Šiame skyriuje nustatomi CDE konfigūravimo paslaugų reikalavimai. Tiekėjas turi sukonfigūruoti siūlomą CDE pagal Užsakovo nustatytus procesus, struktūras ir taisykles. Detali konfigūravimui reikalinga informacija Tiekėjui pateikiama Sutarties vykdymo metu. Visa šiame skyriuje nustatyta paslaugų apimtis turi būti įtraukta į pasiūlymo kainą.</w:t>
      </w:r>
    </w:p>
    <w:p w14:paraId="306E5414" w14:textId="77777777" w:rsidR="005328E6" w:rsidRPr="00CC4CE5" w:rsidRDefault="005328E6" w:rsidP="00212625">
      <w:pPr>
        <w:spacing w:line="276" w:lineRule="auto"/>
        <w:jc w:val="both"/>
        <w:rPr>
          <w:rFonts w:ascii="Trebuchet MS" w:hAnsi="Trebuchet MS"/>
          <w:sz w:val="22"/>
          <w:szCs w:val="22"/>
          <w:lang w:val="lt-LT"/>
        </w:rPr>
      </w:pPr>
    </w:p>
    <w:tbl>
      <w:tblPr>
        <w:tblW w:w="15163" w:type="dxa"/>
        <w:tblLook w:val="04A0" w:firstRow="1" w:lastRow="0" w:firstColumn="1" w:lastColumn="0" w:noHBand="0" w:noVBand="1"/>
      </w:tblPr>
      <w:tblGrid>
        <w:gridCol w:w="610"/>
        <w:gridCol w:w="3071"/>
        <w:gridCol w:w="5386"/>
        <w:gridCol w:w="3119"/>
        <w:gridCol w:w="2977"/>
      </w:tblGrid>
      <w:tr w:rsidR="00AB62D0" w:rsidRPr="00CC4CE5" w14:paraId="4D48E902" w14:textId="77777777" w:rsidTr="00AB62D0">
        <w:trPr>
          <w:trHeight w:val="290"/>
        </w:trPr>
        <w:tc>
          <w:tcPr>
            <w:tcW w:w="610" w:type="dxa"/>
            <w:tcBorders>
              <w:top w:val="single" w:sz="4" w:space="0" w:color="auto"/>
              <w:left w:val="single" w:sz="4" w:space="0" w:color="auto"/>
              <w:bottom w:val="single" w:sz="4" w:space="0" w:color="auto"/>
              <w:right w:val="single" w:sz="4" w:space="0" w:color="auto"/>
            </w:tcBorders>
            <w:noWrap/>
            <w:vAlign w:val="center"/>
            <w:hideMark/>
          </w:tcPr>
          <w:p w14:paraId="0128B69F" w14:textId="77777777" w:rsidR="00AB62D0" w:rsidRPr="00CC4CE5" w:rsidRDefault="00AB62D0">
            <w:pPr>
              <w:jc w:val="center"/>
              <w:rPr>
                <w:rFonts w:ascii="Aptos Narrow" w:hAnsi="Aptos Narrow"/>
                <w:b/>
                <w:bCs/>
                <w:color w:val="000000"/>
                <w:sz w:val="22"/>
                <w:szCs w:val="22"/>
                <w:lang w:val="lt-LT" w:eastAsia="lt-LT"/>
              </w:rPr>
            </w:pPr>
            <w:r w:rsidRPr="00CC4CE5">
              <w:rPr>
                <w:rFonts w:ascii="Aptos Narrow" w:hAnsi="Aptos Narrow"/>
                <w:b/>
                <w:bCs/>
                <w:color w:val="000000"/>
                <w:sz w:val="22"/>
                <w:szCs w:val="22"/>
                <w:lang w:val="lt-LT"/>
              </w:rPr>
              <w:t>Nr.</w:t>
            </w:r>
          </w:p>
        </w:tc>
        <w:tc>
          <w:tcPr>
            <w:tcW w:w="3071" w:type="dxa"/>
            <w:tcBorders>
              <w:top w:val="single" w:sz="4" w:space="0" w:color="auto"/>
              <w:left w:val="nil"/>
              <w:bottom w:val="single" w:sz="4" w:space="0" w:color="auto"/>
              <w:right w:val="single" w:sz="4" w:space="0" w:color="auto"/>
            </w:tcBorders>
            <w:noWrap/>
            <w:vAlign w:val="center"/>
            <w:hideMark/>
          </w:tcPr>
          <w:p w14:paraId="11F29D60" w14:textId="77777777" w:rsidR="00AB62D0" w:rsidRPr="00CC4CE5" w:rsidRDefault="00AB62D0">
            <w:pPr>
              <w:jc w:val="center"/>
              <w:rPr>
                <w:rFonts w:ascii="Aptos Narrow" w:hAnsi="Aptos Narrow"/>
                <w:b/>
                <w:bCs/>
                <w:color w:val="000000"/>
                <w:sz w:val="22"/>
                <w:szCs w:val="22"/>
                <w:lang w:val="lt-LT"/>
              </w:rPr>
            </w:pPr>
            <w:r w:rsidRPr="00CC4CE5">
              <w:rPr>
                <w:rFonts w:ascii="Aptos Narrow" w:hAnsi="Aptos Narrow"/>
                <w:b/>
                <w:bCs/>
                <w:color w:val="000000"/>
                <w:sz w:val="22"/>
                <w:szCs w:val="22"/>
                <w:lang w:val="lt-LT"/>
              </w:rPr>
              <w:t>Konfigūravimo objektas</w:t>
            </w:r>
          </w:p>
        </w:tc>
        <w:tc>
          <w:tcPr>
            <w:tcW w:w="5386" w:type="dxa"/>
            <w:tcBorders>
              <w:top w:val="single" w:sz="4" w:space="0" w:color="auto"/>
              <w:left w:val="nil"/>
              <w:bottom w:val="single" w:sz="4" w:space="0" w:color="auto"/>
              <w:right w:val="single" w:sz="4" w:space="0" w:color="auto"/>
            </w:tcBorders>
            <w:noWrap/>
            <w:vAlign w:val="center"/>
            <w:hideMark/>
          </w:tcPr>
          <w:p w14:paraId="238C146A" w14:textId="77777777" w:rsidR="00AB62D0" w:rsidRPr="00CC4CE5" w:rsidRDefault="00AB62D0">
            <w:pPr>
              <w:jc w:val="center"/>
              <w:rPr>
                <w:rFonts w:ascii="Aptos Narrow" w:hAnsi="Aptos Narrow"/>
                <w:b/>
                <w:bCs/>
                <w:color w:val="000000"/>
                <w:sz w:val="22"/>
                <w:szCs w:val="22"/>
                <w:lang w:val="lt-LT"/>
              </w:rPr>
            </w:pPr>
            <w:r w:rsidRPr="00CC4CE5">
              <w:rPr>
                <w:rFonts w:ascii="Aptos Narrow" w:hAnsi="Aptos Narrow"/>
                <w:b/>
                <w:bCs/>
                <w:color w:val="000000"/>
                <w:sz w:val="22"/>
                <w:szCs w:val="22"/>
                <w:lang w:val="lt-LT"/>
              </w:rPr>
              <w:t>Reikalavimas</w:t>
            </w:r>
          </w:p>
        </w:tc>
        <w:tc>
          <w:tcPr>
            <w:tcW w:w="3119" w:type="dxa"/>
            <w:tcBorders>
              <w:top w:val="single" w:sz="4" w:space="0" w:color="auto"/>
              <w:left w:val="nil"/>
              <w:bottom w:val="single" w:sz="4" w:space="0" w:color="auto"/>
              <w:right w:val="single" w:sz="4" w:space="0" w:color="auto"/>
            </w:tcBorders>
            <w:vAlign w:val="center"/>
            <w:hideMark/>
          </w:tcPr>
          <w:p w14:paraId="4FF7EFC0" w14:textId="77777777" w:rsidR="00AB62D0" w:rsidRPr="00CC4CE5" w:rsidRDefault="00AB62D0">
            <w:pPr>
              <w:jc w:val="center"/>
              <w:rPr>
                <w:rFonts w:ascii="Aptos Narrow" w:hAnsi="Aptos Narrow"/>
                <w:b/>
                <w:bCs/>
                <w:color w:val="000000"/>
                <w:sz w:val="22"/>
                <w:szCs w:val="22"/>
                <w:lang w:val="lt-LT"/>
              </w:rPr>
            </w:pPr>
            <w:r w:rsidRPr="00CC4CE5">
              <w:rPr>
                <w:rFonts w:ascii="Aptos Narrow" w:hAnsi="Aptos Narrow"/>
                <w:b/>
                <w:bCs/>
                <w:color w:val="000000"/>
                <w:sz w:val="22"/>
                <w:szCs w:val="22"/>
                <w:lang w:val="lt-LT"/>
              </w:rPr>
              <w:t>Paslaugos apimtis</w:t>
            </w:r>
          </w:p>
        </w:tc>
        <w:tc>
          <w:tcPr>
            <w:tcW w:w="2977" w:type="dxa"/>
            <w:tcBorders>
              <w:top w:val="single" w:sz="4" w:space="0" w:color="auto"/>
              <w:left w:val="nil"/>
              <w:bottom w:val="single" w:sz="4" w:space="0" w:color="auto"/>
              <w:right w:val="single" w:sz="4" w:space="0" w:color="auto"/>
            </w:tcBorders>
            <w:vAlign w:val="center"/>
            <w:hideMark/>
          </w:tcPr>
          <w:p w14:paraId="75B574A6" w14:textId="77777777" w:rsidR="00AB62D0" w:rsidRPr="00CC4CE5" w:rsidRDefault="00AB62D0">
            <w:pPr>
              <w:jc w:val="center"/>
              <w:rPr>
                <w:rFonts w:ascii="Aptos Narrow" w:hAnsi="Aptos Narrow"/>
                <w:b/>
                <w:bCs/>
                <w:color w:val="000000"/>
                <w:sz w:val="22"/>
                <w:szCs w:val="22"/>
                <w:lang w:val="lt-LT"/>
              </w:rPr>
            </w:pPr>
            <w:r w:rsidRPr="00CC4CE5">
              <w:rPr>
                <w:rFonts w:ascii="Aptos Narrow" w:hAnsi="Aptos Narrow"/>
                <w:b/>
                <w:bCs/>
                <w:color w:val="000000"/>
                <w:sz w:val="22"/>
                <w:szCs w:val="22"/>
                <w:lang w:val="lt-LT"/>
              </w:rPr>
              <w:t>Priėmimo kriterijus</w:t>
            </w:r>
          </w:p>
        </w:tc>
      </w:tr>
      <w:tr w:rsidR="00AB62D0" w:rsidRPr="00CC4CE5" w14:paraId="7080C965" w14:textId="77777777" w:rsidTr="00AB62D0">
        <w:trPr>
          <w:trHeight w:val="1160"/>
        </w:trPr>
        <w:tc>
          <w:tcPr>
            <w:tcW w:w="610" w:type="dxa"/>
            <w:tcBorders>
              <w:top w:val="nil"/>
              <w:left w:val="single" w:sz="4" w:space="0" w:color="auto"/>
              <w:bottom w:val="single" w:sz="4" w:space="0" w:color="auto"/>
              <w:right w:val="single" w:sz="4" w:space="0" w:color="auto"/>
            </w:tcBorders>
            <w:noWrap/>
            <w:vAlign w:val="center"/>
            <w:hideMark/>
          </w:tcPr>
          <w:p w14:paraId="011FD05D" w14:textId="77777777" w:rsidR="00AB62D0" w:rsidRPr="00CC4CE5" w:rsidRDefault="00AB62D0">
            <w:pPr>
              <w:rPr>
                <w:rFonts w:ascii="Aptos Narrow" w:hAnsi="Aptos Narrow"/>
                <w:b/>
                <w:bCs/>
                <w:color w:val="000000"/>
                <w:sz w:val="22"/>
                <w:szCs w:val="22"/>
                <w:lang w:val="lt-LT"/>
              </w:rPr>
            </w:pPr>
            <w:r w:rsidRPr="00CC4CE5">
              <w:rPr>
                <w:rFonts w:ascii="Aptos Narrow" w:hAnsi="Aptos Narrow"/>
                <w:b/>
                <w:bCs/>
                <w:color w:val="000000"/>
                <w:sz w:val="22"/>
                <w:szCs w:val="22"/>
                <w:lang w:val="lt-LT"/>
              </w:rPr>
              <w:t>2.1</w:t>
            </w:r>
          </w:p>
        </w:tc>
        <w:tc>
          <w:tcPr>
            <w:tcW w:w="3071" w:type="dxa"/>
            <w:tcBorders>
              <w:top w:val="nil"/>
              <w:left w:val="nil"/>
              <w:bottom w:val="single" w:sz="4" w:space="0" w:color="auto"/>
              <w:right w:val="single" w:sz="4" w:space="0" w:color="auto"/>
            </w:tcBorders>
            <w:vAlign w:val="center"/>
            <w:hideMark/>
          </w:tcPr>
          <w:p w14:paraId="3C894312" w14:textId="77777777" w:rsidR="00AB62D0" w:rsidRPr="00CC4CE5" w:rsidRDefault="00AB62D0">
            <w:pPr>
              <w:rPr>
                <w:rFonts w:ascii="Aptos Narrow" w:hAnsi="Aptos Narrow"/>
                <w:b/>
                <w:bCs/>
                <w:color w:val="000000"/>
                <w:sz w:val="22"/>
                <w:szCs w:val="22"/>
                <w:lang w:val="lt-LT"/>
              </w:rPr>
            </w:pPr>
            <w:r w:rsidRPr="00CC4CE5">
              <w:rPr>
                <w:rFonts w:ascii="Aptos Narrow" w:hAnsi="Aptos Narrow"/>
                <w:b/>
                <w:bCs/>
                <w:color w:val="000000"/>
                <w:sz w:val="22"/>
                <w:szCs w:val="22"/>
                <w:lang w:val="lt-LT"/>
              </w:rPr>
              <w:t>Bendrieji konfigūravimo reikalavimai</w:t>
            </w:r>
          </w:p>
        </w:tc>
        <w:tc>
          <w:tcPr>
            <w:tcW w:w="5386" w:type="dxa"/>
            <w:tcBorders>
              <w:top w:val="nil"/>
              <w:left w:val="nil"/>
              <w:bottom w:val="single" w:sz="4" w:space="0" w:color="auto"/>
              <w:right w:val="single" w:sz="4" w:space="0" w:color="auto"/>
            </w:tcBorders>
            <w:vAlign w:val="center"/>
            <w:hideMark/>
          </w:tcPr>
          <w:p w14:paraId="78DEE7B9" w14:textId="77777777" w:rsidR="00AB62D0" w:rsidRPr="00CC4CE5" w:rsidRDefault="00AB62D0">
            <w:pPr>
              <w:rPr>
                <w:rFonts w:ascii="Aptos Narrow" w:hAnsi="Aptos Narrow"/>
                <w:color w:val="000000"/>
                <w:sz w:val="22"/>
                <w:szCs w:val="22"/>
                <w:lang w:val="lt-LT"/>
              </w:rPr>
            </w:pPr>
            <w:r w:rsidRPr="00CC4CE5">
              <w:rPr>
                <w:rFonts w:ascii="Aptos Narrow" w:hAnsi="Aptos Narrow"/>
                <w:color w:val="000000"/>
                <w:sz w:val="22"/>
                <w:szCs w:val="22"/>
                <w:lang w:val="lt-LT"/>
              </w:rPr>
              <w:t>Tiekėjas turi sukonfigūruoti CDE pagal Užsakovo taikomus projektinės informacijos valdymo, dokumentų valdymo ir statybos procesų standartus. Visa šiame skyriuje nustatyta konfigūravimo paslaugų apimtis turi būti įtraukta į pasiūlymo kainą.</w:t>
            </w:r>
          </w:p>
        </w:tc>
        <w:tc>
          <w:tcPr>
            <w:tcW w:w="3119" w:type="dxa"/>
            <w:tcBorders>
              <w:top w:val="nil"/>
              <w:left w:val="nil"/>
              <w:bottom w:val="single" w:sz="4" w:space="0" w:color="auto"/>
              <w:right w:val="single" w:sz="4" w:space="0" w:color="auto"/>
            </w:tcBorders>
            <w:vAlign w:val="center"/>
            <w:hideMark/>
          </w:tcPr>
          <w:p w14:paraId="1A6C95E0" w14:textId="77777777" w:rsidR="00AB62D0" w:rsidRPr="00CC4CE5" w:rsidRDefault="00AB62D0">
            <w:pPr>
              <w:rPr>
                <w:rFonts w:ascii="Aptos Narrow" w:hAnsi="Aptos Narrow"/>
                <w:color w:val="000000"/>
                <w:sz w:val="22"/>
                <w:szCs w:val="22"/>
                <w:lang w:val="lt-LT"/>
              </w:rPr>
            </w:pPr>
            <w:r w:rsidRPr="00CC4CE5">
              <w:rPr>
                <w:rFonts w:ascii="Aptos Narrow" w:hAnsi="Aptos Narrow"/>
                <w:color w:val="000000"/>
                <w:sz w:val="22"/>
                <w:szCs w:val="22"/>
                <w:lang w:val="lt-LT"/>
              </w:rPr>
              <w:t>Visa 2.2–2.18 punktuose nustatyta apimtis.</w:t>
            </w:r>
          </w:p>
        </w:tc>
        <w:tc>
          <w:tcPr>
            <w:tcW w:w="2977" w:type="dxa"/>
            <w:tcBorders>
              <w:top w:val="nil"/>
              <w:left w:val="nil"/>
              <w:bottom w:val="single" w:sz="4" w:space="0" w:color="auto"/>
              <w:right w:val="single" w:sz="4" w:space="0" w:color="auto"/>
            </w:tcBorders>
            <w:vAlign w:val="center"/>
            <w:hideMark/>
          </w:tcPr>
          <w:p w14:paraId="52BE7AFB" w14:textId="77777777" w:rsidR="00AB62D0" w:rsidRPr="00CC4CE5" w:rsidRDefault="00AB62D0">
            <w:pPr>
              <w:rPr>
                <w:rFonts w:ascii="Aptos Narrow" w:hAnsi="Aptos Narrow"/>
                <w:color w:val="000000"/>
                <w:sz w:val="22"/>
                <w:szCs w:val="22"/>
                <w:lang w:val="lt-LT"/>
              </w:rPr>
            </w:pPr>
            <w:r w:rsidRPr="00CC4CE5">
              <w:rPr>
                <w:rFonts w:ascii="Aptos Narrow" w:hAnsi="Aptos Narrow"/>
                <w:color w:val="000000"/>
                <w:sz w:val="22"/>
                <w:szCs w:val="22"/>
                <w:lang w:val="lt-LT"/>
              </w:rPr>
              <w:t>Atitiktis vertinama pagal atskirų šio skyriaus punktų priėmimo kriterijus.</w:t>
            </w:r>
          </w:p>
        </w:tc>
      </w:tr>
      <w:tr w:rsidR="00AB62D0" w:rsidRPr="005A629B" w14:paraId="740A0924" w14:textId="77777777" w:rsidTr="00AB62D0">
        <w:trPr>
          <w:trHeight w:val="2030"/>
        </w:trPr>
        <w:tc>
          <w:tcPr>
            <w:tcW w:w="610" w:type="dxa"/>
            <w:tcBorders>
              <w:top w:val="nil"/>
              <w:left w:val="single" w:sz="4" w:space="0" w:color="auto"/>
              <w:bottom w:val="single" w:sz="4" w:space="0" w:color="auto"/>
              <w:right w:val="single" w:sz="4" w:space="0" w:color="auto"/>
            </w:tcBorders>
            <w:noWrap/>
            <w:vAlign w:val="center"/>
            <w:hideMark/>
          </w:tcPr>
          <w:p w14:paraId="17BB1C35" w14:textId="77777777" w:rsidR="00AB62D0" w:rsidRPr="00CC4CE5" w:rsidRDefault="00AB62D0">
            <w:pPr>
              <w:rPr>
                <w:rFonts w:ascii="Aptos Narrow" w:hAnsi="Aptos Narrow"/>
                <w:b/>
                <w:bCs/>
                <w:color w:val="000000"/>
                <w:sz w:val="22"/>
                <w:szCs w:val="22"/>
                <w:lang w:val="lt-LT"/>
              </w:rPr>
            </w:pPr>
            <w:r w:rsidRPr="00CC4CE5">
              <w:rPr>
                <w:rFonts w:ascii="Aptos Narrow" w:hAnsi="Aptos Narrow"/>
                <w:b/>
                <w:bCs/>
                <w:color w:val="000000"/>
                <w:sz w:val="22"/>
                <w:szCs w:val="22"/>
                <w:lang w:val="lt-LT"/>
              </w:rPr>
              <w:t>2.2</w:t>
            </w:r>
          </w:p>
        </w:tc>
        <w:tc>
          <w:tcPr>
            <w:tcW w:w="3071" w:type="dxa"/>
            <w:tcBorders>
              <w:top w:val="nil"/>
              <w:left w:val="nil"/>
              <w:bottom w:val="single" w:sz="4" w:space="0" w:color="auto"/>
              <w:right w:val="single" w:sz="4" w:space="0" w:color="auto"/>
            </w:tcBorders>
            <w:vAlign w:val="center"/>
            <w:hideMark/>
          </w:tcPr>
          <w:p w14:paraId="0035E21E" w14:textId="77777777" w:rsidR="00AB62D0" w:rsidRPr="00CC4CE5" w:rsidRDefault="00AB62D0">
            <w:pPr>
              <w:rPr>
                <w:rFonts w:ascii="Aptos Narrow" w:hAnsi="Aptos Narrow"/>
                <w:b/>
                <w:bCs/>
                <w:color w:val="000000"/>
                <w:sz w:val="22"/>
                <w:szCs w:val="22"/>
                <w:lang w:val="lt-LT"/>
              </w:rPr>
            </w:pPr>
            <w:r w:rsidRPr="00CC4CE5">
              <w:rPr>
                <w:rFonts w:ascii="Aptos Narrow" w:hAnsi="Aptos Narrow"/>
                <w:b/>
                <w:bCs/>
                <w:color w:val="000000"/>
                <w:sz w:val="22"/>
                <w:szCs w:val="22"/>
                <w:lang w:val="lt-LT"/>
              </w:rPr>
              <w:t>Esamos CDE konfigūracijos analizė ir konfigūravimo planas</w:t>
            </w:r>
          </w:p>
        </w:tc>
        <w:tc>
          <w:tcPr>
            <w:tcW w:w="5386" w:type="dxa"/>
            <w:tcBorders>
              <w:top w:val="nil"/>
              <w:left w:val="nil"/>
              <w:bottom w:val="single" w:sz="4" w:space="0" w:color="auto"/>
              <w:right w:val="single" w:sz="4" w:space="0" w:color="auto"/>
            </w:tcBorders>
            <w:vAlign w:val="center"/>
            <w:hideMark/>
          </w:tcPr>
          <w:p w14:paraId="2E30499A" w14:textId="77777777" w:rsidR="00AB62D0" w:rsidRPr="00CC4CE5" w:rsidRDefault="00AB62D0">
            <w:pPr>
              <w:rPr>
                <w:rFonts w:ascii="Aptos Narrow" w:hAnsi="Aptos Narrow"/>
                <w:color w:val="000000"/>
                <w:sz w:val="22"/>
                <w:szCs w:val="22"/>
                <w:lang w:val="lt-LT"/>
              </w:rPr>
            </w:pPr>
            <w:r w:rsidRPr="00CC4CE5">
              <w:rPr>
                <w:rFonts w:ascii="Aptos Narrow" w:hAnsi="Aptos Narrow"/>
                <w:color w:val="000000"/>
                <w:sz w:val="22"/>
                <w:szCs w:val="22"/>
                <w:lang w:val="lt-LT"/>
              </w:rPr>
              <w:t>Tiekėjas turi išanalizuoti Užsakovo pateiktą esamos CDE standartizuotą konfigūraciją, nustatyti jos realizavimo siūlomame CDE būdą ir identifikuoti elementus, kuriems reikalingas lygiavertis alternatyvus realizavimo būdas. Prieš konfigūravimą turi būti parengtas ir su Užsakovu suderintas konfigūravimo planas.</w:t>
            </w:r>
          </w:p>
        </w:tc>
        <w:tc>
          <w:tcPr>
            <w:tcW w:w="3119" w:type="dxa"/>
            <w:tcBorders>
              <w:top w:val="nil"/>
              <w:left w:val="nil"/>
              <w:bottom w:val="single" w:sz="4" w:space="0" w:color="auto"/>
              <w:right w:val="single" w:sz="4" w:space="0" w:color="auto"/>
            </w:tcBorders>
            <w:vAlign w:val="center"/>
            <w:hideMark/>
          </w:tcPr>
          <w:p w14:paraId="0D847556" w14:textId="77777777" w:rsidR="00AB62D0" w:rsidRPr="00CC4CE5" w:rsidRDefault="00AB62D0">
            <w:pPr>
              <w:rPr>
                <w:rFonts w:ascii="Aptos Narrow" w:hAnsi="Aptos Narrow"/>
                <w:color w:val="000000"/>
                <w:sz w:val="22"/>
                <w:szCs w:val="22"/>
                <w:lang w:val="lt-LT"/>
              </w:rPr>
            </w:pPr>
            <w:r w:rsidRPr="00CC4CE5">
              <w:rPr>
                <w:rFonts w:ascii="Aptos Narrow" w:hAnsi="Aptos Narrow"/>
                <w:color w:val="000000"/>
                <w:sz w:val="22"/>
                <w:szCs w:val="22"/>
                <w:lang w:val="lt-LT"/>
              </w:rPr>
              <w:t>Analizė turi apimti visus techninės specifikacijos 2.3–2.14 punktuose nurodytus konfigūracijos objektus ir Užsakovo po sutarties sudarymo pateiktą su jais susijusią esamos CDE konfigūraciją.</w:t>
            </w:r>
          </w:p>
        </w:tc>
        <w:tc>
          <w:tcPr>
            <w:tcW w:w="2977" w:type="dxa"/>
            <w:tcBorders>
              <w:top w:val="nil"/>
              <w:left w:val="nil"/>
              <w:bottom w:val="single" w:sz="4" w:space="0" w:color="auto"/>
              <w:right w:val="single" w:sz="4" w:space="0" w:color="auto"/>
            </w:tcBorders>
            <w:vAlign w:val="center"/>
            <w:hideMark/>
          </w:tcPr>
          <w:p w14:paraId="2D9624AF" w14:textId="77777777" w:rsidR="00AB62D0" w:rsidRPr="00CC4CE5" w:rsidRDefault="00AB62D0">
            <w:pPr>
              <w:rPr>
                <w:rFonts w:ascii="Aptos Narrow" w:hAnsi="Aptos Narrow"/>
                <w:color w:val="000000"/>
                <w:sz w:val="22"/>
                <w:szCs w:val="22"/>
                <w:lang w:val="lt-LT"/>
              </w:rPr>
            </w:pPr>
            <w:r w:rsidRPr="00CC4CE5">
              <w:rPr>
                <w:rFonts w:ascii="Aptos Narrow" w:hAnsi="Aptos Narrow"/>
                <w:color w:val="000000"/>
                <w:sz w:val="22"/>
                <w:szCs w:val="22"/>
                <w:lang w:val="lt-LT"/>
              </w:rPr>
              <w:t>Užsakovui pateiktas ir suderintas konfigūravimo planas, kuriame nustatytas visų taikomų konfigūracijos objektų realizavimo būdas.</w:t>
            </w:r>
          </w:p>
        </w:tc>
      </w:tr>
      <w:tr w:rsidR="00AB62D0" w:rsidRPr="005A629B" w14:paraId="036B71F0" w14:textId="77777777" w:rsidTr="00AB62D0">
        <w:trPr>
          <w:trHeight w:val="1450"/>
        </w:trPr>
        <w:tc>
          <w:tcPr>
            <w:tcW w:w="610" w:type="dxa"/>
            <w:tcBorders>
              <w:top w:val="nil"/>
              <w:left w:val="single" w:sz="4" w:space="0" w:color="auto"/>
              <w:bottom w:val="single" w:sz="4" w:space="0" w:color="auto"/>
              <w:right w:val="single" w:sz="4" w:space="0" w:color="auto"/>
            </w:tcBorders>
            <w:noWrap/>
            <w:vAlign w:val="center"/>
            <w:hideMark/>
          </w:tcPr>
          <w:p w14:paraId="400D936D" w14:textId="77777777" w:rsidR="00AB62D0" w:rsidRPr="00CC4CE5" w:rsidRDefault="00AB62D0">
            <w:pPr>
              <w:rPr>
                <w:rFonts w:ascii="Aptos Narrow" w:hAnsi="Aptos Narrow"/>
                <w:b/>
                <w:bCs/>
                <w:color w:val="000000"/>
                <w:sz w:val="22"/>
                <w:szCs w:val="22"/>
                <w:lang w:val="lt-LT"/>
              </w:rPr>
            </w:pPr>
            <w:r w:rsidRPr="00CC4CE5">
              <w:rPr>
                <w:rFonts w:ascii="Aptos Narrow" w:hAnsi="Aptos Narrow"/>
                <w:b/>
                <w:bCs/>
                <w:color w:val="000000"/>
                <w:sz w:val="22"/>
                <w:szCs w:val="22"/>
                <w:lang w:val="lt-LT"/>
              </w:rPr>
              <w:t>2.3</w:t>
            </w:r>
          </w:p>
        </w:tc>
        <w:tc>
          <w:tcPr>
            <w:tcW w:w="3071" w:type="dxa"/>
            <w:tcBorders>
              <w:top w:val="nil"/>
              <w:left w:val="nil"/>
              <w:bottom w:val="single" w:sz="4" w:space="0" w:color="auto"/>
              <w:right w:val="single" w:sz="4" w:space="0" w:color="auto"/>
            </w:tcBorders>
            <w:vAlign w:val="center"/>
            <w:hideMark/>
          </w:tcPr>
          <w:p w14:paraId="63DDA56C" w14:textId="77777777" w:rsidR="00AB62D0" w:rsidRPr="00CC4CE5" w:rsidRDefault="00AB62D0">
            <w:pPr>
              <w:rPr>
                <w:rFonts w:ascii="Aptos Narrow" w:hAnsi="Aptos Narrow"/>
                <w:b/>
                <w:bCs/>
                <w:color w:val="000000"/>
                <w:sz w:val="22"/>
                <w:szCs w:val="22"/>
                <w:lang w:val="lt-LT"/>
              </w:rPr>
            </w:pPr>
            <w:r w:rsidRPr="00CC4CE5">
              <w:rPr>
                <w:rFonts w:ascii="Aptos Narrow" w:hAnsi="Aptos Narrow"/>
                <w:b/>
                <w:bCs/>
                <w:color w:val="000000"/>
                <w:sz w:val="22"/>
                <w:szCs w:val="22"/>
                <w:lang w:val="lt-LT"/>
              </w:rPr>
              <w:t>Pakartotinai naudojamos projekto konfigūracijos sukūrimas</w:t>
            </w:r>
          </w:p>
        </w:tc>
        <w:tc>
          <w:tcPr>
            <w:tcW w:w="5386" w:type="dxa"/>
            <w:tcBorders>
              <w:top w:val="nil"/>
              <w:left w:val="nil"/>
              <w:bottom w:val="single" w:sz="4" w:space="0" w:color="auto"/>
              <w:right w:val="single" w:sz="4" w:space="0" w:color="auto"/>
            </w:tcBorders>
            <w:vAlign w:val="center"/>
            <w:hideMark/>
          </w:tcPr>
          <w:p w14:paraId="491FFE7E" w14:textId="77777777" w:rsidR="00AB62D0" w:rsidRPr="00CC4CE5" w:rsidRDefault="00AB62D0">
            <w:pPr>
              <w:rPr>
                <w:rFonts w:ascii="Aptos Narrow" w:hAnsi="Aptos Narrow"/>
                <w:color w:val="000000"/>
                <w:sz w:val="22"/>
                <w:szCs w:val="22"/>
                <w:lang w:val="lt-LT"/>
              </w:rPr>
            </w:pPr>
            <w:r w:rsidRPr="00CC4CE5">
              <w:rPr>
                <w:rFonts w:ascii="Aptos Narrow" w:hAnsi="Aptos Narrow"/>
                <w:color w:val="000000"/>
                <w:sz w:val="22"/>
                <w:szCs w:val="22"/>
                <w:lang w:val="lt-LT"/>
              </w:rPr>
              <w:t>Tiekėjas turi sukurti pakartotinai naudojamas projekto konfigūracijas, apjungiančias atitinkamam projekto tipui taikomą dokumentų, naudotojų ir procesų konfigūraciją.</w:t>
            </w:r>
          </w:p>
        </w:tc>
        <w:tc>
          <w:tcPr>
            <w:tcW w:w="3119" w:type="dxa"/>
            <w:tcBorders>
              <w:top w:val="nil"/>
              <w:left w:val="nil"/>
              <w:bottom w:val="single" w:sz="4" w:space="0" w:color="auto"/>
              <w:right w:val="single" w:sz="4" w:space="0" w:color="auto"/>
            </w:tcBorders>
            <w:vAlign w:val="center"/>
            <w:hideMark/>
          </w:tcPr>
          <w:p w14:paraId="6B7314F1" w14:textId="77777777" w:rsidR="00AB62D0" w:rsidRPr="00CC4CE5" w:rsidRDefault="00AB62D0">
            <w:pPr>
              <w:rPr>
                <w:rFonts w:ascii="Aptos Narrow" w:hAnsi="Aptos Narrow"/>
                <w:color w:val="000000"/>
                <w:sz w:val="22"/>
                <w:szCs w:val="22"/>
                <w:lang w:val="lt-LT"/>
              </w:rPr>
            </w:pPr>
            <w:r w:rsidRPr="00CC4CE5">
              <w:rPr>
                <w:rFonts w:ascii="Aptos Narrow" w:hAnsi="Aptos Narrow"/>
                <w:color w:val="000000"/>
                <w:sz w:val="22"/>
                <w:szCs w:val="22"/>
                <w:lang w:val="lt-LT"/>
              </w:rPr>
              <w:t>Iki 2 pakartotinai naudojamų projekto konfigūracijų.</w:t>
            </w:r>
          </w:p>
        </w:tc>
        <w:tc>
          <w:tcPr>
            <w:tcW w:w="2977" w:type="dxa"/>
            <w:tcBorders>
              <w:top w:val="nil"/>
              <w:left w:val="nil"/>
              <w:bottom w:val="single" w:sz="4" w:space="0" w:color="auto"/>
              <w:right w:val="single" w:sz="4" w:space="0" w:color="auto"/>
            </w:tcBorders>
            <w:vAlign w:val="center"/>
            <w:hideMark/>
          </w:tcPr>
          <w:p w14:paraId="38F75457" w14:textId="2F36956B" w:rsidR="00AB62D0" w:rsidRPr="00CC4CE5" w:rsidRDefault="00640309">
            <w:pPr>
              <w:rPr>
                <w:rFonts w:ascii="Aptos Narrow" w:hAnsi="Aptos Narrow"/>
                <w:color w:val="000000"/>
                <w:sz w:val="22"/>
                <w:szCs w:val="22"/>
                <w:lang w:val="lt-LT"/>
              </w:rPr>
            </w:pPr>
            <w:r w:rsidRPr="00CC4CE5">
              <w:rPr>
                <w:rFonts w:ascii="Aptos Narrow" w:hAnsi="Aptos Narrow"/>
                <w:color w:val="000000"/>
                <w:sz w:val="22"/>
                <w:szCs w:val="22"/>
                <w:lang w:val="lt-LT"/>
              </w:rPr>
              <w:t>Sukurtos Užsakovo nurodytos pakartotinai naudojamos projekto konfigūracijos ir praktiškai patikrinta, kad jos gali būti pritaikomos kuriant naują projektą jų nekuriant iš naujo</w:t>
            </w:r>
          </w:p>
        </w:tc>
      </w:tr>
      <w:tr w:rsidR="00AB62D0" w:rsidRPr="00CC4CE5" w14:paraId="2AEFD801" w14:textId="77777777" w:rsidTr="00AB62D0">
        <w:trPr>
          <w:trHeight w:val="1160"/>
        </w:trPr>
        <w:tc>
          <w:tcPr>
            <w:tcW w:w="610" w:type="dxa"/>
            <w:tcBorders>
              <w:top w:val="nil"/>
              <w:left w:val="single" w:sz="4" w:space="0" w:color="auto"/>
              <w:bottom w:val="single" w:sz="4" w:space="0" w:color="auto"/>
              <w:right w:val="single" w:sz="4" w:space="0" w:color="auto"/>
            </w:tcBorders>
            <w:noWrap/>
            <w:vAlign w:val="center"/>
            <w:hideMark/>
          </w:tcPr>
          <w:p w14:paraId="4BFEBFFB" w14:textId="77777777" w:rsidR="00AB62D0" w:rsidRPr="00CC4CE5" w:rsidRDefault="00AB62D0">
            <w:pPr>
              <w:rPr>
                <w:rFonts w:ascii="Aptos Narrow" w:hAnsi="Aptos Narrow"/>
                <w:b/>
                <w:bCs/>
                <w:color w:val="000000"/>
                <w:sz w:val="22"/>
                <w:szCs w:val="22"/>
                <w:lang w:val="lt-LT"/>
              </w:rPr>
            </w:pPr>
            <w:r w:rsidRPr="00CC4CE5">
              <w:rPr>
                <w:rFonts w:ascii="Aptos Narrow" w:hAnsi="Aptos Narrow"/>
                <w:b/>
                <w:bCs/>
                <w:color w:val="000000"/>
                <w:sz w:val="22"/>
                <w:szCs w:val="22"/>
                <w:lang w:val="lt-LT"/>
              </w:rPr>
              <w:t>2.4</w:t>
            </w:r>
          </w:p>
        </w:tc>
        <w:tc>
          <w:tcPr>
            <w:tcW w:w="3071" w:type="dxa"/>
            <w:tcBorders>
              <w:top w:val="nil"/>
              <w:left w:val="nil"/>
              <w:bottom w:val="single" w:sz="4" w:space="0" w:color="auto"/>
              <w:right w:val="single" w:sz="4" w:space="0" w:color="auto"/>
            </w:tcBorders>
            <w:vAlign w:val="center"/>
            <w:hideMark/>
          </w:tcPr>
          <w:p w14:paraId="0717D814" w14:textId="77777777" w:rsidR="00AB62D0" w:rsidRPr="00CC4CE5" w:rsidRDefault="00AB62D0">
            <w:pPr>
              <w:rPr>
                <w:rFonts w:ascii="Aptos Narrow" w:hAnsi="Aptos Narrow"/>
                <w:b/>
                <w:bCs/>
                <w:color w:val="000000"/>
                <w:sz w:val="22"/>
                <w:szCs w:val="22"/>
                <w:lang w:val="lt-LT"/>
              </w:rPr>
            </w:pPr>
            <w:r w:rsidRPr="00CC4CE5">
              <w:rPr>
                <w:rFonts w:ascii="Aptos Narrow" w:hAnsi="Aptos Narrow"/>
                <w:b/>
                <w:bCs/>
                <w:color w:val="000000"/>
                <w:sz w:val="22"/>
                <w:szCs w:val="22"/>
                <w:lang w:val="lt-LT"/>
              </w:rPr>
              <w:t>Aplankų ir informacijos struktūros konfigūravimas</w:t>
            </w:r>
          </w:p>
        </w:tc>
        <w:tc>
          <w:tcPr>
            <w:tcW w:w="5386" w:type="dxa"/>
            <w:tcBorders>
              <w:top w:val="nil"/>
              <w:left w:val="nil"/>
              <w:bottom w:val="single" w:sz="4" w:space="0" w:color="auto"/>
              <w:right w:val="single" w:sz="4" w:space="0" w:color="auto"/>
            </w:tcBorders>
            <w:vAlign w:val="center"/>
            <w:hideMark/>
          </w:tcPr>
          <w:p w14:paraId="38C92D37" w14:textId="77777777" w:rsidR="00AB62D0" w:rsidRPr="00CC4CE5" w:rsidRDefault="00AB62D0">
            <w:pPr>
              <w:rPr>
                <w:rFonts w:ascii="Aptos Narrow" w:hAnsi="Aptos Narrow"/>
                <w:color w:val="000000"/>
                <w:sz w:val="22"/>
                <w:szCs w:val="22"/>
                <w:lang w:val="lt-LT"/>
              </w:rPr>
            </w:pPr>
            <w:r w:rsidRPr="00CC4CE5">
              <w:rPr>
                <w:rFonts w:ascii="Aptos Narrow" w:hAnsi="Aptos Narrow"/>
                <w:color w:val="000000"/>
                <w:sz w:val="22"/>
                <w:szCs w:val="22"/>
                <w:lang w:val="lt-LT"/>
              </w:rPr>
              <w:t>Tiekėjas turi sukonfigūruoti Užsakovo nustatytas hierarchines aplankų / informacijos struktūras, jų numeravimo ir klasifikavimo principus bei priskyrimą atitinkamai pakartotinai naudojamai projekto konfigūracijai.</w:t>
            </w:r>
          </w:p>
        </w:tc>
        <w:tc>
          <w:tcPr>
            <w:tcW w:w="3119" w:type="dxa"/>
            <w:tcBorders>
              <w:top w:val="nil"/>
              <w:left w:val="nil"/>
              <w:bottom w:val="single" w:sz="4" w:space="0" w:color="auto"/>
              <w:right w:val="single" w:sz="4" w:space="0" w:color="auto"/>
            </w:tcBorders>
            <w:vAlign w:val="center"/>
            <w:hideMark/>
          </w:tcPr>
          <w:p w14:paraId="18D8686E" w14:textId="77777777" w:rsidR="00AB62D0" w:rsidRPr="00CC4CE5" w:rsidRDefault="00AB62D0">
            <w:pPr>
              <w:rPr>
                <w:rFonts w:ascii="Aptos Narrow" w:hAnsi="Aptos Narrow"/>
                <w:color w:val="000000"/>
                <w:sz w:val="22"/>
                <w:szCs w:val="22"/>
                <w:lang w:val="lt-LT"/>
              </w:rPr>
            </w:pPr>
            <w:r w:rsidRPr="00CC4CE5">
              <w:rPr>
                <w:rFonts w:ascii="Aptos Narrow" w:hAnsi="Aptos Narrow"/>
                <w:color w:val="000000"/>
                <w:sz w:val="22"/>
                <w:szCs w:val="22"/>
                <w:lang w:val="lt-LT"/>
              </w:rPr>
              <w:t>Iki 2 atskirų pilnų struktūrų; iki 6 hierarchinių lygių; iki 100 aplankų / informacijos konteinerių vienoje struktūroje.</w:t>
            </w:r>
          </w:p>
        </w:tc>
        <w:tc>
          <w:tcPr>
            <w:tcW w:w="2977" w:type="dxa"/>
            <w:tcBorders>
              <w:top w:val="nil"/>
              <w:left w:val="nil"/>
              <w:bottom w:val="single" w:sz="4" w:space="0" w:color="auto"/>
              <w:right w:val="single" w:sz="4" w:space="0" w:color="auto"/>
            </w:tcBorders>
            <w:vAlign w:val="center"/>
            <w:hideMark/>
          </w:tcPr>
          <w:p w14:paraId="412B0872" w14:textId="77777777" w:rsidR="00AB62D0" w:rsidRPr="00CC4CE5" w:rsidRDefault="00AB62D0">
            <w:pPr>
              <w:rPr>
                <w:rFonts w:ascii="Aptos Narrow" w:hAnsi="Aptos Narrow"/>
                <w:color w:val="000000"/>
                <w:sz w:val="22"/>
                <w:szCs w:val="22"/>
                <w:lang w:val="lt-LT"/>
              </w:rPr>
            </w:pPr>
            <w:r w:rsidRPr="00CC4CE5">
              <w:rPr>
                <w:rFonts w:ascii="Aptos Narrow" w:hAnsi="Aptos Narrow"/>
                <w:color w:val="000000"/>
                <w:sz w:val="22"/>
                <w:szCs w:val="22"/>
                <w:lang w:val="lt-LT"/>
              </w:rPr>
              <w:t>Sukurta Užsakovo pateiktą struktūros schemą atitinkanti informacijos struktūra.</w:t>
            </w:r>
          </w:p>
        </w:tc>
      </w:tr>
      <w:tr w:rsidR="00AB62D0" w:rsidRPr="005A629B" w14:paraId="2BB85F24" w14:textId="77777777" w:rsidTr="00AB62D0">
        <w:trPr>
          <w:trHeight w:val="1450"/>
        </w:trPr>
        <w:tc>
          <w:tcPr>
            <w:tcW w:w="610" w:type="dxa"/>
            <w:tcBorders>
              <w:top w:val="nil"/>
              <w:left w:val="single" w:sz="4" w:space="0" w:color="auto"/>
              <w:bottom w:val="single" w:sz="4" w:space="0" w:color="auto"/>
              <w:right w:val="single" w:sz="4" w:space="0" w:color="auto"/>
            </w:tcBorders>
            <w:noWrap/>
            <w:vAlign w:val="center"/>
            <w:hideMark/>
          </w:tcPr>
          <w:p w14:paraId="4E3E68FE" w14:textId="77777777" w:rsidR="00AB62D0" w:rsidRPr="00CC4CE5" w:rsidRDefault="00AB62D0">
            <w:pPr>
              <w:rPr>
                <w:rFonts w:ascii="Aptos Narrow" w:hAnsi="Aptos Narrow"/>
                <w:b/>
                <w:bCs/>
                <w:color w:val="000000"/>
                <w:sz w:val="22"/>
                <w:szCs w:val="22"/>
                <w:lang w:val="lt-LT"/>
              </w:rPr>
            </w:pPr>
            <w:r w:rsidRPr="00CC4CE5">
              <w:rPr>
                <w:rFonts w:ascii="Aptos Narrow" w:hAnsi="Aptos Narrow"/>
                <w:b/>
                <w:bCs/>
                <w:color w:val="000000"/>
                <w:sz w:val="22"/>
                <w:szCs w:val="22"/>
                <w:lang w:val="lt-LT"/>
              </w:rPr>
              <w:lastRenderedPageBreak/>
              <w:t>2.5</w:t>
            </w:r>
          </w:p>
        </w:tc>
        <w:tc>
          <w:tcPr>
            <w:tcW w:w="3071" w:type="dxa"/>
            <w:tcBorders>
              <w:top w:val="nil"/>
              <w:left w:val="nil"/>
              <w:bottom w:val="single" w:sz="4" w:space="0" w:color="auto"/>
              <w:right w:val="single" w:sz="4" w:space="0" w:color="auto"/>
            </w:tcBorders>
            <w:vAlign w:val="center"/>
            <w:hideMark/>
          </w:tcPr>
          <w:p w14:paraId="4B4EAED1" w14:textId="77777777" w:rsidR="00AB62D0" w:rsidRPr="00CC4CE5" w:rsidRDefault="00AB62D0">
            <w:pPr>
              <w:rPr>
                <w:rFonts w:ascii="Aptos Narrow" w:hAnsi="Aptos Narrow"/>
                <w:b/>
                <w:bCs/>
                <w:color w:val="000000"/>
                <w:sz w:val="22"/>
                <w:szCs w:val="22"/>
                <w:lang w:val="lt-LT"/>
              </w:rPr>
            </w:pPr>
            <w:r w:rsidRPr="00CC4CE5">
              <w:rPr>
                <w:rFonts w:ascii="Aptos Narrow" w:hAnsi="Aptos Narrow"/>
                <w:b/>
                <w:bCs/>
                <w:color w:val="000000"/>
                <w:sz w:val="22"/>
                <w:szCs w:val="22"/>
                <w:lang w:val="lt-LT"/>
              </w:rPr>
              <w:t>Metaduomenų konfigūravimas</w:t>
            </w:r>
          </w:p>
        </w:tc>
        <w:tc>
          <w:tcPr>
            <w:tcW w:w="5386" w:type="dxa"/>
            <w:tcBorders>
              <w:top w:val="nil"/>
              <w:left w:val="nil"/>
              <w:bottom w:val="single" w:sz="4" w:space="0" w:color="auto"/>
              <w:right w:val="single" w:sz="4" w:space="0" w:color="auto"/>
            </w:tcBorders>
            <w:vAlign w:val="center"/>
            <w:hideMark/>
          </w:tcPr>
          <w:p w14:paraId="249559E6" w14:textId="77777777" w:rsidR="00AB62D0" w:rsidRPr="00CC4CE5" w:rsidRDefault="00AB62D0">
            <w:pPr>
              <w:rPr>
                <w:rFonts w:ascii="Aptos Narrow" w:hAnsi="Aptos Narrow"/>
                <w:color w:val="000000"/>
                <w:sz w:val="22"/>
                <w:szCs w:val="22"/>
                <w:lang w:val="lt-LT"/>
              </w:rPr>
            </w:pPr>
            <w:r w:rsidRPr="00CC4CE5">
              <w:rPr>
                <w:rFonts w:ascii="Aptos Narrow" w:hAnsi="Aptos Narrow"/>
                <w:color w:val="000000"/>
                <w:sz w:val="22"/>
                <w:szCs w:val="22"/>
                <w:lang w:val="lt-LT"/>
              </w:rPr>
              <w:t>Tiekėjas turi sukonfigūruoti Užsakovo nustatytus metaduomenų laukus, jų tipus, privalomumą, taikymą skirtingoms informacijos rūšims ir kontroliuojamų reikšmių sąrašus.</w:t>
            </w:r>
          </w:p>
        </w:tc>
        <w:tc>
          <w:tcPr>
            <w:tcW w:w="3119" w:type="dxa"/>
            <w:tcBorders>
              <w:top w:val="nil"/>
              <w:left w:val="nil"/>
              <w:bottom w:val="single" w:sz="4" w:space="0" w:color="auto"/>
              <w:right w:val="single" w:sz="4" w:space="0" w:color="auto"/>
            </w:tcBorders>
            <w:vAlign w:val="center"/>
            <w:hideMark/>
          </w:tcPr>
          <w:p w14:paraId="10A69B75" w14:textId="77777777" w:rsidR="00AB62D0" w:rsidRPr="00CC4CE5" w:rsidRDefault="00AB62D0">
            <w:pPr>
              <w:rPr>
                <w:rFonts w:ascii="Aptos Narrow" w:hAnsi="Aptos Narrow"/>
                <w:color w:val="000000"/>
                <w:sz w:val="22"/>
                <w:szCs w:val="22"/>
                <w:lang w:val="lt-LT"/>
              </w:rPr>
            </w:pPr>
            <w:r w:rsidRPr="00CC4CE5">
              <w:rPr>
                <w:rFonts w:ascii="Aptos Narrow" w:hAnsi="Aptos Narrow"/>
                <w:color w:val="000000"/>
                <w:sz w:val="22"/>
                <w:szCs w:val="22"/>
                <w:lang w:val="lt-LT"/>
              </w:rPr>
              <w:t>Iki 10 metaduomenų laukų; iš jų iki 2 laukų su iš anksto nustatytomis reikšmėmis; viename reikšmių sąraše – iki 30 reikšmių.</w:t>
            </w:r>
          </w:p>
        </w:tc>
        <w:tc>
          <w:tcPr>
            <w:tcW w:w="2977" w:type="dxa"/>
            <w:tcBorders>
              <w:top w:val="nil"/>
              <w:left w:val="nil"/>
              <w:bottom w:val="single" w:sz="4" w:space="0" w:color="auto"/>
              <w:right w:val="single" w:sz="4" w:space="0" w:color="auto"/>
            </w:tcBorders>
            <w:vAlign w:val="center"/>
            <w:hideMark/>
          </w:tcPr>
          <w:p w14:paraId="62A6953E" w14:textId="77777777" w:rsidR="00AB62D0" w:rsidRPr="00CC4CE5" w:rsidRDefault="00AB62D0">
            <w:pPr>
              <w:rPr>
                <w:rFonts w:ascii="Aptos Narrow" w:hAnsi="Aptos Narrow"/>
                <w:color w:val="000000"/>
                <w:sz w:val="22"/>
                <w:szCs w:val="22"/>
                <w:lang w:val="lt-LT"/>
              </w:rPr>
            </w:pPr>
            <w:r w:rsidRPr="00CC4CE5">
              <w:rPr>
                <w:rFonts w:ascii="Aptos Narrow" w:hAnsi="Aptos Narrow"/>
                <w:color w:val="000000"/>
                <w:sz w:val="22"/>
                <w:szCs w:val="22"/>
                <w:lang w:val="lt-LT"/>
              </w:rPr>
              <w:t>Bandomaisiais failais patikrintas sukonfigūruotų metaduomenų, privalomumo, pasirinkimo reikšmių, paieškos ir filtravimo veikimas.</w:t>
            </w:r>
          </w:p>
        </w:tc>
      </w:tr>
      <w:tr w:rsidR="00AB62D0" w:rsidRPr="00CC4CE5" w14:paraId="3260939D" w14:textId="77777777" w:rsidTr="00AB62D0">
        <w:trPr>
          <w:trHeight w:val="1450"/>
        </w:trPr>
        <w:tc>
          <w:tcPr>
            <w:tcW w:w="610" w:type="dxa"/>
            <w:tcBorders>
              <w:top w:val="nil"/>
              <w:left w:val="single" w:sz="4" w:space="0" w:color="auto"/>
              <w:bottom w:val="single" w:sz="4" w:space="0" w:color="auto"/>
              <w:right w:val="single" w:sz="4" w:space="0" w:color="auto"/>
            </w:tcBorders>
            <w:noWrap/>
            <w:vAlign w:val="center"/>
            <w:hideMark/>
          </w:tcPr>
          <w:p w14:paraId="5B26A5F8" w14:textId="77777777" w:rsidR="00AB62D0" w:rsidRPr="00CC4CE5" w:rsidRDefault="00AB62D0">
            <w:pPr>
              <w:rPr>
                <w:rFonts w:ascii="Aptos Narrow" w:hAnsi="Aptos Narrow"/>
                <w:b/>
                <w:bCs/>
                <w:color w:val="000000"/>
                <w:sz w:val="22"/>
                <w:szCs w:val="22"/>
                <w:lang w:val="lt-LT"/>
              </w:rPr>
            </w:pPr>
            <w:r w:rsidRPr="00CC4CE5">
              <w:rPr>
                <w:rFonts w:ascii="Aptos Narrow" w:hAnsi="Aptos Narrow"/>
                <w:b/>
                <w:bCs/>
                <w:color w:val="000000"/>
                <w:sz w:val="22"/>
                <w:szCs w:val="22"/>
                <w:lang w:val="lt-LT"/>
              </w:rPr>
              <w:t>2.6</w:t>
            </w:r>
          </w:p>
        </w:tc>
        <w:tc>
          <w:tcPr>
            <w:tcW w:w="3071" w:type="dxa"/>
            <w:tcBorders>
              <w:top w:val="nil"/>
              <w:left w:val="nil"/>
              <w:bottom w:val="single" w:sz="4" w:space="0" w:color="auto"/>
              <w:right w:val="single" w:sz="4" w:space="0" w:color="auto"/>
            </w:tcBorders>
            <w:vAlign w:val="center"/>
            <w:hideMark/>
          </w:tcPr>
          <w:p w14:paraId="74B9F647" w14:textId="77777777" w:rsidR="00AB62D0" w:rsidRPr="00CC4CE5" w:rsidRDefault="00AB62D0">
            <w:pPr>
              <w:rPr>
                <w:rFonts w:ascii="Aptos Narrow" w:hAnsi="Aptos Narrow"/>
                <w:b/>
                <w:bCs/>
                <w:color w:val="000000"/>
                <w:sz w:val="22"/>
                <w:szCs w:val="22"/>
                <w:lang w:val="lt-LT"/>
              </w:rPr>
            </w:pPr>
            <w:r w:rsidRPr="00CC4CE5">
              <w:rPr>
                <w:rFonts w:ascii="Aptos Narrow" w:hAnsi="Aptos Narrow"/>
                <w:b/>
                <w:bCs/>
                <w:color w:val="000000"/>
                <w:sz w:val="22"/>
                <w:szCs w:val="22"/>
                <w:lang w:val="lt-LT"/>
              </w:rPr>
              <w:t>Failų pavadinimų ir identifikavimo taisyklių konfigūravimas</w:t>
            </w:r>
          </w:p>
        </w:tc>
        <w:tc>
          <w:tcPr>
            <w:tcW w:w="5386" w:type="dxa"/>
            <w:tcBorders>
              <w:top w:val="nil"/>
              <w:left w:val="nil"/>
              <w:bottom w:val="single" w:sz="4" w:space="0" w:color="auto"/>
              <w:right w:val="single" w:sz="4" w:space="0" w:color="auto"/>
            </w:tcBorders>
            <w:vAlign w:val="center"/>
            <w:hideMark/>
          </w:tcPr>
          <w:p w14:paraId="1D2A042C" w14:textId="77777777" w:rsidR="00AB62D0" w:rsidRPr="00CC4CE5" w:rsidRDefault="00AB62D0">
            <w:pPr>
              <w:rPr>
                <w:rFonts w:ascii="Aptos Narrow" w:hAnsi="Aptos Narrow"/>
                <w:color w:val="000000"/>
                <w:sz w:val="22"/>
                <w:szCs w:val="22"/>
                <w:lang w:val="lt-LT"/>
              </w:rPr>
            </w:pPr>
            <w:r w:rsidRPr="00CC4CE5">
              <w:rPr>
                <w:rFonts w:ascii="Aptos Narrow" w:hAnsi="Aptos Narrow"/>
                <w:color w:val="000000"/>
                <w:sz w:val="22"/>
                <w:szCs w:val="22"/>
                <w:lang w:val="lt-LT"/>
              </w:rPr>
              <w:t>Tiekėjas turi sukonfigūruoti Užsakovo nustatytus failų pavadinimų / informacijos identifikavimo šablonus, sudaromus naudojant metaduomenis, klasifikavimo požymius, skyriklius ar kitus nustatytus atributus. Turi būti sukonfigūruotas šablonų taikymas atitinkamoms informacijos struktūros dalims.</w:t>
            </w:r>
          </w:p>
        </w:tc>
        <w:tc>
          <w:tcPr>
            <w:tcW w:w="3119" w:type="dxa"/>
            <w:tcBorders>
              <w:top w:val="nil"/>
              <w:left w:val="nil"/>
              <w:bottom w:val="single" w:sz="4" w:space="0" w:color="auto"/>
              <w:right w:val="single" w:sz="4" w:space="0" w:color="auto"/>
            </w:tcBorders>
            <w:vAlign w:val="center"/>
            <w:hideMark/>
          </w:tcPr>
          <w:p w14:paraId="6FEEC18E" w14:textId="77777777" w:rsidR="00AB62D0" w:rsidRPr="00CC4CE5" w:rsidRDefault="00AB62D0">
            <w:pPr>
              <w:rPr>
                <w:rFonts w:ascii="Aptos Narrow" w:hAnsi="Aptos Narrow"/>
                <w:color w:val="000000"/>
                <w:sz w:val="22"/>
                <w:szCs w:val="22"/>
                <w:lang w:val="lt-LT"/>
              </w:rPr>
            </w:pPr>
            <w:r w:rsidRPr="00CC4CE5">
              <w:rPr>
                <w:rFonts w:ascii="Aptos Narrow" w:hAnsi="Aptos Narrow"/>
                <w:color w:val="000000"/>
                <w:sz w:val="22"/>
                <w:szCs w:val="22"/>
                <w:lang w:val="lt-LT"/>
              </w:rPr>
              <w:t>Iki 3 failų pavadinimų šablonų; iki 6 segmentų viename šablone; šablonų taikymas iki 100 aplankų.</w:t>
            </w:r>
          </w:p>
        </w:tc>
        <w:tc>
          <w:tcPr>
            <w:tcW w:w="2977" w:type="dxa"/>
            <w:tcBorders>
              <w:top w:val="nil"/>
              <w:left w:val="nil"/>
              <w:bottom w:val="single" w:sz="4" w:space="0" w:color="auto"/>
              <w:right w:val="single" w:sz="4" w:space="0" w:color="auto"/>
            </w:tcBorders>
            <w:vAlign w:val="center"/>
            <w:hideMark/>
          </w:tcPr>
          <w:p w14:paraId="35845FEB" w14:textId="77777777" w:rsidR="00AB62D0" w:rsidRPr="00CC4CE5" w:rsidRDefault="00AB62D0">
            <w:pPr>
              <w:rPr>
                <w:rFonts w:ascii="Aptos Narrow" w:hAnsi="Aptos Narrow"/>
                <w:color w:val="000000"/>
                <w:sz w:val="22"/>
                <w:szCs w:val="22"/>
                <w:lang w:val="lt-LT"/>
              </w:rPr>
            </w:pPr>
            <w:r w:rsidRPr="00CC4CE5">
              <w:rPr>
                <w:rFonts w:ascii="Aptos Narrow" w:hAnsi="Aptos Narrow"/>
                <w:color w:val="000000"/>
                <w:sz w:val="22"/>
                <w:szCs w:val="22"/>
                <w:lang w:val="lt-LT"/>
              </w:rPr>
              <w:t>Patikrinta, kad failams atitinkamose informacijos struktūros vietose taikoma nustatyta pavadinimų sudarymo ir (ar) atitikties kontrolės logika.</w:t>
            </w:r>
          </w:p>
        </w:tc>
      </w:tr>
      <w:tr w:rsidR="00AB62D0" w:rsidRPr="00CC4CE5" w14:paraId="3F156049" w14:textId="77777777" w:rsidTr="00AB62D0">
        <w:trPr>
          <w:trHeight w:val="1450"/>
        </w:trPr>
        <w:tc>
          <w:tcPr>
            <w:tcW w:w="610" w:type="dxa"/>
            <w:tcBorders>
              <w:top w:val="nil"/>
              <w:left w:val="single" w:sz="4" w:space="0" w:color="auto"/>
              <w:bottom w:val="single" w:sz="4" w:space="0" w:color="auto"/>
              <w:right w:val="single" w:sz="4" w:space="0" w:color="auto"/>
            </w:tcBorders>
            <w:noWrap/>
            <w:vAlign w:val="center"/>
            <w:hideMark/>
          </w:tcPr>
          <w:p w14:paraId="3E0BAE53" w14:textId="77777777" w:rsidR="00AB62D0" w:rsidRPr="00CC4CE5" w:rsidRDefault="00AB62D0">
            <w:pPr>
              <w:rPr>
                <w:rFonts w:ascii="Aptos Narrow" w:hAnsi="Aptos Narrow"/>
                <w:b/>
                <w:bCs/>
                <w:color w:val="000000"/>
                <w:sz w:val="22"/>
                <w:szCs w:val="22"/>
                <w:lang w:val="lt-LT"/>
              </w:rPr>
            </w:pPr>
            <w:r w:rsidRPr="00CC4CE5">
              <w:rPr>
                <w:rFonts w:ascii="Aptos Narrow" w:hAnsi="Aptos Narrow"/>
                <w:b/>
                <w:bCs/>
                <w:color w:val="000000"/>
                <w:sz w:val="22"/>
                <w:szCs w:val="22"/>
                <w:lang w:val="lt-LT"/>
              </w:rPr>
              <w:t>2.7</w:t>
            </w:r>
          </w:p>
        </w:tc>
        <w:tc>
          <w:tcPr>
            <w:tcW w:w="3071" w:type="dxa"/>
            <w:tcBorders>
              <w:top w:val="nil"/>
              <w:left w:val="nil"/>
              <w:bottom w:val="single" w:sz="4" w:space="0" w:color="auto"/>
              <w:right w:val="single" w:sz="4" w:space="0" w:color="auto"/>
            </w:tcBorders>
            <w:vAlign w:val="center"/>
            <w:hideMark/>
          </w:tcPr>
          <w:p w14:paraId="612B7A25" w14:textId="77777777" w:rsidR="00AB62D0" w:rsidRPr="00CC4CE5" w:rsidRDefault="00AB62D0">
            <w:pPr>
              <w:rPr>
                <w:rFonts w:ascii="Aptos Narrow" w:hAnsi="Aptos Narrow"/>
                <w:b/>
                <w:bCs/>
                <w:color w:val="000000"/>
                <w:sz w:val="22"/>
                <w:szCs w:val="22"/>
                <w:lang w:val="lt-LT"/>
              </w:rPr>
            </w:pPr>
            <w:r w:rsidRPr="00CC4CE5">
              <w:rPr>
                <w:rFonts w:ascii="Aptos Narrow" w:hAnsi="Aptos Narrow"/>
                <w:b/>
                <w:bCs/>
                <w:color w:val="000000"/>
                <w:sz w:val="22"/>
                <w:szCs w:val="22"/>
                <w:lang w:val="lt-LT"/>
              </w:rPr>
              <w:t>Failų pateikimo, tikrinimo, tvirtinimo ir paskelbimo procesų konfigūravimas</w:t>
            </w:r>
          </w:p>
        </w:tc>
        <w:tc>
          <w:tcPr>
            <w:tcW w:w="5386" w:type="dxa"/>
            <w:tcBorders>
              <w:top w:val="nil"/>
              <w:left w:val="nil"/>
              <w:bottom w:val="single" w:sz="4" w:space="0" w:color="auto"/>
              <w:right w:val="single" w:sz="4" w:space="0" w:color="auto"/>
            </w:tcBorders>
            <w:vAlign w:val="center"/>
            <w:hideMark/>
          </w:tcPr>
          <w:p w14:paraId="5BF9CF08" w14:textId="77777777" w:rsidR="00AB62D0" w:rsidRPr="00CC4CE5" w:rsidRDefault="00AB62D0">
            <w:pPr>
              <w:rPr>
                <w:rFonts w:ascii="Aptos Narrow" w:hAnsi="Aptos Narrow"/>
                <w:color w:val="000000"/>
                <w:sz w:val="22"/>
                <w:szCs w:val="22"/>
                <w:lang w:val="lt-LT"/>
              </w:rPr>
            </w:pPr>
            <w:r w:rsidRPr="00CC4CE5">
              <w:rPr>
                <w:rFonts w:ascii="Aptos Narrow" w:hAnsi="Aptos Narrow"/>
                <w:color w:val="000000"/>
                <w:sz w:val="22"/>
                <w:szCs w:val="22"/>
                <w:lang w:val="lt-LT"/>
              </w:rPr>
              <w:t>Tiekėjas turi sukonfigūruoti Užsakovo taikomus failų pateikimo, tikrinimo, derinimo, tvirtinimo, grąžinimo koreguoti ir galutinio paskelbimo naudoti procesus. Turi būti sukonfigūruotos procese dalyvaujančios naudotojų grupės, veiksmų seka, galimi sprendimai ir, kai taikoma, failo būsenos pakeitimas.</w:t>
            </w:r>
          </w:p>
        </w:tc>
        <w:tc>
          <w:tcPr>
            <w:tcW w:w="3119" w:type="dxa"/>
            <w:tcBorders>
              <w:top w:val="nil"/>
              <w:left w:val="nil"/>
              <w:bottom w:val="single" w:sz="4" w:space="0" w:color="auto"/>
              <w:right w:val="single" w:sz="4" w:space="0" w:color="auto"/>
            </w:tcBorders>
            <w:vAlign w:val="center"/>
            <w:hideMark/>
          </w:tcPr>
          <w:p w14:paraId="19884DD6" w14:textId="77777777" w:rsidR="00AB62D0" w:rsidRPr="00CC4CE5" w:rsidRDefault="00AB62D0">
            <w:pPr>
              <w:rPr>
                <w:rFonts w:ascii="Aptos Narrow" w:hAnsi="Aptos Narrow"/>
                <w:color w:val="000000"/>
                <w:sz w:val="22"/>
                <w:szCs w:val="22"/>
                <w:lang w:val="lt-LT"/>
              </w:rPr>
            </w:pPr>
            <w:r w:rsidRPr="00CC4CE5">
              <w:rPr>
                <w:rFonts w:ascii="Aptos Narrow" w:hAnsi="Aptos Narrow"/>
                <w:color w:val="000000"/>
                <w:sz w:val="22"/>
                <w:szCs w:val="22"/>
                <w:lang w:val="lt-LT"/>
              </w:rPr>
              <w:t>Iki 10 skirtingų procesų; viename procese – iki 5 nuoseklių veiksmų ir iki 30 dalyvaujančių naudotojų grupių.</w:t>
            </w:r>
          </w:p>
        </w:tc>
        <w:tc>
          <w:tcPr>
            <w:tcW w:w="2977" w:type="dxa"/>
            <w:tcBorders>
              <w:top w:val="nil"/>
              <w:left w:val="nil"/>
              <w:bottom w:val="single" w:sz="4" w:space="0" w:color="auto"/>
              <w:right w:val="single" w:sz="4" w:space="0" w:color="auto"/>
            </w:tcBorders>
            <w:vAlign w:val="center"/>
            <w:hideMark/>
          </w:tcPr>
          <w:p w14:paraId="1D1EBBBF" w14:textId="77777777" w:rsidR="00AB62D0" w:rsidRPr="00CC4CE5" w:rsidRDefault="00AB62D0">
            <w:pPr>
              <w:rPr>
                <w:rFonts w:ascii="Aptos Narrow" w:hAnsi="Aptos Narrow"/>
                <w:color w:val="000000"/>
                <w:sz w:val="22"/>
                <w:szCs w:val="22"/>
                <w:lang w:val="lt-LT"/>
              </w:rPr>
            </w:pPr>
            <w:r w:rsidRPr="00CC4CE5">
              <w:rPr>
                <w:rFonts w:ascii="Aptos Narrow" w:hAnsi="Aptos Narrow"/>
                <w:color w:val="000000"/>
                <w:sz w:val="22"/>
                <w:szCs w:val="22"/>
                <w:lang w:val="lt-LT"/>
              </w:rPr>
              <w:t>Kiekvieno nustatyto proceso veikimas praktiškai patikrintas nuo inicijavimo iki proceso užbaigimo.</w:t>
            </w:r>
          </w:p>
        </w:tc>
      </w:tr>
      <w:tr w:rsidR="00AB62D0" w:rsidRPr="005A629B" w14:paraId="2123C58A" w14:textId="77777777" w:rsidTr="00AB62D0">
        <w:trPr>
          <w:trHeight w:val="1160"/>
        </w:trPr>
        <w:tc>
          <w:tcPr>
            <w:tcW w:w="610" w:type="dxa"/>
            <w:tcBorders>
              <w:top w:val="nil"/>
              <w:left w:val="single" w:sz="4" w:space="0" w:color="auto"/>
              <w:bottom w:val="single" w:sz="4" w:space="0" w:color="auto"/>
              <w:right w:val="single" w:sz="4" w:space="0" w:color="auto"/>
            </w:tcBorders>
            <w:noWrap/>
            <w:vAlign w:val="center"/>
            <w:hideMark/>
          </w:tcPr>
          <w:p w14:paraId="321B9874" w14:textId="77777777" w:rsidR="00AB62D0" w:rsidRPr="00CC4CE5" w:rsidRDefault="00AB62D0">
            <w:pPr>
              <w:rPr>
                <w:rFonts w:ascii="Aptos Narrow" w:hAnsi="Aptos Narrow"/>
                <w:b/>
                <w:bCs/>
                <w:color w:val="000000"/>
                <w:sz w:val="22"/>
                <w:szCs w:val="22"/>
                <w:lang w:val="lt-LT"/>
              </w:rPr>
            </w:pPr>
            <w:r w:rsidRPr="00CC4CE5">
              <w:rPr>
                <w:rFonts w:ascii="Aptos Narrow" w:hAnsi="Aptos Narrow"/>
                <w:b/>
                <w:bCs/>
                <w:color w:val="000000"/>
                <w:sz w:val="22"/>
                <w:szCs w:val="22"/>
                <w:lang w:val="lt-LT"/>
              </w:rPr>
              <w:t>2.8</w:t>
            </w:r>
          </w:p>
        </w:tc>
        <w:tc>
          <w:tcPr>
            <w:tcW w:w="3071" w:type="dxa"/>
            <w:tcBorders>
              <w:top w:val="nil"/>
              <w:left w:val="nil"/>
              <w:bottom w:val="single" w:sz="4" w:space="0" w:color="auto"/>
              <w:right w:val="single" w:sz="4" w:space="0" w:color="auto"/>
            </w:tcBorders>
            <w:vAlign w:val="center"/>
            <w:hideMark/>
          </w:tcPr>
          <w:p w14:paraId="67B45C00" w14:textId="77777777" w:rsidR="00AB62D0" w:rsidRPr="00CC4CE5" w:rsidRDefault="00AB62D0">
            <w:pPr>
              <w:rPr>
                <w:rFonts w:ascii="Aptos Narrow" w:hAnsi="Aptos Narrow"/>
                <w:b/>
                <w:bCs/>
                <w:color w:val="000000"/>
                <w:sz w:val="22"/>
                <w:szCs w:val="22"/>
                <w:lang w:val="lt-LT"/>
              </w:rPr>
            </w:pPr>
            <w:r w:rsidRPr="00CC4CE5">
              <w:rPr>
                <w:rFonts w:ascii="Aptos Narrow" w:hAnsi="Aptos Narrow"/>
                <w:b/>
                <w:bCs/>
                <w:color w:val="000000"/>
                <w:sz w:val="22"/>
                <w:szCs w:val="22"/>
                <w:lang w:val="lt-LT"/>
              </w:rPr>
              <w:t>Informacijos būsenų konfigūravimas</w:t>
            </w:r>
          </w:p>
        </w:tc>
        <w:tc>
          <w:tcPr>
            <w:tcW w:w="5386" w:type="dxa"/>
            <w:tcBorders>
              <w:top w:val="nil"/>
              <w:left w:val="nil"/>
              <w:bottom w:val="single" w:sz="4" w:space="0" w:color="auto"/>
              <w:right w:val="single" w:sz="4" w:space="0" w:color="auto"/>
            </w:tcBorders>
            <w:vAlign w:val="center"/>
            <w:hideMark/>
          </w:tcPr>
          <w:p w14:paraId="0D3A5F3E" w14:textId="77777777" w:rsidR="00AB62D0" w:rsidRPr="00CC4CE5" w:rsidRDefault="00AB62D0">
            <w:pPr>
              <w:rPr>
                <w:rFonts w:ascii="Aptos Narrow" w:hAnsi="Aptos Narrow"/>
                <w:color w:val="000000"/>
                <w:sz w:val="22"/>
                <w:szCs w:val="22"/>
                <w:lang w:val="lt-LT"/>
              </w:rPr>
            </w:pPr>
            <w:r w:rsidRPr="00CC4CE5">
              <w:rPr>
                <w:rFonts w:ascii="Aptos Narrow" w:hAnsi="Aptos Narrow"/>
                <w:color w:val="000000"/>
                <w:sz w:val="22"/>
                <w:szCs w:val="22"/>
                <w:lang w:val="lt-LT"/>
              </w:rPr>
              <w:t>Tiekėjas turi sukonfigūruoti Užsakovo taikomas dokumentų / failų valdymo būsenas ir jų naudojimo taisykles.</w:t>
            </w:r>
          </w:p>
        </w:tc>
        <w:tc>
          <w:tcPr>
            <w:tcW w:w="3119" w:type="dxa"/>
            <w:tcBorders>
              <w:top w:val="nil"/>
              <w:left w:val="nil"/>
              <w:bottom w:val="single" w:sz="4" w:space="0" w:color="auto"/>
              <w:right w:val="single" w:sz="4" w:space="0" w:color="auto"/>
            </w:tcBorders>
            <w:vAlign w:val="center"/>
            <w:hideMark/>
          </w:tcPr>
          <w:p w14:paraId="13648EF0" w14:textId="77777777" w:rsidR="00AB62D0" w:rsidRPr="00CC4CE5" w:rsidRDefault="00AB62D0">
            <w:pPr>
              <w:rPr>
                <w:rFonts w:ascii="Aptos Narrow" w:hAnsi="Aptos Narrow"/>
                <w:color w:val="000000"/>
                <w:sz w:val="22"/>
                <w:szCs w:val="22"/>
                <w:lang w:val="lt-LT"/>
              </w:rPr>
            </w:pPr>
            <w:r w:rsidRPr="00CC4CE5">
              <w:rPr>
                <w:rFonts w:ascii="Aptos Narrow" w:hAnsi="Aptos Narrow"/>
                <w:color w:val="000000"/>
                <w:sz w:val="22"/>
                <w:szCs w:val="22"/>
                <w:lang w:val="lt-LT"/>
              </w:rPr>
              <w:t>Iki 3 būsenų.</w:t>
            </w:r>
          </w:p>
        </w:tc>
        <w:tc>
          <w:tcPr>
            <w:tcW w:w="2977" w:type="dxa"/>
            <w:tcBorders>
              <w:top w:val="nil"/>
              <w:left w:val="nil"/>
              <w:bottom w:val="single" w:sz="4" w:space="0" w:color="auto"/>
              <w:right w:val="single" w:sz="4" w:space="0" w:color="auto"/>
            </w:tcBorders>
            <w:vAlign w:val="center"/>
            <w:hideMark/>
          </w:tcPr>
          <w:p w14:paraId="13CC569F" w14:textId="77777777" w:rsidR="00AB62D0" w:rsidRPr="00CC4CE5" w:rsidRDefault="00AB62D0">
            <w:pPr>
              <w:rPr>
                <w:rFonts w:ascii="Aptos Narrow" w:hAnsi="Aptos Narrow"/>
                <w:color w:val="000000"/>
                <w:sz w:val="22"/>
                <w:szCs w:val="22"/>
                <w:lang w:val="lt-LT"/>
              </w:rPr>
            </w:pPr>
            <w:r w:rsidRPr="00CC4CE5">
              <w:rPr>
                <w:rFonts w:ascii="Aptos Narrow" w:hAnsi="Aptos Narrow"/>
                <w:color w:val="000000"/>
                <w:sz w:val="22"/>
                <w:szCs w:val="22"/>
                <w:lang w:val="lt-LT"/>
              </w:rPr>
              <w:t>Sukonfigūruotos Užsakovo nurodytos būsenos ir patikrintas jų naudojimas informacijos valdymo procesuose, paieškoje ir filtravime.</w:t>
            </w:r>
          </w:p>
        </w:tc>
      </w:tr>
      <w:tr w:rsidR="00AB62D0" w:rsidRPr="00CC4CE5" w14:paraId="7CE32C05" w14:textId="77777777" w:rsidTr="00AB62D0">
        <w:trPr>
          <w:trHeight w:val="870"/>
        </w:trPr>
        <w:tc>
          <w:tcPr>
            <w:tcW w:w="610" w:type="dxa"/>
            <w:tcBorders>
              <w:top w:val="nil"/>
              <w:left w:val="single" w:sz="4" w:space="0" w:color="auto"/>
              <w:bottom w:val="single" w:sz="4" w:space="0" w:color="auto"/>
              <w:right w:val="single" w:sz="4" w:space="0" w:color="auto"/>
            </w:tcBorders>
            <w:noWrap/>
            <w:vAlign w:val="center"/>
            <w:hideMark/>
          </w:tcPr>
          <w:p w14:paraId="745E0650" w14:textId="77777777" w:rsidR="00AB62D0" w:rsidRPr="00CC4CE5" w:rsidRDefault="00AB62D0">
            <w:pPr>
              <w:rPr>
                <w:rFonts w:ascii="Aptos Narrow" w:hAnsi="Aptos Narrow"/>
                <w:b/>
                <w:bCs/>
                <w:color w:val="000000"/>
                <w:sz w:val="22"/>
                <w:szCs w:val="22"/>
                <w:lang w:val="lt-LT"/>
              </w:rPr>
            </w:pPr>
            <w:r w:rsidRPr="00CC4CE5">
              <w:rPr>
                <w:rFonts w:ascii="Aptos Narrow" w:hAnsi="Aptos Narrow"/>
                <w:b/>
                <w:bCs/>
                <w:color w:val="000000"/>
                <w:sz w:val="22"/>
                <w:szCs w:val="22"/>
                <w:lang w:val="lt-LT"/>
              </w:rPr>
              <w:t>2.9</w:t>
            </w:r>
          </w:p>
        </w:tc>
        <w:tc>
          <w:tcPr>
            <w:tcW w:w="3071" w:type="dxa"/>
            <w:tcBorders>
              <w:top w:val="nil"/>
              <w:left w:val="nil"/>
              <w:bottom w:val="single" w:sz="4" w:space="0" w:color="auto"/>
              <w:right w:val="single" w:sz="4" w:space="0" w:color="auto"/>
            </w:tcBorders>
            <w:vAlign w:val="center"/>
            <w:hideMark/>
          </w:tcPr>
          <w:p w14:paraId="56251A54" w14:textId="77777777" w:rsidR="00AB62D0" w:rsidRPr="00CC4CE5" w:rsidRDefault="00AB62D0">
            <w:pPr>
              <w:rPr>
                <w:rFonts w:ascii="Aptos Narrow" w:hAnsi="Aptos Narrow"/>
                <w:b/>
                <w:bCs/>
                <w:color w:val="000000"/>
                <w:sz w:val="22"/>
                <w:szCs w:val="22"/>
                <w:lang w:val="lt-LT"/>
              </w:rPr>
            </w:pPr>
            <w:r w:rsidRPr="00CC4CE5">
              <w:rPr>
                <w:rFonts w:ascii="Aptos Narrow" w:hAnsi="Aptos Narrow"/>
                <w:b/>
                <w:bCs/>
                <w:color w:val="000000"/>
                <w:sz w:val="22"/>
                <w:szCs w:val="22"/>
                <w:lang w:val="lt-LT"/>
              </w:rPr>
              <w:t>Naudotojų grupių konfigūravimas</w:t>
            </w:r>
          </w:p>
        </w:tc>
        <w:tc>
          <w:tcPr>
            <w:tcW w:w="5386" w:type="dxa"/>
            <w:tcBorders>
              <w:top w:val="nil"/>
              <w:left w:val="nil"/>
              <w:bottom w:val="single" w:sz="4" w:space="0" w:color="auto"/>
              <w:right w:val="single" w:sz="4" w:space="0" w:color="auto"/>
            </w:tcBorders>
            <w:vAlign w:val="center"/>
            <w:hideMark/>
          </w:tcPr>
          <w:p w14:paraId="686FFEAD" w14:textId="77777777" w:rsidR="00AB62D0" w:rsidRPr="00CC4CE5" w:rsidRDefault="00AB62D0">
            <w:pPr>
              <w:rPr>
                <w:rFonts w:ascii="Aptos Narrow" w:hAnsi="Aptos Narrow"/>
                <w:color w:val="000000"/>
                <w:sz w:val="22"/>
                <w:szCs w:val="22"/>
                <w:lang w:val="lt-LT"/>
              </w:rPr>
            </w:pPr>
            <w:r w:rsidRPr="00CC4CE5">
              <w:rPr>
                <w:rFonts w:ascii="Aptos Narrow" w:hAnsi="Aptos Narrow"/>
                <w:color w:val="000000"/>
                <w:sz w:val="22"/>
                <w:szCs w:val="22"/>
                <w:lang w:val="lt-LT"/>
              </w:rPr>
              <w:t>Tiekėjas turi sukonfigūruoti standartines, pakartotinai naudojamas ir konkrečiam projektui pritaikomas naudotojų grupes pagal Užsakovo nustatytą projekto dalyvių ir atsakomybių struktūrą.</w:t>
            </w:r>
          </w:p>
        </w:tc>
        <w:tc>
          <w:tcPr>
            <w:tcW w:w="3119" w:type="dxa"/>
            <w:tcBorders>
              <w:top w:val="nil"/>
              <w:left w:val="nil"/>
              <w:bottom w:val="single" w:sz="4" w:space="0" w:color="auto"/>
              <w:right w:val="single" w:sz="4" w:space="0" w:color="auto"/>
            </w:tcBorders>
            <w:vAlign w:val="center"/>
            <w:hideMark/>
          </w:tcPr>
          <w:p w14:paraId="2B8A1DD9" w14:textId="77777777" w:rsidR="00AB62D0" w:rsidRPr="00CC4CE5" w:rsidRDefault="00AB62D0">
            <w:pPr>
              <w:rPr>
                <w:rFonts w:ascii="Aptos Narrow" w:hAnsi="Aptos Narrow"/>
                <w:color w:val="000000"/>
                <w:sz w:val="22"/>
                <w:szCs w:val="22"/>
                <w:lang w:val="lt-LT"/>
              </w:rPr>
            </w:pPr>
            <w:r w:rsidRPr="00CC4CE5">
              <w:rPr>
                <w:rFonts w:ascii="Aptos Narrow" w:hAnsi="Aptos Narrow"/>
                <w:color w:val="000000"/>
                <w:sz w:val="22"/>
                <w:szCs w:val="22"/>
                <w:lang w:val="lt-LT"/>
              </w:rPr>
              <w:t>Iki 50 naudotojų grupių vienoje pakartotinai naudojamoje projekto konfigūracijoje.</w:t>
            </w:r>
          </w:p>
        </w:tc>
        <w:tc>
          <w:tcPr>
            <w:tcW w:w="2977" w:type="dxa"/>
            <w:tcBorders>
              <w:top w:val="nil"/>
              <w:left w:val="nil"/>
              <w:bottom w:val="single" w:sz="4" w:space="0" w:color="auto"/>
              <w:right w:val="single" w:sz="4" w:space="0" w:color="auto"/>
            </w:tcBorders>
            <w:vAlign w:val="center"/>
            <w:hideMark/>
          </w:tcPr>
          <w:p w14:paraId="6CA7CFFE" w14:textId="77777777" w:rsidR="00AB62D0" w:rsidRPr="00CC4CE5" w:rsidRDefault="00AB62D0">
            <w:pPr>
              <w:rPr>
                <w:rFonts w:ascii="Aptos Narrow" w:hAnsi="Aptos Narrow"/>
                <w:color w:val="000000"/>
                <w:sz w:val="22"/>
                <w:szCs w:val="22"/>
                <w:lang w:val="lt-LT"/>
              </w:rPr>
            </w:pPr>
            <w:r w:rsidRPr="00CC4CE5">
              <w:rPr>
                <w:rFonts w:ascii="Aptos Narrow" w:hAnsi="Aptos Narrow"/>
                <w:color w:val="000000"/>
                <w:sz w:val="22"/>
                <w:szCs w:val="22"/>
                <w:lang w:val="lt-LT"/>
              </w:rPr>
              <w:t>Sukurtos Užsakovo nustatytos grupės ir patikrintas naudotojų priskyrimas joms.</w:t>
            </w:r>
          </w:p>
        </w:tc>
      </w:tr>
      <w:tr w:rsidR="00AB62D0" w:rsidRPr="005A629B" w14:paraId="664B0BF1" w14:textId="77777777" w:rsidTr="00AB62D0">
        <w:trPr>
          <w:trHeight w:val="1740"/>
        </w:trPr>
        <w:tc>
          <w:tcPr>
            <w:tcW w:w="610" w:type="dxa"/>
            <w:tcBorders>
              <w:top w:val="nil"/>
              <w:left w:val="single" w:sz="4" w:space="0" w:color="auto"/>
              <w:bottom w:val="single" w:sz="4" w:space="0" w:color="auto"/>
              <w:right w:val="single" w:sz="4" w:space="0" w:color="auto"/>
            </w:tcBorders>
            <w:noWrap/>
            <w:vAlign w:val="center"/>
            <w:hideMark/>
          </w:tcPr>
          <w:p w14:paraId="321CB99F" w14:textId="77777777" w:rsidR="00AB62D0" w:rsidRPr="00CC4CE5" w:rsidRDefault="00AB62D0">
            <w:pPr>
              <w:rPr>
                <w:rFonts w:ascii="Aptos Narrow" w:hAnsi="Aptos Narrow"/>
                <w:b/>
                <w:bCs/>
                <w:color w:val="000000"/>
                <w:sz w:val="22"/>
                <w:szCs w:val="22"/>
                <w:lang w:val="lt-LT"/>
              </w:rPr>
            </w:pPr>
            <w:r w:rsidRPr="00CC4CE5">
              <w:rPr>
                <w:rFonts w:ascii="Aptos Narrow" w:hAnsi="Aptos Narrow"/>
                <w:b/>
                <w:bCs/>
                <w:color w:val="000000"/>
                <w:sz w:val="22"/>
                <w:szCs w:val="22"/>
                <w:lang w:val="lt-LT"/>
              </w:rPr>
              <w:t>2.10</w:t>
            </w:r>
          </w:p>
        </w:tc>
        <w:tc>
          <w:tcPr>
            <w:tcW w:w="3071" w:type="dxa"/>
            <w:tcBorders>
              <w:top w:val="nil"/>
              <w:left w:val="nil"/>
              <w:bottom w:val="single" w:sz="4" w:space="0" w:color="auto"/>
              <w:right w:val="single" w:sz="4" w:space="0" w:color="auto"/>
            </w:tcBorders>
            <w:vAlign w:val="center"/>
            <w:hideMark/>
          </w:tcPr>
          <w:p w14:paraId="1309E1B4" w14:textId="77777777" w:rsidR="00AB62D0" w:rsidRPr="00CC4CE5" w:rsidRDefault="00AB62D0">
            <w:pPr>
              <w:rPr>
                <w:rFonts w:ascii="Aptos Narrow" w:hAnsi="Aptos Narrow"/>
                <w:b/>
                <w:bCs/>
                <w:color w:val="000000"/>
                <w:sz w:val="22"/>
                <w:szCs w:val="22"/>
                <w:lang w:val="lt-LT"/>
              </w:rPr>
            </w:pPr>
            <w:r w:rsidRPr="00CC4CE5">
              <w:rPr>
                <w:rFonts w:ascii="Aptos Narrow" w:hAnsi="Aptos Narrow"/>
                <w:b/>
                <w:bCs/>
                <w:color w:val="000000"/>
                <w:sz w:val="22"/>
                <w:szCs w:val="22"/>
                <w:lang w:val="lt-LT"/>
              </w:rPr>
              <w:t>Naudotojų grupių prieigos ir veiksmų teisių konfigūravimas</w:t>
            </w:r>
          </w:p>
        </w:tc>
        <w:tc>
          <w:tcPr>
            <w:tcW w:w="5386" w:type="dxa"/>
            <w:tcBorders>
              <w:top w:val="nil"/>
              <w:left w:val="nil"/>
              <w:bottom w:val="single" w:sz="4" w:space="0" w:color="auto"/>
              <w:right w:val="single" w:sz="4" w:space="0" w:color="auto"/>
            </w:tcBorders>
            <w:vAlign w:val="center"/>
            <w:hideMark/>
          </w:tcPr>
          <w:p w14:paraId="7D24812A" w14:textId="77777777" w:rsidR="00AB62D0" w:rsidRPr="00CC4CE5" w:rsidRDefault="00AB62D0">
            <w:pPr>
              <w:rPr>
                <w:rFonts w:ascii="Aptos Narrow" w:hAnsi="Aptos Narrow"/>
                <w:color w:val="000000"/>
                <w:sz w:val="22"/>
                <w:szCs w:val="22"/>
                <w:lang w:val="lt-LT"/>
              </w:rPr>
            </w:pPr>
            <w:r w:rsidRPr="00CC4CE5">
              <w:rPr>
                <w:rFonts w:ascii="Aptos Narrow" w:hAnsi="Aptos Narrow"/>
                <w:color w:val="000000"/>
                <w:sz w:val="22"/>
                <w:szCs w:val="22"/>
                <w:lang w:val="lt-LT"/>
              </w:rPr>
              <w:t>Tiekėjas turi pagal Užsakovo pateiktą teisių matricą sukonfigūruoti naudotojų grupių prieigos ir veiksmų teises. Turi būti galima skirtingoms grupėms nustatyti skirtingas peržiūros, įkėlimo, keitimo, trynimo, tikrinimo, derinimo, tvirtinimo, paskelbimo ir administravimo teises. Tai pačiai grupei turi būti galima nustatyti skirtingas teises skirtingiems aplankams / informacijos sritims.</w:t>
            </w:r>
          </w:p>
        </w:tc>
        <w:tc>
          <w:tcPr>
            <w:tcW w:w="3119" w:type="dxa"/>
            <w:tcBorders>
              <w:top w:val="nil"/>
              <w:left w:val="nil"/>
              <w:bottom w:val="single" w:sz="4" w:space="0" w:color="auto"/>
              <w:right w:val="single" w:sz="4" w:space="0" w:color="auto"/>
            </w:tcBorders>
            <w:vAlign w:val="center"/>
            <w:hideMark/>
          </w:tcPr>
          <w:p w14:paraId="7C7C3319" w14:textId="77777777" w:rsidR="00AB62D0" w:rsidRPr="00CC4CE5" w:rsidRDefault="00AB62D0">
            <w:pPr>
              <w:rPr>
                <w:rFonts w:ascii="Aptos Narrow" w:hAnsi="Aptos Narrow"/>
                <w:color w:val="000000"/>
                <w:sz w:val="22"/>
                <w:szCs w:val="22"/>
                <w:lang w:val="lt-LT"/>
              </w:rPr>
            </w:pPr>
            <w:r w:rsidRPr="00CC4CE5">
              <w:rPr>
                <w:rFonts w:ascii="Aptos Narrow" w:hAnsi="Aptos Narrow"/>
                <w:color w:val="000000"/>
                <w:sz w:val="22"/>
                <w:szCs w:val="22"/>
                <w:lang w:val="lt-LT"/>
              </w:rPr>
              <w:t>Iki 50 naudotojų grupių; teisių konfigūravimas iki 100 aplankų / informacijos sričių.</w:t>
            </w:r>
          </w:p>
        </w:tc>
        <w:tc>
          <w:tcPr>
            <w:tcW w:w="2977" w:type="dxa"/>
            <w:tcBorders>
              <w:top w:val="nil"/>
              <w:left w:val="nil"/>
              <w:bottom w:val="single" w:sz="4" w:space="0" w:color="auto"/>
              <w:right w:val="single" w:sz="4" w:space="0" w:color="auto"/>
            </w:tcBorders>
            <w:vAlign w:val="center"/>
            <w:hideMark/>
          </w:tcPr>
          <w:p w14:paraId="43C13640" w14:textId="77777777" w:rsidR="00AB62D0" w:rsidRPr="00CC4CE5" w:rsidRDefault="00AB62D0">
            <w:pPr>
              <w:rPr>
                <w:rFonts w:ascii="Aptos Narrow" w:hAnsi="Aptos Narrow"/>
                <w:color w:val="000000"/>
                <w:sz w:val="22"/>
                <w:szCs w:val="22"/>
                <w:lang w:val="lt-LT"/>
              </w:rPr>
            </w:pPr>
            <w:r w:rsidRPr="00CC4CE5">
              <w:rPr>
                <w:rFonts w:ascii="Aptos Narrow" w:hAnsi="Aptos Narrow"/>
                <w:color w:val="000000"/>
                <w:sz w:val="22"/>
                <w:szCs w:val="22"/>
                <w:lang w:val="lt-LT"/>
              </w:rPr>
              <w:t>Naudojant bandomąsias paskyras patikrinta, kad kiekviena tikrinama grupė mato tik jai prieinamą informaciją ir gali atlikti tik jai pagal teisių matricą leidžiamus veiksmus.</w:t>
            </w:r>
          </w:p>
        </w:tc>
      </w:tr>
      <w:tr w:rsidR="00AB62D0" w:rsidRPr="00CC4CE5" w14:paraId="1EF88AE1" w14:textId="77777777" w:rsidTr="00AB62D0">
        <w:trPr>
          <w:trHeight w:val="2030"/>
        </w:trPr>
        <w:tc>
          <w:tcPr>
            <w:tcW w:w="610" w:type="dxa"/>
            <w:tcBorders>
              <w:top w:val="nil"/>
              <w:left w:val="single" w:sz="4" w:space="0" w:color="auto"/>
              <w:bottom w:val="single" w:sz="4" w:space="0" w:color="auto"/>
              <w:right w:val="single" w:sz="4" w:space="0" w:color="auto"/>
            </w:tcBorders>
            <w:noWrap/>
            <w:vAlign w:val="center"/>
            <w:hideMark/>
          </w:tcPr>
          <w:p w14:paraId="6815FC75" w14:textId="77777777" w:rsidR="00AB62D0" w:rsidRPr="00CC4CE5" w:rsidRDefault="00AB62D0">
            <w:pPr>
              <w:rPr>
                <w:rFonts w:ascii="Aptos Narrow" w:hAnsi="Aptos Narrow"/>
                <w:b/>
                <w:bCs/>
                <w:color w:val="000000"/>
                <w:sz w:val="22"/>
                <w:szCs w:val="22"/>
                <w:lang w:val="lt-LT"/>
              </w:rPr>
            </w:pPr>
            <w:r w:rsidRPr="00CC4CE5">
              <w:rPr>
                <w:rFonts w:ascii="Aptos Narrow" w:hAnsi="Aptos Narrow"/>
                <w:b/>
                <w:bCs/>
                <w:color w:val="000000"/>
                <w:sz w:val="22"/>
                <w:szCs w:val="22"/>
                <w:lang w:val="lt-LT"/>
              </w:rPr>
              <w:lastRenderedPageBreak/>
              <w:t>2.11</w:t>
            </w:r>
          </w:p>
        </w:tc>
        <w:tc>
          <w:tcPr>
            <w:tcW w:w="3071" w:type="dxa"/>
            <w:tcBorders>
              <w:top w:val="nil"/>
              <w:left w:val="nil"/>
              <w:bottom w:val="single" w:sz="4" w:space="0" w:color="auto"/>
              <w:right w:val="single" w:sz="4" w:space="0" w:color="auto"/>
            </w:tcBorders>
            <w:vAlign w:val="center"/>
            <w:hideMark/>
          </w:tcPr>
          <w:p w14:paraId="2E830187" w14:textId="77777777" w:rsidR="00AB62D0" w:rsidRPr="00CC4CE5" w:rsidRDefault="00AB62D0">
            <w:pPr>
              <w:rPr>
                <w:rFonts w:ascii="Aptos Narrow" w:hAnsi="Aptos Narrow"/>
                <w:b/>
                <w:bCs/>
                <w:color w:val="000000"/>
                <w:sz w:val="22"/>
                <w:szCs w:val="22"/>
                <w:lang w:val="lt-LT"/>
              </w:rPr>
            </w:pPr>
            <w:r w:rsidRPr="00CC4CE5">
              <w:rPr>
                <w:rFonts w:ascii="Aptos Narrow" w:hAnsi="Aptos Narrow"/>
                <w:b/>
                <w:bCs/>
                <w:color w:val="000000"/>
                <w:sz w:val="22"/>
                <w:szCs w:val="22"/>
                <w:lang w:val="lt-LT"/>
              </w:rPr>
              <w:t>Informacijos perdavimo tarp projekto dalyvių taisyklių konfigūravimas</w:t>
            </w:r>
          </w:p>
        </w:tc>
        <w:tc>
          <w:tcPr>
            <w:tcW w:w="5386" w:type="dxa"/>
            <w:tcBorders>
              <w:top w:val="nil"/>
              <w:left w:val="nil"/>
              <w:bottom w:val="single" w:sz="4" w:space="0" w:color="auto"/>
              <w:right w:val="single" w:sz="4" w:space="0" w:color="auto"/>
            </w:tcBorders>
            <w:vAlign w:val="center"/>
            <w:hideMark/>
          </w:tcPr>
          <w:p w14:paraId="72DE5688" w14:textId="77777777" w:rsidR="00AB62D0" w:rsidRPr="00CC4CE5" w:rsidRDefault="00AB62D0">
            <w:pPr>
              <w:rPr>
                <w:rFonts w:ascii="Aptos Narrow" w:hAnsi="Aptos Narrow"/>
                <w:color w:val="000000"/>
                <w:sz w:val="22"/>
                <w:szCs w:val="22"/>
                <w:lang w:val="lt-LT"/>
              </w:rPr>
            </w:pPr>
            <w:r w:rsidRPr="00CC4CE5">
              <w:rPr>
                <w:rFonts w:ascii="Aptos Narrow" w:hAnsi="Aptos Narrow"/>
                <w:color w:val="000000"/>
                <w:sz w:val="22"/>
                <w:szCs w:val="22"/>
                <w:lang w:val="lt-LT"/>
              </w:rPr>
              <w:t>Tiekėjas turi pagal Užsakovo nustatytą projekto dalyvių ir atsakomybių struktūrą sukonfigūruoti dokumentų valdymo ir dokumentų peržiūros komunikacijos tarp naudotojų grupių taisykles, nustatančias, kurios grupės gali inicijuoti atitinkamo tipo komunikaciją, kurioms grupėms ji gali būti perduodama, kurios grupės gali atsakyti, grąžinti ar užbaigti komunikaciją ir kurios turi teisę ją peržiūrėti.</w:t>
            </w:r>
          </w:p>
        </w:tc>
        <w:tc>
          <w:tcPr>
            <w:tcW w:w="3119" w:type="dxa"/>
            <w:tcBorders>
              <w:top w:val="nil"/>
              <w:left w:val="nil"/>
              <w:bottom w:val="single" w:sz="4" w:space="0" w:color="auto"/>
              <w:right w:val="single" w:sz="4" w:space="0" w:color="auto"/>
            </w:tcBorders>
            <w:vAlign w:val="center"/>
            <w:hideMark/>
          </w:tcPr>
          <w:p w14:paraId="56AA8BFA" w14:textId="77777777" w:rsidR="00AB62D0" w:rsidRPr="00CC4CE5" w:rsidRDefault="00AB62D0">
            <w:pPr>
              <w:rPr>
                <w:rFonts w:ascii="Aptos Narrow" w:hAnsi="Aptos Narrow"/>
                <w:color w:val="000000"/>
                <w:sz w:val="22"/>
                <w:szCs w:val="22"/>
                <w:lang w:val="lt-LT"/>
              </w:rPr>
            </w:pPr>
            <w:r w:rsidRPr="00CC4CE5">
              <w:rPr>
                <w:rFonts w:ascii="Aptos Narrow" w:hAnsi="Aptos Narrow"/>
                <w:color w:val="000000"/>
                <w:sz w:val="22"/>
                <w:szCs w:val="22"/>
                <w:lang w:val="lt-LT"/>
              </w:rPr>
              <w:t>Iki 10 informacijos perdavimo schemų / taisyklių rinkinių.</w:t>
            </w:r>
          </w:p>
        </w:tc>
        <w:tc>
          <w:tcPr>
            <w:tcW w:w="2977" w:type="dxa"/>
            <w:tcBorders>
              <w:top w:val="nil"/>
              <w:left w:val="nil"/>
              <w:bottom w:val="single" w:sz="4" w:space="0" w:color="auto"/>
              <w:right w:val="single" w:sz="4" w:space="0" w:color="auto"/>
            </w:tcBorders>
            <w:vAlign w:val="center"/>
            <w:hideMark/>
          </w:tcPr>
          <w:p w14:paraId="67C8D74D" w14:textId="77777777" w:rsidR="00AB62D0" w:rsidRPr="00CC4CE5" w:rsidRDefault="00AB62D0">
            <w:pPr>
              <w:rPr>
                <w:rFonts w:ascii="Aptos Narrow" w:hAnsi="Aptos Narrow"/>
                <w:color w:val="000000"/>
                <w:sz w:val="22"/>
                <w:szCs w:val="22"/>
                <w:lang w:val="lt-LT"/>
              </w:rPr>
            </w:pPr>
            <w:r w:rsidRPr="00CC4CE5">
              <w:rPr>
                <w:rFonts w:ascii="Aptos Narrow" w:hAnsi="Aptos Narrow"/>
                <w:color w:val="000000"/>
                <w:sz w:val="22"/>
                <w:szCs w:val="22"/>
                <w:lang w:val="lt-LT"/>
              </w:rPr>
              <w:t>Praktiniu testu patikrintas kiekvieno nustatyto informacijos perdavimo taisyklių rinkinio veikimas.</w:t>
            </w:r>
          </w:p>
        </w:tc>
      </w:tr>
      <w:tr w:rsidR="00AB62D0" w:rsidRPr="005A629B" w14:paraId="233D436E" w14:textId="77777777" w:rsidTr="00AB62D0">
        <w:trPr>
          <w:trHeight w:val="1450"/>
        </w:trPr>
        <w:tc>
          <w:tcPr>
            <w:tcW w:w="610" w:type="dxa"/>
            <w:tcBorders>
              <w:top w:val="nil"/>
              <w:left w:val="single" w:sz="4" w:space="0" w:color="auto"/>
              <w:bottom w:val="single" w:sz="4" w:space="0" w:color="auto"/>
              <w:right w:val="single" w:sz="4" w:space="0" w:color="auto"/>
            </w:tcBorders>
            <w:noWrap/>
            <w:vAlign w:val="center"/>
            <w:hideMark/>
          </w:tcPr>
          <w:p w14:paraId="3FF48E6A" w14:textId="77777777" w:rsidR="00AB62D0" w:rsidRPr="00CC4CE5" w:rsidRDefault="00AB62D0">
            <w:pPr>
              <w:rPr>
                <w:rFonts w:ascii="Aptos Narrow" w:hAnsi="Aptos Narrow"/>
                <w:b/>
                <w:bCs/>
                <w:color w:val="000000"/>
                <w:sz w:val="22"/>
                <w:szCs w:val="22"/>
                <w:lang w:val="lt-LT"/>
              </w:rPr>
            </w:pPr>
            <w:r w:rsidRPr="00CC4CE5">
              <w:rPr>
                <w:rFonts w:ascii="Aptos Narrow" w:hAnsi="Aptos Narrow"/>
                <w:b/>
                <w:bCs/>
                <w:color w:val="000000"/>
                <w:sz w:val="22"/>
                <w:szCs w:val="22"/>
                <w:lang w:val="lt-LT"/>
              </w:rPr>
              <w:t>2.12</w:t>
            </w:r>
          </w:p>
        </w:tc>
        <w:tc>
          <w:tcPr>
            <w:tcW w:w="3071" w:type="dxa"/>
            <w:tcBorders>
              <w:top w:val="nil"/>
              <w:left w:val="nil"/>
              <w:bottom w:val="single" w:sz="4" w:space="0" w:color="auto"/>
              <w:right w:val="single" w:sz="4" w:space="0" w:color="auto"/>
            </w:tcBorders>
            <w:vAlign w:val="center"/>
            <w:hideMark/>
          </w:tcPr>
          <w:p w14:paraId="24084696" w14:textId="77777777" w:rsidR="00AB62D0" w:rsidRPr="00CC4CE5" w:rsidRDefault="00AB62D0">
            <w:pPr>
              <w:rPr>
                <w:rFonts w:ascii="Aptos Narrow" w:hAnsi="Aptos Narrow"/>
                <w:b/>
                <w:bCs/>
                <w:color w:val="000000"/>
                <w:sz w:val="22"/>
                <w:szCs w:val="22"/>
                <w:lang w:val="lt-LT"/>
              </w:rPr>
            </w:pPr>
            <w:r w:rsidRPr="00CC4CE5">
              <w:rPr>
                <w:rFonts w:ascii="Aptos Narrow" w:hAnsi="Aptos Narrow"/>
                <w:b/>
                <w:bCs/>
                <w:color w:val="000000"/>
                <w:sz w:val="22"/>
                <w:szCs w:val="22"/>
                <w:lang w:val="lt-LT"/>
              </w:rPr>
              <w:t>Dokumentų peržiūros pastabų ir komentarų valdymo konfigūravimas</w:t>
            </w:r>
          </w:p>
        </w:tc>
        <w:tc>
          <w:tcPr>
            <w:tcW w:w="5386" w:type="dxa"/>
            <w:tcBorders>
              <w:top w:val="nil"/>
              <w:left w:val="nil"/>
              <w:bottom w:val="single" w:sz="4" w:space="0" w:color="auto"/>
              <w:right w:val="single" w:sz="4" w:space="0" w:color="auto"/>
            </w:tcBorders>
            <w:vAlign w:val="center"/>
            <w:hideMark/>
          </w:tcPr>
          <w:p w14:paraId="6C88A64E" w14:textId="77777777" w:rsidR="00AB62D0" w:rsidRPr="00CC4CE5" w:rsidRDefault="00AB62D0">
            <w:pPr>
              <w:rPr>
                <w:rFonts w:ascii="Aptos Narrow" w:hAnsi="Aptos Narrow"/>
                <w:color w:val="000000"/>
                <w:sz w:val="22"/>
                <w:szCs w:val="22"/>
                <w:lang w:val="lt-LT"/>
              </w:rPr>
            </w:pPr>
            <w:r w:rsidRPr="00CC4CE5">
              <w:rPr>
                <w:rFonts w:ascii="Aptos Narrow" w:hAnsi="Aptos Narrow"/>
                <w:color w:val="000000"/>
                <w:sz w:val="22"/>
                <w:szCs w:val="22"/>
                <w:lang w:val="lt-LT"/>
              </w:rPr>
              <w:t>Tiekėjas turi sukonfigūruoti Užsakovo naudojamų dokumentų peržiūros pastabų, komentarų ar lygiaverčių registracijų klasifikavimo ir valdymo taisykles, įskaitant jų kategorijas / tipus, būsenas.</w:t>
            </w:r>
          </w:p>
        </w:tc>
        <w:tc>
          <w:tcPr>
            <w:tcW w:w="3119" w:type="dxa"/>
            <w:tcBorders>
              <w:top w:val="nil"/>
              <w:left w:val="nil"/>
              <w:bottom w:val="single" w:sz="4" w:space="0" w:color="auto"/>
              <w:right w:val="single" w:sz="4" w:space="0" w:color="auto"/>
            </w:tcBorders>
            <w:vAlign w:val="center"/>
            <w:hideMark/>
          </w:tcPr>
          <w:p w14:paraId="5160F8EB" w14:textId="77777777" w:rsidR="00AB62D0" w:rsidRPr="00CC4CE5" w:rsidRDefault="00AB62D0">
            <w:pPr>
              <w:rPr>
                <w:rFonts w:ascii="Aptos Narrow" w:hAnsi="Aptos Narrow"/>
                <w:color w:val="000000"/>
                <w:sz w:val="22"/>
                <w:szCs w:val="22"/>
                <w:lang w:val="lt-LT"/>
              </w:rPr>
            </w:pPr>
            <w:r w:rsidRPr="00CC4CE5">
              <w:rPr>
                <w:rFonts w:ascii="Aptos Narrow" w:hAnsi="Aptos Narrow"/>
                <w:color w:val="000000"/>
                <w:sz w:val="22"/>
                <w:szCs w:val="22"/>
                <w:lang w:val="lt-LT"/>
              </w:rPr>
              <w:t>Iki 3 tipų; iki 4 būsenų viename tipe.</w:t>
            </w:r>
          </w:p>
        </w:tc>
        <w:tc>
          <w:tcPr>
            <w:tcW w:w="2977" w:type="dxa"/>
            <w:tcBorders>
              <w:top w:val="nil"/>
              <w:left w:val="nil"/>
              <w:bottom w:val="single" w:sz="4" w:space="0" w:color="auto"/>
              <w:right w:val="single" w:sz="4" w:space="0" w:color="auto"/>
            </w:tcBorders>
            <w:vAlign w:val="center"/>
            <w:hideMark/>
          </w:tcPr>
          <w:p w14:paraId="103A2F82" w14:textId="77777777" w:rsidR="00AB62D0" w:rsidRPr="00CC4CE5" w:rsidRDefault="00AB62D0">
            <w:pPr>
              <w:rPr>
                <w:rFonts w:ascii="Aptos Narrow" w:hAnsi="Aptos Narrow"/>
                <w:color w:val="000000"/>
                <w:sz w:val="22"/>
                <w:szCs w:val="22"/>
                <w:lang w:val="lt-LT"/>
              </w:rPr>
            </w:pPr>
            <w:r w:rsidRPr="00CC4CE5">
              <w:rPr>
                <w:rFonts w:ascii="Aptos Narrow" w:hAnsi="Aptos Narrow"/>
                <w:color w:val="000000"/>
                <w:sz w:val="22"/>
                <w:szCs w:val="22"/>
                <w:lang w:val="lt-LT"/>
              </w:rPr>
              <w:t>Sukurtas kiekvienas Užsakovo nustatytas tipas ir praktiškai patikrintas jo sukūrimas, perdavimas, atsakymas, būsenos keitimas ir užbaigimas.</w:t>
            </w:r>
          </w:p>
        </w:tc>
      </w:tr>
      <w:tr w:rsidR="00AB62D0" w:rsidRPr="005A629B" w14:paraId="38616162" w14:textId="77777777" w:rsidTr="00AB62D0">
        <w:trPr>
          <w:trHeight w:val="2320"/>
        </w:trPr>
        <w:tc>
          <w:tcPr>
            <w:tcW w:w="610" w:type="dxa"/>
            <w:tcBorders>
              <w:top w:val="nil"/>
              <w:left w:val="single" w:sz="4" w:space="0" w:color="auto"/>
              <w:bottom w:val="single" w:sz="4" w:space="0" w:color="auto"/>
              <w:right w:val="single" w:sz="4" w:space="0" w:color="auto"/>
            </w:tcBorders>
            <w:noWrap/>
            <w:vAlign w:val="center"/>
            <w:hideMark/>
          </w:tcPr>
          <w:p w14:paraId="00508518" w14:textId="77777777" w:rsidR="00AB62D0" w:rsidRPr="00CC4CE5" w:rsidRDefault="00AB62D0">
            <w:pPr>
              <w:rPr>
                <w:rFonts w:ascii="Aptos Narrow" w:hAnsi="Aptos Narrow"/>
                <w:b/>
                <w:bCs/>
                <w:color w:val="000000"/>
                <w:sz w:val="22"/>
                <w:szCs w:val="22"/>
                <w:lang w:val="lt-LT"/>
              </w:rPr>
            </w:pPr>
            <w:r w:rsidRPr="00CC4CE5">
              <w:rPr>
                <w:rFonts w:ascii="Aptos Narrow" w:hAnsi="Aptos Narrow"/>
                <w:b/>
                <w:bCs/>
                <w:color w:val="000000"/>
                <w:sz w:val="22"/>
                <w:szCs w:val="22"/>
                <w:lang w:val="lt-LT"/>
              </w:rPr>
              <w:t>2.13</w:t>
            </w:r>
          </w:p>
        </w:tc>
        <w:tc>
          <w:tcPr>
            <w:tcW w:w="3071" w:type="dxa"/>
            <w:tcBorders>
              <w:top w:val="nil"/>
              <w:left w:val="nil"/>
              <w:bottom w:val="single" w:sz="4" w:space="0" w:color="auto"/>
              <w:right w:val="single" w:sz="4" w:space="0" w:color="auto"/>
            </w:tcBorders>
            <w:vAlign w:val="center"/>
            <w:hideMark/>
          </w:tcPr>
          <w:p w14:paraId="2C0E8AB0" w14:textId="77777777" w:rsidR="00AB62D0" w:rsidRPr="00CC4CE5" w:rsidRDefault="00AB62D0">
            <w:pPr>
              <w:rPr>
                <w:rFonts w:ascii="Aptos Narrow" w:hAnsi="Aptos Narrow"/>
                <w:b/>
                <w:bCs/>
                <w:color w:val="000000"/>
                <w:sz w:val="22"/>
                <w:szCs w:val="22"/>
                <w:lang w:val="lt-LT"/>
              </w:rPr>
            </w:pPr>
            <w:r w:rsidRPr="00CC4CE5">
              <w:rPr>
                <w:rFonts w:ascii="Aptos Narrow" w:hAnsi="Aptos Narrow"/>
                <w:b/>
                <w:bCs/>
                <w:color w:val="000000"/>
                <w:sz w:val="22"/>
                <w:szCs w:val="22"/>
                <w:lang w:val="lt-LT"/>
              </w:rPr>
              <w:t>Pakartotinai naudojamos statybos procesų konfigūracijos sukūrimas</w:t>
            </w:r>
          </w:p>
        </w:tc>
        <w:tc>
          <w:tcPr>
            <w:tcW w:w="5386" w:type="dxa"/>
            <w:tcBorders>
              <w:top w:val="nil"/>
              <w:left w:val="nil"/>
              <w:bottom w:val="single" w:sz="4" w:space="0" w:color="auto"/>
              <w:right w:val="single" w:sz="4" w:space="0" w:color="auto"/>
            </w:tcBorders>
            <w:vAlign w:val="center"/>
            <w:hideMark/>
          </w:tcPr>
          <w:p w14:paraId="44EB58C8" w14:textId="77777777" w:rsidR="00AB62D0" w:rsidRPr="00CC4CE5" w:rsidRDefault="00AB62D0">
            <w:pPr>
              <w:rPr>
                <w:rFonts w:ascii="Aptos Narrow" w:hAnsi="Aptos Narrow"/>
                <w:color w:val="000000"/>
                <w:sz w:val="22"/>
                <w:szCs w:val="22"/>
                <w:lang w:val="lt-LT"/>
              </w:rPr>
            </w:pPr>
            <w:r w:rsidRPr="00CC4CE5">
              <w:rPr>
                <w:rFonts w:ascii="Aptos Narrow" w:hAnsi="Aptos Narrow"/>
                <w:color w:val="000000"/>
                <w:sz w:val="22"/>
                <w:szCs w:val="22"/>
                <w:lang w:val="lt-LT"/>
              </w:rPr>
              <w:t>Tiekėjas turi pagal Užsakovo pateiktas schemas sukonfigūruoti standartinius statybos procesus, nustatant juose dalyvaujančias naudotojų grupes, jų atsakomybes ir teises, informacijos perdavimo kryptis bei leidžiamus veiksmus, įskaitant inicijavimą, perdavimą, atsakymą, grąžinimą ir proceso užbaigimą. Su procesais turi būti susiejami jiems taikomi statybos užduočių ir pastabų valdymo procesai. Sukurta konfigūracija turi būti pakartotinai naudojama naujuose projektuose jos nekonfigūruojant iš naujo.</w:t>
            </w:r>
          </w:p>
        </w:tc>
        <w:tc>
          <w:tcPr>
            <w:tcW w:w="3119" w:type="dxa"/>
            <w:tcBorders>
              <w:top w:val="nil"/>
              <w:left w:val="nil"/>
              <w:bottom w:val="single" w:sz="4" w:space="0" w:color="auto"/>
              <w:right w:val="single" w:sz="4" w:space="0" w:color="auto"/>
            </w:tcBorders>
            <w:vAlign w:val="center"/>
            <w:hideMark/>
          </w:tcPr>
          <w:p w14:paraId="13B9C687" w14:textId="37AE4810" w:rsidR="00AB62D0" w:rsidRPr="00CC4CE5" w:rsidRDefault="00AB62D0">
            <w:pPr>
              <w:rPr>
                <w:rFonts w:ascii="Aptos Narrow" w:hAnsi="Aptos Narrow"/>
                <w:color w:val="000000"/>
                <w:sz w:val="22"/>
                <w:szCs w:val="22"/>
                <w:lang w:val="lt-LT"/>
              </w:rPr>
            </w:pPr>
            <w:r w:rsidRPr="00CC4CE5">
              <w:rPr>
                <w:rFonts w:ascii="Aptos Narrow" w:hAnsi="Aptos Narrow"/>
                <w:color w:val="000000"/>
                <w:sz w:val="22"/>
                <w:szCs w:val="22"/>
                <w:lang w:val="lt-LT"/>
              </w:rPr>
              <w:t>Iki 20 atskirų statybos procesų; viename procese – iki 5 naudotojų grupių.</w:t>
            </w:r>
          </w:p>
        </w:tc>
        <w:tc>
          <w:tcPr>
            <w:tcW w:w="2977" w:type="dxa"/>
            <w:tcBorders>
              <w:top w:val="nil"/>
              <w:left w:val="nil"/>
              <w:bottom w:val="single" w:sz="4" w:space="0" w:color="auto"/>
              <w:right w:val="single" w:sz="4" w:space="0" w:color="auto"/>
            </w:tcBorders>
            <w:vAlign w:val="center"/>
            <w:hideMark/>
          </w:tcPr>
          <w:p w14:paraId="5901E2A9" w14:textId="77777777" w:rsidR="00AB62D0" w:rsidRPr="00CC4CE5" w:rsidRDefault="00AB62D0">
            <w:pPr>
              <w:rPr>
                <w:rFonts w:ascii="Aptos Narrow" w:hAnsi="Aptos Narrow"/>
                <w:color w:val="000000"/>
                <w:sz w:val="22"/>
                <w:szCs w:val="22"/>
                <w:lang w:val="lt-LT"/>
              </w:rPr>
            </w:pPr>
            <w:r w:rsidRPr="00CC4CE5">
              <w:rPr>
                <w:rFonts w:ascii="Aptos Narrow" w:hAnsi="Aptos Narrow"/>
                <w:color w:val="000000"/>
                <w:sz w:val="22"/>
                <w:szCs w:val="22"/>
                <w:lang w:val="lt-LT"/>
              </w:rPr>
              <w:t>Bandomajame projekte praktiškai patikrinta, kad sukonfigūruoti procesai veikia pagal Užsakovo pateiktas schemas ir gali būti pritaikyti kitame projekte jų nekonfigūruojant iš naujo.</w:t>
            </w:r>
          </w:p>
        </w:tc>
      </w:tr>
      <w:tr w:rsidR="00AB62D0" w:rsidRPr="005A629B" w14:paraId="54A9B316" w14:textId="77777777" w:rsidTr="00AB62D0">
        <w:trPr>
          <w:trHeight w:val="1450"/>
        </w:trPr>
        <w:tc>
          <w:tcPr>
            <w:tcW w:w="610" w:type="dxa"/>
            <w:tcBorders>
              <w:top w:val="nil"/>
              <w:left w:val="single" w:sz="4" w:space="0" w:color="auto"/>
              <w:bottom w:val="single" w:sz="4" w:space="0" w:color="auto"/>
              <w:right w:val="single" w:sz="4" w:space="0" w:color="auto"/>
            </w:tcBorders>
            <w:noWrap/>
            <w:vAlign w:val="center"/>
            <w:hideMark/>
          </w:tcPr>
          <w:p w14:paraId="0AE1CD56" w14:textId="77777777" w:rsidR="00AB62D0" w:rsidRPr="00CC4CE5" w:rsidRDefault="00AB62D0">
            <w:pPr>
              <w:rPr>
                <w:rFonts w:ascii="Aptos Narrow" w:hAnsi="Aptos Narrow"/>
                <w:b/>
                <w:bCs/>
                <w:color w:val="000000"/>
                <w:sz w:val="22"/>
                <w:szCs w:val="22"/>
                <w:lang w:val="lt-LT"/>
              </w:rPr>
            </w:pPr>
            <w:r w:rsidRPr="00CC4CE5">
              <w:rPr>
                <w:rFonts w:ascii="Aptos Narrow" w:hAnsi="Aptos Narrow"/>
                <w:b/>
                <w:bCs/>
                <w:color w:val="000000"/>
                <w:sz w:val="22"/>
                <w:szCs w:val="22"/>
                <w:lang w:val="lt-LT"/>
              </w:rPr>
              <w:t>2.14</w:t>
            </w:r>
          </w:p>
        </w:tc>
        <w:tc>
          <w:tcPr>
            <w:tcW w:w="3071" w:type="dxa"/>
            <w:tcBorders>
              <w:top w:val="nil"/>
              <w:left w:val="nil"/>
              <w:bottom w:val="single" w:sz="4" w:space="0" w:color="auto"/>
              <w:right w:val="single" w:sz="4" w:space="0" w:color="auto"/>
            </w:tcBorders>
            <w:vAlign w:val="center"/>
            <w:hideMark/>
          </w:tcPr>
          <w:p w14:paraId="138F22D4" w14:textId="77777777" w:rsidR="00AB62D0" w:rsidRPr="00CC4CE5" w:rsidRDefault="00AB62D0">
            <w:pPr>
              <w:rPr>
                <w:rFonts w:ascii="Aptos Narrow" w:hAnsi="Aptos Narrow"/>
                <w:b/>
                <w:bCs/>
                <w:color w:val="000000"/>
                <w:sz w:val="22"/>
                <w:szCs w:val="22"/>
                <w:lang w:val="lt-LT"/>
              </w:rPr>
            </w:pPr>
            <w:r w:rsidRPr="00CC4CE5">
              <w:rPr>
                <w:rFonts w:ascii="Aptos Narrow" w:hAnsi="Aptos Narrow"/>
                <w:b/>
                <w:bCs/>
                <w:color w:val="000000"/>
                <w:sz w:val="22"/>
                <w:szCs w:val="22"/>
                <w:lang w:val="lt-LT"/>
              </w:rPr>
              <w:t>Statybos užduočių ir pastabų valdymo procesų konfigūravimas</w:t>
            </w:r>
          </w:p>
        </w:tc>
        <w:tc>
          <w:tcPr>
            <w:tcW w:w="5386" w:type="dxa"/>
            <w:tcBorders>
              <w:top w:val="nil"/>
              <w:left w:val="nil"/>
              <w:bottom w:val="single" w:sz="4" w:space="0" w:color="auto"/>
              <w:right w:val="single" w:sz="4" w:space="0" w:color="auto"/>
            </w:tcBorders>
            <w:vAlign w:val="center"/>
            <w:hideMark/>
          </w:tcPr>
          <w:p w14:paraId="7537D689" w14:textId="77777777" w:rsidR="00AB62D0" w:rsidRPr="00CC4CE5" w:rsidRDefault="00AB62D0">
            <w:pPr>
              <w:rPr>
                <w:rFonts w:ascii="Aptos Narrow" w:hAnsi="Aptos Narrow"/>
                <w:color w:val="000000"/>
                <w:sz w:val="22"/>
                <w:szCs w:val="22"/>
                <w:lang w:val="lt-LT"/>
              </w:rPr>
            </w:pPr>
            <w:r w:rsidRPr="00CC4CE5">
              <w:rPr>
                <w:rFonts w:ascii="Aptos Narrow" w:hAnsi="Aptos Narrow"/>
                <w:color w:val="000000"/>
                <w:sz w:val="22"/>
                <w:szCs w:val="22"/>
                <w:lang w:val="lt-LT"/>
              </w:rPr>
              <w:t>Tiekėjas turi sukonfigūruoti Užsakovo taikomus statybos užduočių, pastabų ar lygiaverčių registracijų valdymo procesus, įskaitant registracijos formas, laukus, būsenas, atsakingas naudotojų grupes, informacijos perdavimo kryptis ir proceso užbaigimo taisykles.</w:t>
            </w:r>
          </w:p>
        </w:tc>
        <w:tc>
          <w:tcPr>
            <w:tcW w:w="3119" w:type="dxa"/>
            <w:tcBorders>
              <w:top w:val="nil"/>
              <w:left w:val="nil"/>
              <w:bottom w:val="single" w:sz="4" w:space="0" w:color="auto"/>
              <w:right w:val="single" w:sz="4" w:space="0" w:color="auto"/>
            </w:tcBorders>
            <w:vAlign w:val="center"/>
            <w:hideMark/>
          </w:tcPr>
          <w:p w14:paraId="7A2E3675" w14:textId="77777777" w:rsidR="00AB62D0" w:rsidRPr="00CC4CE5" w:rsidRDefault="00AB62D0">
            <w:pPr>
              <w:rPr>
                <w:rFonts w:ascii="Aptos Narrow" w:hAnsi="Aptos Narrow"/>
                <w:color w:val="000000"/>
                <w:sz w:val="22"/>
                <w:szCs w:val="22"/>
                <w:lang w:val="lt-LT"/>
              </w:rPr>
            </w:pPr>
            <w:r w:rsidRPr="00CC4CE5">
              <w:rPr>
                <w:rFonts w:ascii="Aptos Narrow" w:hAnsi="Aptos Narrow"/>
                <w:color w:val="000000"/>
                <w:sz w:val="22"/>
                <w:szCs w:val="22"/>
                <w:lang w:val="lt-LT"/>
              </w:rPr>
              <w:t>Iki 3 skirtingų užduočių / pastabų procesų.</w:t>
            </w:r>
          </w:p>
        </w:tc>
        <w:tc>
          <w:tcPr>
            <w:tcW w:w="2977" w:type="dxa"/>
            <w:tcBorders>
              <w:top w:val="nil"/>
              <w:left w:val="nil"/>
              <w:bottom w:val="single" w:sz="4" w:space="0" w:color="auto"/>
              <w:right w:val="single" w:sz="4" w:space="0" w:color="auto"/>
            </w:tcBorders>
            <w:vAlign w:val="center"/>
            <w:hideMark/>
          </w:tcPr>
          <w:p w14:paraId="59EC2DE6" w14:textId="605D2E37" w:rsidR="00AB62D0" w:rsidRPr="00CC4CE5" w:rsidRDefault="00AB62D0">
            <w:pPr>
              <w:rPr>
                <w:rFonts w:ascii="Aptos Narrow" w:hAnsi="Aptos Narrow"/>
                <w:color w:val="000000"/>
                <w:sz w:val="22"/>
                <w:szCs w:val="22"/>
                <w:lang w:val="lt-LT"/>
              </w:rPr>
            </w:pPr>
            <w:r w:rsidRPr="00CC4CE5">
              <w:rPr>
                <w:rFonts w:ascii="Aptos Narrow" w:hAnsi="Aptos Narrow"/>
                <w:color w:val="000000"/>
                <w:sz w:val="22"/>
                <w:szCs w:val="22"/>
                <w:lang w:val="lt-LT"/>
              </w:rPr>
              <w:t>Kiekvienas sukonfigūruotas procesas praktiškai patikrintas nuo užduoties sukūrimo ir perdavimo atsakingai</w:t>
            </w:r>
            <w:r w:rsidR="00DD411E" w:rsidRPr="00CC4CE5">
              <w:rPr>
                <w:rFonts w:ascii="Aptos Narrow" w:hAnsi="Aptos Narrow"/>
                <w:color w:val="000000"/>
                <w:sz w:val="22"/>
                <w:szCs w:val="22"/>
                <w:lang w:val="lt-LT"/>
              </w:rPr>
              <w:t xml:space="preserve"> </w:t>
            </w:r>
            <w:r w:rsidRPr="00CC4CE5">
              <w:rPr>
                <w:rFonts w:ascii="Aptos Narrow" w:hAnsi="Aptos Narrow"/>
                <w:color w:val="000000"/>
                <w:sz w:val="22"/>
                <w:szCs w:val="22"/>
                <w:lang w:val="lt-LT"/>
              </w:rPr>
              <w:t>naudotojų grupei iki atsakymo, grąžinimo ir užbaigimo.</w:t>
            </w:r>
          </w:p>
        </w:tc>
      </w:tr>
      <w:tr w:rsidR="00AB62D0" w:rsidRPr="005A629B" w14:paraId="12B6CE2E" w14:textId="77777777" w:rsidTr="00AB62D0">
        <w:trPr>
          <w:trHeight w:val="1450"/>
        </w:trPr>
        <w:tc>
          <w:tcPr>
            <w:tcW w:w="610" w:type="dxa"/>
            <w:tcBorders>
              <w:top w:val="nil"/>
              <w:left w:val="single" w:sz="4" w:space="0" w:color="auto"/>
              <w:bottom w:val="single" w:sz="4" w:space="0" w:color="auto"/>
              <w:right w:val="single" w:sz="4" w:space="0" w:color="auto"/>
            </w:tcBorders>
            <w:noWrap/>
            <w:vAlign w:val="center"/>
            <w:hideMark/>
          </w:tcPr>
          <w:p w14:paraId="0D48275D" w14:textId="77777777" w:rsidR="00AB62D0" w:rsidRPr="00CC4CE5" w:rsidRDefault="00AB62D0">
            <w:pPr>
              <w:rPr>
                <w:rFonts w:ascii="Aptos Narrow" w:hAnsi="Aptos Narrow"/>
                <w:b/>
                <w:bCs/>
                <w:color w:val="000000"/>
                <w:sz w:val="22"/>
                <w:szCs w:val="22"/>
                <w:lang w:val="lt-LT"/>
              </w:rPr>
            </w:pPr>
            <w:r w:rsidRPr="00CC4CE5">
              <w:rPr>
                <w:rFonts w:ascii="Aptos Narrow" w:hAnsi="Aptos Narrow"/>
                <w:b/>
                <w:bCs/>
                <w:color w:val="000000"/>
                <w:sz w:val="22"/>
                <w:szCs w:val="22"/>
                <w:lang w:val="lt-LT"/>
              </w:rPr>
              <w:t>2.15</w:t>
            </w:r>
          </w:p>
        </w:tc>
        <w:tc>
          <w:tcPr>
            <w:tcW w:w="3071" w:type="dxa"/>
            <w:tcBorders>
              <w:top w:val="nil"/>
              <w:left w:val="nil"/>
              <w:bottom w:val="single" w:sz="4" w:space="0" w:color="auto"/>
              <w:right w:val="single" w:sz="4" w:space="0" w:color="auto"/>
            </w:tcBorders>
            <w:vAlign w:val="center"/>
            <w:hideMark/>
          </w:tcPr>
          <w:p w14:paraId="241AE27E" w14:textId="77777777" w:rsidR="00AB62D0" w:rsidRPr="00CC4CE5" w:rsidRDefault="00AB62D0">
            <w:pPr>
              <w:rPr>
                <w:rFonts w:ascii="Aptos Narrow" w:hAnsi="Aptos Narrow"/>
                <w:b/>
                <w:bCs/>
                <w:color w:val="000000"/>
                <w:sz w:val="22"/>
                <w:szCs w:val="22"/>
                <w:lang w:val="lt-LT"/>
              </w:rPr>
            </w:pPr>
            <w:r w:rsidRPr="00CC4CE5">
              <w:rPr>
                <w:rFonts w:ascii="Aptos Narrow" w:hAnsi="Aptos Narrow"/>
                <w:b/>
                <w:bCs/>
                <w:color w:val="000000"/>
                <w:sz w:val="22"/>
                <w:szCs w:val="22"/>
                <w:lang w:val="lt-LT"/>
              </w:rPr>
              <w:t>Konfigūracijos administravimas Užsakovo jėgomis</w:t>
            </w:r>
          </w:p>
        </w:tc>
        <w:tc>
          <w:tcPr>
            <w:tcW w:w="5386" w:type="dxa"/>
            <w:tcBorders>
              <w:top w:val="nil"/>
              <w:left w:val="nil"/>
              <w:bottom w:val="single" w:sz="4" w:space="0" w:color="auto"/>
              <w:right w:val="single" w:sz="4" w:space="0" w:color="auto"/>
            </w:tcBorders>
            <w:vAlign w:val="center"/>
            <w:hideMark/>
          </w:tcPr>
          <w:p w14:paraId="366FCF18" w14:textId="77777777" w:rsidR="00AB62D0" w:rsidRPr="00CC4CE5" w:rsidRDefault="00AB62D0">
            <w:pPr>
              <w:rPr>
                <w:rFonts w:ascii="Aptos Narrow" w:hAnsi="Aptos Narrow"/>
                <w:color w:val="000000"/>
                <w:sz w:val="22"/>
                <w:szCs w:val="22"/>
                <w:lang w:val="lt-LT"/>
              </w:rPr>
            </w:pPr>
            <w:r w:rsidRPr="00CC4CE5">
              <w:rPr>
                <w:rFonts w:ascii="Aptos Narrow" w:hAnsi="Aptos Narrow"/>
                <w:color w:val="000000"/>
                <w:sz w:val="22"/>
                <w:szCs w:val="22"/>
                <w:lang w:val="lt-LT"/>
              </w:rPr>
              <w:t>Visi pagal 2.3–2.14 punktus sukurti konfigūracijos elementai turi būti administruojami Užsakovo administratoriaus teises turinčių naudotojų standartinėmis siūlomos CDE priemonėmis be privalomo Tiekėjo ar CDE gamintojo įsitraukimo.</w:t>
            </w:r>
          </w:p>
        </w:tc>
        <w:tc>
          <w:tcPr>
            <w:tcW w:w="3119" w:type="dxa"/>
            <w:tcBorders>
              <w:top w:val="nil"/>
              <w:left w:val="nil"/>
              <w:bottom w:val="single" w:sz="4" w:space="0" w:color="auto"/>
              <w:right w:val="single" w:sz="4" w:space="0" w:color="auto"/>
            </w:tcBorders>
            <w:vAlign w:val="center"/>
            <w:hideMark/>
          </w:tcPr>
          <w:p w14:paraId="7A68A4F5" w14:textId="11AF7EE8" w:rsidR="00AB62D0" w:rsidRPr="00CC4CE5" w:rsidRDefault="00AB62D0">
            <w:pPr>
              <w:rPr>
                <w:rFonts w:ascii="Aptos Narrow" w:hAnsi="Aptos Narrow"/>
                <w:color w:val="000000"/>
                <w:sz w:val="22"/>
                <w:szCs w:val="22"/>
                <w:lang w:val="lt-LT"/>
              </w:rPr>
            </w:pPr>
            <w:r w:rsidRPr="00CC4CE5">
              <w:rPr>
                <w:rFonts w:ascii="Aptos Narrow" w:hAnsi="Aptos Narrow"/>
                <w:color w:val="000000"/>
                <w:sz w:val="22"/>
                <w:szCs w:val="22"/>
                <w:lang w:val="lt-LT"/>
              </w:rPr>
              <w:t>Taikoma visiems pagal 2.3–2.1</w:t>
            </w:r>
            <w:r w:rsidR="00082DDE" w:rsidRPr="00CC4CE5">
              <w:rPr>
                <w:rFonts w:ascii="Aptos Narrow" w:hAnsi="Aptos Narrow"/>
                <w:color w:val="000000"/>
                <w:sz w:val="22"/>
                <w:szCs w:val="22"/>
                <w:lang w:val="lt-LT"/>
              </w:rPr>
              <w:t>4</w:t>
            </w:r>
            <w:r w:rsidRPr="00CC4CE5">
              <w:rPr>
                <w:rFonts w:ascii="Aptos Narrow" w:hAnsi="Aptos Narrow"/>
                <w:color w:val="000000"/>
                <w:sz w:val="22"/>
                <w:szCs w:val="22"/>
                <w:lang w:val="lt-LT"/>
              </w:rPr>
              <w:t xml:space="preserve"> punktus sukurtiems konfigūracijos objektams.</w:t>
            </w:r>
          </w:p>
        </w:tc>
        <w:tc>
          <w:tcPr>
            <w:tcW w:w="2977" w:type="dxa"/>
            <w:tcBorders>
              <w:top w:val="nil"/>
              <w:left w:val="nil"/>
              <w:bottom w:val="single" w:sz="4" w:space="0" w:color="auto"/>
              <w:right w:val="single" w:sz="4" w:space="0" w:color="auto"/>
            </w:tcBorders>
            <w:vAlign w:val="center"/>
            <w:hideMark/>
          </w:tcPr>
          <w:p w14:paraId="1B8D31A9" w14:textId="77777777" w:rsidR="00AB62D0" w:rsidRPr="00CC4CE5" w:rsidRDefault="00AB62D0">
            <w:pPr>
              <w:rPr>
                <w:rFonts w:ascii="Aptos Narrow" w:hAnsi="Aptos Narrow"/>
                <w:color w:val="000000"/>
                <w:sz w:val="22"/>
                <w:szCs w:val="22"/>
                <w:lang w:val="lt-LT"/>
              </w:rPr>
            </w:pPr>
            <w:r w:rsidRPr="00CC4CE5">
              <w:rPr>
                <w:rFonts w:ascii="Aptos Narrow" w:hAnsi="Aptos Narrow"/>
                <w:color w:val="000000"/>
                <w:sz w:val="22"/>
                <w:szCs w:val="22"/>
                <w:lang w:val="lt-LT"/>
              </w:rPr>
              <w:t xml:space="preserve">Užsakovo administratorius pagal Tiekėjo pateiktą dokumentaciją praktiškai atlieka sutartus pagrindinius konfigūracijos pakeitimus be Tiekėjo intervencijos. </w:t>
            </w:r>
          </w:p>
        </w:tc>
      </w:tr>
      <w:tr w:rsidR="00AB62D0" w:rsidRPr="005A629B" w14:paraId="4884DD49" w14:textId="77777777" w:rsidTr="00AB62D0">
        <w:trPr>
          <w:trHeight w:val="1740"/>
        </w:trPr>
        <w:tc>
          <w:tcPr>
            <w:tcW w:w="610" w:type="dxa"/>
            <w:tcBorders>
              <w:top w:val="nil"/>
              <w:left w:val="single" w:sz="4" w:space="0" w:color="auto"/>
              <w:bottom w:val="single" w:sz="4" w:space="0" w:color="auto"/>
              <w:right w:val="single" w:sz="4" w:space="0" w:color="auto"/>
            </w:tcBorders>
            <w:noWrap/>
            <w:vAlign w:val="center"/>
            <w:hideMark/>
          </w:tcPr>
          <w:p w14:paraId="0A106D84" w14:textId="77777777" w:rsidR="00AB62D0" w:rsidRPr="00CC4CE5" w:rsidRDefault="00AB62D0">
            <w:pPr>
              <w:rPr>
                <w:rFonts w:ascii="Aptos Narrow" w:hAnsi="Aptos Narrow"/>
                <w:b/>
                <w:bCs/>
                <w:color w:val="000000"/>
                <w:sz w:val="22"/>
                <w:szCs w:val="22"/>
                <w:lang w:val="lt-LT"/>
              </w:rPr>
            </w:pPr>
            <w:r w:rsidRPr="00CC4CE5">
              <w:rPr>
                <w:rFonts w:ascii="Aptos Narrow" w:hAnsi="Aptos Narrow"/>
                <w:b/>
                <w:bCs/>
                <w:color w:val="000000"/>
                <w:sz w:val="22"/>
                <w:szCs w:val="22"/>
                <w:lang w:val="lt-LT"/>
              </w:rPr>
              <w:lastRenderedPageBreak/>
              <w:t>2.16</w:t>
            </w:r>
          </w:p>
        </w:tc>
        <w:tc>
          <w:tcPr>
            <w:tcW w:w="3071" w:type="dxa"/>
            <w:tcBorders>
              <w:top w:val="nil"/>
              <w:left w:val="nil"/>
              <w:bottom w:val="single" w:sz="4" w:space="0" w:color="auto"/>
              <w:right w:val="single" w:sz="4" w:space="0" w:color="auto"/>
            </w:tcBorders>
            <w:vAlign w:val="center"/>
            <w:hideMark/>
          </w:tcPr>
          <w:p w14:paraId="33461A46" w14:textId="77777777" w:rsidR="00AB62D0" w:rsidRPr="00CC4CE5" w:rsidRDefault="00AB62D0">
            <w:pPr>
              <w:rPr>
                <w:rFonts w:ascii="Aptos Narrow" w:hAnsi="Aptos Narrow"/>
                <w:b/>
                <w:bCs/>
                <w:color w:val="000000"/>
                <w:sz w:val="22"/>
                <w:szCs w:val="22"/>
                <w:lang w:val="lt-LT"/>
              </w:rPr>
            </w:pPr>
            <w:r w:rsidRPr="00CC4CE5">
              <w:rPr>
                <w:rFonts w:ascii="Aptos Narrow" w:hAnsi="Aptos Narrow"/>
                <w:b/>
                <w:bCs/>
                <w:color w:val="000000"/>
                <w:sz w:val="22"/>
                <w:szCs w:val="22"/>
                <w:lang w:val="lt-LT"/>
              </w:rPr>
              <w:t>Bandomojo projekto konfigūravimas ir priėmimo bandymai</w:t>
            </w:r>
          </w:p>
        </w:tc>
        <w:tc>
          <w:tcPr>
            <w:tcW w:w="5386" w:type="dxa"/>
            <w:tcBorders>
              <w:top w:val="nil"/>
              <w:left w:val="nil"/>
              <w:bottom w:val="single" w:sz="4" w:space="0" w:color="auto"/>
              <w:right w:val="single" w:sz="4" w:space="0" w:color="auto"/>
            </w:tcBorders>
            <w:vAlign w:val="center"/>
            <w:hideMark/>
          </w:tcPr>
          <w:p w14:paraId="236AC78C" w14:textId="244DC831" w:rsidR="00AB62D0" w:rsidRPr="00CC4CE5" w:rsidRDefault="00AB62D0">
            <w:pPr>
              <w:rPr>
                <w:rFonts w:ascii="Aptos Narrow" w:hAnsi="Aptos Narrow"/>
                <w:color w:val="000000"/>
                <w:sz w:val="22"/>
                <w:szCs w:val="22"/>
                <w:lang w:val="lt-LT"/>
              </w:rPr>
            </w:pPr>
            <w:r w:rsidRPr="00CC4CE5">
              <w:rPr>
                <w:rFonts w:ascii="Aptos Narrow" w:hAnsi="Aptos Narrow"/>
                <w:color w:val="000000"/>
                <w:sz w:val="22"/>
                <w:szCs w:val="22"/>
                <w:lang w:val="lt-LT"/>
              </w:rPr>
              <w:t>Tiekėjas turi pagal parengtą pakartotinai naudojamą projekto konfigūraciją, sukonfigūruoti bandomąjį projektą, kuriame praktiškai patikrinama šiame skyriuje sukurta konfigūracija ir pagrindinių jos elementų tarpusavio sąveika.</w:t>
            </w:r>
          </w:p>
        </w:tc>
        <w:tc>
          <w:tcPr>
            <w:tcW w:w="3119" w:type="dxa"/>
            <w:tcBorders>
              <w:top w:val="nil"/>
              <w:left w:val="nil"/>
              <w:bottom w:val="single" w:sz="4" w:space="0" w:color="auto"/>
              <w:right w:val="single" w:sz="4" w:space="0" w:color="auto"/>
            </w:tcBorders>
            <w:vAlign w:val="center"/>
            <w:hideMark/>
          </w:tcPr>
          <w:p w14:paraId="527610B6" w14:textId="77777777" w:rsidR="00AB62D0" w:rsidRPr="00CC4CE5" w:rsidRDefault="00AB62D0">
            <w:pPr>
              <w:rPr>
                <w:rFonts w:ascii="Aptos Narrow" w:hAnsi="Aptos Narrow"/>
                <w:color w:val="000000"/>
                <w:sz w:val="22"/>
                <w:szCs w:val="22"/>
                <w:lang w:val="lt-LT"/>
              </w:rPr>
            </w:pPr>
            <w:r w:rsidRPr="00CC4CE5">
              <w:rPr>
                <w:rFonts w:ascii="Aptos Narrow" w:hAnsi="Aptos Narrow"/>
                <w:color w:val="000000"/>
                <w:sz w:val="22"/>
                <w:szCs w:val="22"/>
                <w:lang w:val="lt-LT"/>
              </w:rPr>
              <w:t>Ne mažiau kaip 1 bandomasis projektas.</w:t>
            </w:r>
          </w:p>
        </w:tc>
        <w:tc>
          <w:tcPr>
            <w:tcW w:w="2977" w:type="dxa"/>
            <w:tcBorders>
              <w:top w:val="nil"/>
              <w:left w:val="nil"/>
              <w:bottom w:val="single" w:sz="4" w:space="0" w:color="auto"/>
              <w:right w:val="single" w:sz="4" w:space="0" w:color="auto"/>
            </w:tcBorders>
            <w:vAlign w:val="center"/>
            <w:hideMark/>
          </w:tcPr>
          <w:p w14:paraId="166C0191" w14:textId="77777777" w:rsidR="00AB62D0" w:rsidRPr="00CC4CE5" w:rsidRDefault="00AB62D0">
            <w:pPr>
              <w:rPr>
                <w:rFonts w:ascii="Aptos Narrow" w:hAnsi="Aptos Narrow"/>
                <w:color w:val="000000"/>
                <w:sz w:val="22"/>
                <w:szCs w:val="22"/>
                <w:lang w:val="lt-LT"/>
              </w:rPr>
            </w:pPr>
            <w:r w:rsidRPr="00CC4CE5">
              <w:rPr>
                <w:rFonts w:ascii="Aptos Narrow" w:hAnsi="Aptos Narrow"/>
                <w:color w:val="000000"/>
                <w:sz w:val="22"/>
                <w:szCs w:val="22"/>
                <w:lang w:val="lt-LT"/>
              </w:rPr>
              <w:t>Bandomajame projekte įvykdyti su Užsakovu suderinti priėmimo scenarijai ir pašalinti visi bandymų metu nustatyti neatitikimai šios techninės specifikacijos reikalavimams.</w:t>
            </w:r>
          </w:p>
        </w:tc>
      </w:tr>
      <w:tr w:rsidR="00AB62D0" w:rsidRPr="005A629B" w14:paraId="1EBB346F" w14:textId="77777777" w:rsidTr="00AB62D0">
        <w:trPr>
          <w:trHeight w:val="2610"/>
        </w:trPr>
        <w:tc>
          <w:tcPr>
            <w:tcW w:w="610" w:type="dxa"/>
            <w:tcBorders>
              <w:top w:val="nil"/>
              <w:left w:val="single" w:sz="4" w:space="0" w:color="auto"/>
              <w:bottom w:val="single" w:sz="4" w:space="0" w:color="auto"/>
              <w:right w:val="single" w:sz="4" w:space="0" w:color="auto"/>
            </w:tcBorders>
            <w:noWrap/>
            <w:vAlign w:val="center"/>
            <w:hideMark/>
          </w:tcPr>
          <w:p w14:paraId="2C2A098B" w14:textId="77777777" w:rsidR="00AB62D0" w:rsidRPr="00CC4CE5" w:rsidRDefault="00AB62D0">
            <w:pPr>
              <w:rPr>
                <w:rFonts w:ascii="Aptos Narrow" w:hAnsi="Aptos Narrow"/>
                <w:b/>
                <w:bCs/>
                <w:color w:val="000000"/>
                <w:sz w:val="22"/>
                <w:szCs w:val="22"/>
                <w:lang w:val="lt-LT"/>
              </w:rPr>
            </w:pPr>
            <w:r w:rsidRPr="00CC4CE5">
              <w:rPr>
                <w:rFonts w:ascii="Aptos Narrow" w:hAnsi="Aptos Narrow"/>
                <w:b/>
                <w:bCs/>
                <w:color w:val="000000"/>
                <w:sz w:val="22"/>
                <w:szCs w:val="22"/>
                <w:lang w:val="lt-LT"/>
              </w:rPr>
              <w:t>2.17</w:t>
            </w:r>
          </w:p>
        </w:tc>
        <w:tc>
          <w:tcPr>
            <w:tcW w:w="3071" w:type="dxa"/>
            <w:tcBorders>
              <w:top w:val="nil"/>
              <w:left w:val="nil"/>
              <w:bottom w:val="single" w:sz="4" w:space="0" w:color="auto"/>
              <w:right w:val="single" w:sz="4" w:space="0" w:color="auto"/>
            </w:tcBorders>
            <w:vAlign w:val="center"/>
            <w:hideMark/>
          </w:tcPr>
          <w:p w14:paraId="63BCF309" w14:textId="77777777" w:rsidR="00AB62D0" w:rsidRPr="00CC4CE5" w:rsidRDefault="00AB62D0">
            <w:pPr>
              <w:rPr>
                <w:rFonts w:ascii="Aptos Narrow" w:hAnsi="Aptos Narrow"/>
                <w:b/>
                <w:bCs/>
                <w:color w:val="000000"/>
                <w:sz w:val="22"/>
                <w:szCs w:val="22"/>
                <w:lang w:val="lt-LT"/>
              </w:rPr>
            </w:pPr>
            <w:r w:rsidRPr="00CC4CE5">
              <w:rPr>
                <w:rFonts w:ascii="Aptos Narrow" w:hAnsi="Aptos Narrow"/>
                <w:b/>
                <w:bCs/>
                <w:color w:val="000000"/>
                <w:sz w:val="22"/>
                <w:szCs w:val="22"/>
                <w:lang w:val="lt-LT"/>
              </w:rPr>
              <w:t>Konfigūracijos dokumentavimas ir perdavimas</w:t>
            </w:r>
          </w:p>
        </w:tc>
        <w:tc>
          <w:tcPr>
            <w:tcW w:w="5386" w:type="dxa"/>
            <w:tcBorders>
              <w:top w:val="nil"/>
              <w:left w:val="nil"/>
              <w:bottom w:val="single" w:sz="4" w:space="0" w:color="auto"/>
              <w:right w:val="single" w:sz="4" w:space="0" w:color="auto"/>
            </w:tcBorders>
            <w:vAlign w:val="center"/>
            <w:hideMark/>
          </w:tcPr>
          <w:p w14:paraId="62C47C6E" w14:textId="77777777" w:rsidR="00AB62D0" w:rsidRPr="00CC4CE5" w:rsidRDefault="00AB62D0">
            <w:pPr>
              <w:rPr>
                <w:rFonts w:ascii="Aptos Narrow" w:hAnsi="Aptos Narrow"/>
                <w:color w:val="000000"/>
                <w:sz w:val="22"/>
                <w:szCs w:val="22"/>
                <w:lang w:val="lt-LT"/>
              </w:rPr>
            </w:pPr>
            <w:r w:rsidRPr="00CC4CE5">
              <w:rPr>
                <w:rFonts w:ascii="Aptos Narrow" w:hAnsi="Aptos Narrow"/>
                <w:color w:val="000000"/>
                <w:sz w:val="22"/>
                <w:szCs w:val="22"/>
                <w:lang w:val="lt-LT"/>
              </w:rPr>
              <w:t>Tiekėjas turi pateikti galutinės CDE konfigūracijos dokumentaciją, apimančią pakartotinai naudojamą projekto konfigūraciją, aplankų struktūras, metaduomenis, failų pavadinimų taisykles, failų derinimo ir tvirtinimo procesus, informacijos būsenas, naudotojų grupes ir jų teises, informacijos perdavimo tarp projekto dalyvių taisykles, dokumentų peržiūros pastabų ir komentarų valdymo konfigūraciją, statybos procesų ir atsakomybių konfigūraciją, pakartotinai naudojamą statybos procesų konfigūraciją bei statybos užduočių ir pastabų valdymo procesus.</w:t>
            </w:r>
          </w:p>
        </w:tc>
        <w:tc>
          <w:tcPr>
            <w:tcW w:w="3119" w:type="dxa"/>
            <w:tcBorders>
              <w:top w:val="nil"/>
              <w:left w:val="nil"/>
              <w:bottom w:val="single" w:sz="4" w:space="0" w:color="auto"/>
              <w:right w:val="single" w:sz="4" w:space="0" w:color="auto"/>
            </w:tcBorders>
            <w:vAlign w:val="center"/>
            <w:hideMark/>
          </w:tcPr>
          <w:p w14:paraId="26E671D6" w14:textId="77777777" w:rsidR="00AB62D0" w:rsidRPr="00CC4CE5" w:rsidRDefault="00AB62D0">
            <w:pPr>
              <w:rPr>
                <w:rFonts w:ascii="Aptos Narrow" w:hAnsi="Aptos Narrow"/>
                <w:color w:val="000000"/>
                <w:sz w:val="22"/>
                <w:szCs w:val="22"/>
                <w:lang w:val="lt-LT"/>
              </w:rPr>
            </w:pPr>
            <w:r w:rsidRPr="00CC4CE5">
              <w:rPr>
                <w:rFonts w:ascii="Aptos Narrow" w:hAnsi="Aptos Narrow"/>
                <w:color w:val="000000"/>
                <w:sz w:val="22"/>
                <w:szCs w:val="22"/>
                <w:lang w:val="lt-LT"/>
              </w:rPr>
              <w:t>1 pilnas dokumentacijos komplektas elektroniniu redaguojamu formatu.</w:t>
            </w:r>
          </w:p>
        </w:tc>
        <w:tc>
          <w:tcPr>
            <w:tcW w:w="2977" w:type="dxa"/>
            <w:tcBorders>
              <w:top w:val="nil"/>
              <w:left w:val="nil"/>
              <w:bottom w:val="single" w:sz="4" w:space="0" w:color="auto"/>
              <w:right w:val="single" w:sz="4" w:space="0" w:color="auto"/>
            </w:tcBorders>
            <w:vAlign w:val="center"/>
            <w:hideMark/>
          </w:tcPr>
          <w:p w14:paraId="71A9EB77" w14:textId="77777777" w:rsidR="00AB62D0" w:rsidRPr="00CC4CE5" w:rsidRDefault="00AB62D0">
            <w:pPr>
              <w:rPr>
                <w:rFonts w:ascii="Aptos Narrow" w:hAnsi="Aptos Narrow"/>
                <w:color w:val="000000"/>
                <w:sz w:val="22"/>
                <w:szCs w:val="22"/>
                <w:lang w:val="lt-LT"/>
              </w:rPr>
            </w:pPr>
            <w:r w:rsidRPr="00CC4CE5">
              <w:rPr>
                <w:rFonts w:ascii="Aptos Narrow" w:hAnsi="Aptos Narrow"/>
                <w:color w:val="000000"/>
                <w:sz w:val="22"/>
                <w:szCs w:val="22"/>
                <w:lang w:val="lt-LT"/>
              </w:rPr>
              <w:t>Dokumentacija perduota Užsakovui, atitinka faktiškai sukurtą konfigūraciją ir yra pakankama jos tolesniam administravimui.</w:t>
            </w:r>
          </w:p>
        </w:tc>
      </w:tr>
      <w:tr w:rsidR="00AB62D0" w:rsidRPr="005A629B" w14:paraId="2F0D03E2" w14:textId="77777777" w:rsidTr="00AB62D0">
        <w:trPr>
          <w:trHeight w:val="2610"/>
        </w:trPr>
        <w:tc>
          <w:tcPr>
            <w:tcW w:w="610" w:type="dxa"/>
            <w:tcBorders>
              <w:top w:val="nil"/>
              <w:left w:val="single" w:sz="4" w:space="0" w:color="auto"/>
              <w:bottom w:val="single" w:sz="4" w:space="0" w:color="auto"/>
              <w:right w:val="single" w:sz="4" w:space="0" w:color="auto"/>
            </w:tcBorders>
            <w:noWrap/>
            <w:vAlign w:val="center"/>
            <w:hideMark/>
          </w:tcPr>
          <w:p w14:paraId="0ED75813" w14:textId="77777777" w:rsidR="00AB62D0" w:rsidRPr="00CC4CE5" w:rsidRDefault="00AB62D0">
            <w:pPr>
              <w:rPr>
                <w:rFonts w:ascii="Aptos Narrow" w:hAnsi="Aptos Narrow"/>
                <w:b/>
                <w:bCs/>
                <w:color w:val="000000"/>
                <w:sz w:val="22"/>
                <w:szCs w:val="22"/>
                <w:lang w:val="lt-LT"/>
              </w:rPr>
            </w:pPr>
            <w:r w:rsidRPr="00CC4CE5">
              <w:rPr>
                <w:rFonts w:ascii="Aptos Narrow" w:hAnsi="Aptos Narrow"/>
                <w:b/>
                <w:bCs/>
                <w:color w:val="000000"/>
                <w:sz w:val="22"/>
                <w:szCs w:val="22"/>
                <w:lang w:val="lt-LT"/>
              </w:rPr>
              <w:t>2.18</w:t>
            </w:r>
          </w:p>
        </w:tc>
        <w:tc>
          <w:tcPr>
            <w:tcW w:w="3071" w:type="dxa"/>
            <w:tcBorders>
              <w:top w:val="nil"/>
              <w:left w:val="nil"/>
              <w:bottom w:val="single" w:sz="4" w:space="0" w:color="auto"/>
              <w:right w:val="single" w:sz="4" w:space="0" w:color="auto"/>
            </w:tcBorders>
            <w:noWrap/>
            <w:vAlign w:val="center"/>
            <w:hideMark/>
          </w:tcPr>
          <w:p w14:paraId="765A8AE5" w14:textId="77777777" w:rsidR="00AB62D0" w:rsidRPr="00CC4CE5" w:rsidRDefault="00AB62D0">
            <w:pPr>
              <w:rPr>
                <w:rFonts w:ascii="Aptos Narrow" w:hAnsi="Aptos Narrow"/>
                <w:b/>
                <w:bCs/>
                <w:color w:val="000000"/>
                <w:sz w:val="22"/>
                <w:szCs w:val="22"/>
                <w:lang w:val="lt-LT"/>
              </w:rPr>
            </w:pPr>
            <w:r w:rsidRPr="00CC4CE5">
              <w:rPr>
                <w:rFonts w:ascii="Aptos Narrow" w:hAnsi="Aptos Narrow"/>
                <w:b/>
                <w:bCs/>
                <w:color w:val="000000"/>
                <w:sz w:val="22"/>
                <w:szCs w:val="22"/>
                <w:lang w:val="lt-LT"/>
              </w:rPr>
              <w:t>Konfigūravimo rezultatų pateikimo priėmimui terminas</w:t>
            </w:r>
          </w:p>
        </w:tc>
        <w:tc>
          <w:tcPr>
            <w:tcW w:w="5386" w:type="dxa"/>
            <w:tcBorders>
              <w:top w:val="nil"/>
              <w:left w:val="nil"/>
              <w:bottom w:val="single" w:sz="4" w:space="0" w:color="auto"/>
              <w:right w:val="single" w:sz="4" w:space="0" w:color="auto"/>
            </w:tcBorders>
            <w:vAlign w:val="center"/>
            <w:hideMark/>
          </w:tcPr>
          <w:p w14:paraId="0A8F63AA" w14:textId="77777777" w:rsidR="00AB62D0" w:rsidRPr="00CC4CE5" w:rsidRDefault="00AB62D0">
            <w:pPr>
              <w:rPr>
                <w:rFonts w:ascii="Aptos Narrow" w:hAnsi="Aptos Narrow"/>
                <w:color w:val="000000"/>
                <w:sz w:val="22"/>
                <w:szCs w:val="22"/>
                <w:lang w:val="lt-LT"/>
              </w:rPr>
            </w:pPr>
            <w:r w:rsidRPr="00CC4CE5">
              <w:rPr>
                <w:rFonts w:ascii="Aptos Narrow" w:hAnsi="Aptos Narrow"/>
                <w:color w:val="000000"/>
                <w:sz w:val="22"/>
                <w:szCs w:val="22"/>
                <w:lang w:val="lt-LT"/>
              </w:rPr>
              <w:t>Tiekėjas turi pateikti Užsakovui priėmimui visus šiame skyriuje numatytus CDE konfigūravimo rezultatus per nustatytą terminą.</w:t>
            </w:r>
          </w:p>
        </w:tc>
        <w:tc>
          <w:tcPr>
            <w:tcW w:w="3119" w:type="dxa"/>
            <w:tcBorders>
              <w:top w:val="nil"/>
              <w:left w:val="nil"/>
              <w:bottom w:val="single" w:sz="4" w:space="0" w:color="auto"/>
              <w:right w:val="single" w:sz="4" w:space="0" w:color="auto"/>
            </w:tcBorders>
            <w:vAlign w:val="center"/>
            <w:hideMark/>
          </w:tcPr>
          <w:p w14:paraId="39EF1699" w14:textId="49913BD1" w:rsidR="00AB62D0" w:rsidRPr="00CC4CE5" w:rsidRDefault="00AB62D0">
            <w:pPr>
              <w:rPr>
                <w:rFonts w:ascii="Aptos Narrow" w:hAnsi="Aptos Narrow"/>
                <w:color w:val="000000"/>
                <w:sz w:val="22"/>
                <w:szCs w:val="22"/>
                <w:lang w:val="lt-LT"/>
              </w:rPr>
            </w:pPr>
            <w:r w:rsidRPr="00CC4CE5">
              <w:rPr>
                <w:rFonts w:ascii="Aptos Narrow" w:hAnsi="Aptos Narrow"/>
                <w:color w:val="000000"/>
                <w:sz w:val="22"/>
                <w:szCs w:val="22"/>
                <w:lang w:val="lt-LT"/>
              </w:rPr>
              <w:t xml:space="preserve">Visi konfigūravimo rezultatai turi būti pateikti priėmimui per </w:t>
            </w:r>
            <w:r w:rsidR="00FF6543" w:rsidRPr="00CC4CE5">
              <w:rPr>
                <w:rFonts w:ascii="Aptos Narrow" w:hAnsi="Aptos Narrow"/>
                <w:color w:val="000000"/>
                <w:sz w:val="22"/>
                <w:szCs w:val="22"/>
                <w:lang w:val="lt-LT"/>
              </w:rPr>
              <w:t>2</w:t>
            </w:r>
            <w:r w:rsidRPr="00CC4CE5">
              <w:rPr>
                <w:rFonts w:ascii="Aptos Narrow" w:hAnsi="Aptos Narrow"/>
                <w:color w:val="000000"/>
                <w:sz w:val="22"/>
                <w:szCs w:val="22"/>
                <w:lang w:val="lt-LT"/>
              </w:rPr>
              <w:t>0 kalendorinių dienų nuo Užsakovo rašytinio patvirtinimo, kad Tiekėjui perduota visa konfigūravimui reikalinga informacija.</w:t>
            </w:r>
          </w:p>
        </w:tc>
        <w:tc>
          <w:tcPr>
            <w:tcW w:w="2977" w:type="dxa"/>
            <w:tcBorders>
              <w:top w:val="nil"/>
              <w:left w:val="nil"/>
              <w:bottom w:val="single" w:sz="4" w:space="0" w:color="auto"/>
              <w:right w:val="single" w:sz="4" w:space="0" w:color="auto"/>
            </w:tcBorders>
            <w:vAlign w:val="bottom"/>
            <w:hideMark/>
          </w:tcPr>
          <w:p w14:paraId="2442BB02" w14:textId="77777777" w:rsidR="00AB62D0" w:rsidRPr="00CC4CE5" w:rsidRDefault="00AB62D0">
            <w:pPr>
              <w:rPr>
                <w:rFonts w:ascii="Aptos Narrow" w:hAnsi="Aptos Narrow"/>
                <w:color w:val="000000"/>
                <w:sz w:val="22"/>
                <w:szCs w:val="22"/>
                <w:lang w:val="lt-LT"/>
              </w:rPr>
            </w:pPr>
            <w:r w:rsidRPr="00CC4CE5">
              <w:rPr>
                <w:rFonts w:ascii="Aptos Narrow" w:hAnsi="Aptos Narrow"/>
                <w:color w:val="000000"/>
                <w:sz w:val="22"/>
                <w:szCs w:val="22"/>
                <w:lang w:val="lt-LT"/>
              </w:rPr>
              <w:t>Per nustatytą terminą Užsakovui pateikta visa numatyta konfigūracija, bandomasis projektas ir konfigūracijos dokumentacija. Bandymų ar priėmimo metu nustatyti neatitikimai techninės specifikacijos reikalavimams pašalinami per 5 darbo dienas nuo Užsakovo pastabų pateikimo.</w:t>
            </w:r>
          </w:p>
        </w:tc>
      </w:tr>
      <w:tr w:rsidR="00AB62D0" w:rsidRPr="005A629B" w14:paraId="2ED3E5F5" w14:textId="77777777" w:rsidTr="00AB62D0">
        <w:trPr>
          <w:trHeight w:val="2320"/>
        </w:trPr>
        <w:tc>
          <w:tcPr>
            <w:tcW w:w="610" w:type="dxa"/>
            <w:tcBorders>
              <w:top w:val="nil"/>
              <w:left w:val="single" w:sz="4" w:space="0" w:color="auto"/>
              <w:bottom w:val="single" w:sz="4" w:space="0" w:color="auto"/>
              <w:right w:val="single" w:sz="4" w:space="0" w:color="auto"/>
            </w:tcBorders>
            <w:noWrap/>
            <w:vAlign w:val="center"/>
            <w:hideMark/>
          </w:tcPr>
          <w:p w14:paraId="215ACBDF" w14:textId="77777777" w:rsidR="00AB62D0" w:rsidRPr="00CC4CE5" w:rsidRDefault="00AB62D0">
            <w:pPr>
              <w:rPr>
                <w:rFonts w:ascii="Aptos Narrow" w:hAnsi="Aptos Narrow"/>
                <w:b/>
                <w:bCs/>
                <w:color w:val="000000"/>
                <w:sz w:val="22"/>
                <w:szCs w:val="22"/>
                <w:lang w:val="lt-LT"/>
              </w:rPr>
            </w:pPr>
            <w:r w:rsidRPr="00CC4CE5">
              <w:rPr>
                <w:rFonts w:ascii="Aptos Narrow" w:hAnsi="Aptos Narrow"/>
                <w:b/>
                <w:bCs/>
                <w:color w:val="000000"/>
                <w:sz w:val="22"/>
                <w:szCs w:val="22"/>
                <w:lang w:val="lt-LT"/>
              </w:rPr>
              <w:lastRenderedPageBreak/>
              <w:t>2.19</w:t>
            </w:r>
          </w:p>
        </w:tc>
        <w:tc>
          <w:tcPr>
            <w:tcW w:w="3071" w:type="dxa"/>
            <w:tcBorders>
              <w:top w:val="nil"/>
              <w:left w:val="nil"/>
              <w:bottom w:val="single" w:sz="4" w:space="0" w:color="auto"/>
              <w:right w:val="single" w:sz="4" w:space="0" w:color="auto"/>
            </w:tcBorders>
            <w:vAlign w:val="center"/>
            <w:hideMark/>
          </w:tcPr>
          <w:p w14:paraId="334BEA87" w14:textId="77777777" w:rsidR="00AB62D0" w:rsidRPr="00CC4CE5" w:rsidRDefault="00AB62D0">
            <w:pPr>
              <w:rPr>
                <w:rFonts w:ascii="Aptos Narrow" w:hAnsi="Aptos Narrow"/>
                <w:b/>
                <w:bCs/>
                <w:color w:val="000000"/>
                <w:sz w:val="22"/>
                <w:szCs w:val="22"/>
                <w:lang w:val="lt-LT"/>
              </w:rPr>
            </w:pPr>
            <w:r w:rsidRPr="00CC4CE5">
              <w:rPr>
                <w:rFonts w:ascii="Aptos Narrow" w:hAnsi="Aptos Narrow"/>
                <w:b/>
                <w:bCs/>
                <w:color w:val="000000"/>
                <w:sz w:val="22"/>
                <w:szCs w:val="22"/>
                <w:lang w:val="lt-LT"/>
              </w:rPr>
              <w:t>Šios paslaugų grupės apimties ribos</w:t>
            </w:r>
          </w:p>
        </w:tc>
        <w:tc>
          <w:tcPr>
            <w:tcW w:w="5386" w:type="dxa"/>
            <w:tcBorders>
              <w:top w:val="nil"/>
              <w:left w:val="nil"/>
              <w:bottom w:val="single" w:sz="4" w:space="0" w:color="auto"/>
              <w:right w:val="single" w:sz="4" w:space="0" w:color="auto"/>
            </w:tcBorders>
            <w:vAlign w:val="center"/>
            <w:hideMark/>
          </w:tcPr>
          <w:p w14:paraId="0270FF95" w14:textId="77777777" w:rsidR="00AB62D0" w:rsidRPr="00CC4CE5" w:rsidRDefault="00AB62D0">
            <w:pPr>
              <w:rPr>
                <w:rFonts w:ascii="Aptos Narrow" w:hAnsi="Aptos Narrow"/>
                <w:color w:val="000000"/>
                <w:sz w:val="22"/>
                <w:szCs w:val="22"/>
                <w:lang w:val="lt-LT"/>
              </w:rPr>
            </w:pPr>
            <w:r w:rsidRPr="00CC4CE5">
              <w:rPr>
                <w:rFonts w:ascii="Aptos Narrow" w:hAnsi="Aptos Narrow"/>
                <w:color w:val="000000"/>
                <w:sz w:val="22"/>
                <w:szCs w:val="22"/>
                <w:lang w:val="lt-LT"/>
              </w:rPr>
              <w:t>Į šio skyriaus paslaugų apimtį neįtraukiamas esamų projektų ir jų duomenų perkėlimas iš šiuo metu naudojamos CDE, istorinių failų ir jų versijų, komentarų, užduočių ir procesų istorijos migracija, naudotojų mokymai, papildomas individualus programavimas bei techninėje specifikacijoje atskirai nenumatytų integracijų kūrimas. Ši nuostata neatleidžia Tiekėjo nuo pareigos užtikrinti visų techninėje specifikacijoje nustatytų privalomų reikalavimų įgyvendinimą siūlomame CDE sprendinyje.</w:t>
            </w:r>
          </w:p>
        </w:tc>
        <w:tc>
          <w:tcPr>
            <w:tcW w:w="3119" w:type="dxa"/>
            <w:tcBorders>
              <w:top w:val="nil"/>
              <w:left w:val="nil"/>
              <w:bottom w:val="single" w:sz="4" w:space="0" w:color="auto"/>
              <w:right w:val="single" w:sz="4" w:space="0" w:color="auto"/>
            </w:tcBorders>
            <w:vAlign w:val="center"/>
            <w:hideMark/>
          </w:tcPr>
          <w:p w14:paraId="4409B5FE" w14:textId="77777777" w:rsidR="00AB62D0" w:rsidRPr="00CC4CE5" w:rsidRDefault="00AB62D0">
            <w:pPr>
              <w:rPr>
                <w:rFonts w:ascii="Aptos Narrow" w:hAnsi="Aptos Narrow"/>
                <w:color w:val="000000"/>
                <w:sz w:val="22"/>
                <w:szCs w:val="22"/>
                <w:lang w:val="lt-LT"/>
              </w:rPr>
            </w:pPr>
            <w:r w:rsidRPr="00CC4CE5">
              <w:rPr>
                <w:rFonts w:ascii="Aptos Narrow" w:hAnsi="Aptos Narrow"/>
                <w:color w:val="000000"/>
                <w:sz w:val="22"/>
                <w:szCs w:val="22"/>
                <w:lang w:val="lt-LT"/>
              </w:rPr>
              <w:t>Netaikoma.</w:t>
            </w:r>
          </w:p>
        </w:tc>
        <w:tc>
          <w:tcPr>
            <w:tcW w:w="2977" w:type="dxa"/>
            <w:tcBorders>
              <w:top w:val="nil"/>
              <w:left w:val="nil"/>
              <w:bottom w:val="single" w:sz="4" w:space="0" w:color="auto"/>
              <w:right w:val="single" w:sz="4" w:space="0" w:color="auto"/>
            </w:tcBorders>
            <w:vAlign w:val="center"/>
            <w:hideMark/>
          </w:tcPr>
          <w:p w14:paraId="4397BA53" w14:textId="77777777" w:rsidR="00AB62D0" w:rsidRPr="00CC4CE5" w:rsidRDefault="00AB62D0">
            <w:pPr>
              <w:rPr>
                <w:rFonts w:ascii="Aptos Narrow" w:hAnsi="Aptos Narrow"/>
                <w:color w:val="000000"/>
                <w:sz w:val="22"/>
                <w:szCs w:val="22"/>
                <w:lang w:val="lt-LT"/>
              </w:rPr>
            </w:pPr>
            <w:r w:rsidRPr="00CC4CE5">
              <w:rPr>
                <w:rFonts w:ascii="Aptos Narrow" w:hAnsi="Aptos Narrow"/>
                <w:color w:val="000000"/>
                <w:sz w:val="22"/>
                <w:szCs w:val="22"/>
                <w:lang w:val="lt-LT"/>
              </w:rPr>
              <w:t>Taikoma kaip šios paslaugų grupės apimties atskyrimo taisyklė.</w:t>
            </w:r>
          </w:p>
        </w:tc>
      </w:tr>
    </w:tbl>
    <w:p w14:paraId="6D45ADAA" w14:textId="77777777" w:rsidR="005328E6" w:rsidRPr="00CC4CE5" w:rsidRDefault="005328E6" w:rsidP="00212625">
      <w:pPr>
        <w:spacing w:line="276" w:lineRule="auto"/>
        <w:jc w:val="both"/>
        <w:rPr>
          <w:rFonts w:ascii="Trebuchet MS" w:hAnsi="Trebuchet MS"/>
          <w:sz w:val="22"/>
          <w:szCs w:val="22"/>
          <w:lang w:val="lt-LT"/>
        </w:rPr>
      </w:pPr>
    </w:p>
    <w:p w14:paraId="7E17F9FE" w14:textId="77777777" w:rsidR="00BB3B71" w:rsidRPr="00CC4CE5" w:rsidRDefault="00BB3B71" w:rsidP="00212625">
      <w:pPr>
        <w:spacing w:line="276" w:lineRule="auto"/>
        <w:jc w:val="both"/>
        <w:rPr>
          <w:rFonts w:ascii="Trebuchet MS" w:hAnsi="Trebuchet MS"/>
          <w:sz w:val="22"/>
          <w:szCs w:val="22"/>
          <w:lang w:val="lt-LT"/>
        </w:rPr>
      </w:pPr>
    </w:p>
    <w:p w14:paraId="3E976220" w14:textId="77777777" w:rsidR="00506005" w:rsidRPr="00CC4CE5" w:rsidRDefault="00506005" w:rsidP="00212625">
      <w:pPr>
        <w:spacing w:line="276" w:lineRule="auto"/>
        <w:jc w:val="both"/>
        <w:rPr>
          <w:rFonts w:ascii="Trebuchet MS" w:hAnsi="Trebuchet MS"/>
          <w:sz w:val="22"/>
          <w:szCs w:val="22"/>
          <w:lang w:val="lt-LT"/>
        </w:rPr>
      </w:pPr>
    </w:p>
    <w:p w14:paraId="1521AB12" w14:textId="77777777" w:rsidR="00506005" w:rsidRPr="00CC4CE5" w:rsidRDefault="00506005" w:rsidP="00212625">
      <w:pPr>
        <w:spacing w:line="276" w:lineRule="auto"/>
        <w:jc w:val="both"/>
        <w:rPr>
          <w:rFonts w:ascii="Trebuchet MS" w:hAnsi="Trebuchet MS"/>
          <w:sz w:val="22"/>
          <w:szCs w:val="22"/>
          <w:lang w:val="lt-LT"/>
        </w:rPr>
      </w:pPr>
    </w:p>
    <w:p w14:paraId="40359F1A" w14:textId="77777777" w:rsidR="00506005" w:rsidRPr="00CC4CE5" w:rsidRDefault="00506005" w:rsidP="00212625">
      <w:pPr>
        <w:spacing w:line="276" w:lineRule="auto"/>
        <w:jc w:val="both"/>
        <w:rPr>
          <w:rFonts w:ascii="Trebuchet MS" w:hAnsi="Trebuchet MS"/>
          <w:sz w:val="22"/>
          <w:szCs w:val="22"/>
          <w:lang w:val="lt-LT"/>
        </w:rPr>
      </w:pPr>
    </w:p>
    <w:p w14:paraId="0AE7C005" w14:textId="77777777" w:rsidR="00506005" w:rsidRPr="00CC4CE5" w:rsidRDefault="00506005" w:rsidP="00212625">
      <w:pPr>
        <w:spacing w:line="276" w:lineRule="auto"/>
        <w:jc w:val="both"/>
        <w:rPr>
          <w:rFonts w:ascii="Trebuchet MS" w:hAnsi="Trebuchet MS"/>
          <w:sz w:val="22"/>
          <w:szCs w:val="22"/>
          <w:lang w:val="lt-LT"/>
        </w:rPr>
      </w:pPr>
    </w:p>
    <w:p w14:paraId="554A06DC" w14:textId="77777777" w:rsidR="00506005" w:rsidRPr="00CC4CE5" w:rsidRDefault="00506005" w:rsidP="00212625">
      <w:pPr>
        <w:spacing w:line="276" w:lineRule="auto"/>
        <w:jc w:val="both"/>
        <w:rPr>
          <w:rFonts w:ascii="Trebuchet MS" w:hAnsi="Trebuchet MS"/>
          <w:sz w:val="22"/>
          <w:szCs w:val="22"/>
          <w:lang w:val="lt-LT"/>
        </w:rPr>
      </w:pPr>
    </w:p>
    <w:p w14:paraId="5FBDA95F" w14:textId="77777777" w:rsidR="00506005" w:rsidRPr="00CC4CE5" w:rsidRDefault="00506005" w:rsidP="00212625">
      <w:pPr>
        <w:spacing w:line="276" w:lineRule="auto"/>
        <w:jc w:val="both"/>
        <w:rPr>
          <w:rFonts w:ascii="Trebuchet MS" w:hAnsi="Trebuchet MS"/>
          <w:sz w:val="22"/>
          <w:szCs w:val="22"/>
          <w:lang w:val="lt-LT"/>
        </w:rPr>
      </w:pPr>
    </w:p>
    <w:p w14:paraId="450E98E6" w14:textId="77777777" w:rsidR="00506005" w:rsidRPr="00CC4CE5" w:rsidRDefault="00506005" w:rsidP="00212625">
      <w:pPr>
        <w:spacing w:line="276" w:lineRule="auto"/>
        <w:jc w:val="both"/>
        <w:rPr>
          <w:rFonts w:ascii="Trebuchet MS" w:hAnsi="Trebuchet MS"/>
          <w:sz w:val="22"/>
          <w:szCs w:val="22"/>
          <w:lang w:val="lt-LT"/>
        </w:rPr>
      </w:pPr>
    </w:p>
    <w:p w14:paraId="663F4D89" w14:textId="77777777" w:rsidR="00506005" w:rsidRPr="00CC4CE5" w:rsidRDefault="00506005" w:rsidP="00212625">
      <w:pPr>
        <w:spacing w:line="276" w:lineRule="auto"/>
        <w:jc w:val="both"/>
        <w:rPr>
          <w:rFonts w:ascii="Trebuchet MS" w:hAnsi="Trebuchet MS"/>
          <w:sz w:val="22"/>
          <w:szCs w:val="22"/>
          <w:lang w:val="lt-LT"/>
        </w:rPr>
      </w:pPr>
    </w:p>
    <w:p w14:paraId="6580F2F0" w14:textId="77777777" w:rsidR="00506005" w:rsidRPr="00CC4CE5" w:rsidRDefault="00506005" w:rsidP="00212625">
      <w:pPr>
        <w:spacing w:line="276" w:lineRule="auto"/>
        <w:jc w:val="both"/>
        <w:rPr>
          <w:rFonts w:ascii="Trebuchet MS" w:hAnsi="Trebuchet MS"/>
          <w:sz w:val="22"/>
          <w:szCs w:val="22"/>
          <w:lang w:val="lt-LT"/>
        </w:rPr>
      </w:pPr>
    </w:p>
    <w:p w14:paraId="33328E1B" w14:textId="77777777" w:rsidR="00506005" w:rsidRPr="00CC4CE5" w:rsidRDefault="00506005" w:rsidP="00212625">
      <w:pPr>
        <w:spacing w:line="276" w:lineRule="auto"/>
        <w:jc w:val="both"/>
        <w:rPr>
          <w:rFonts w:ascii="Trebuchet MS" w:hAnsi="Trebuchet MS"/>
          <w:sz w:val="22"/>
          <w:szCs w:val="22"/>
          <w:lang w:val="lt-LT"/>
        </w:rPr>
      </w:pPr>
    </w:p>
    <w:p w14:paraId="67503DAF" w14:textId="77777777" w:rsidR="00506005" w:rsidRPr="00CC4CE5" w:rsidRDefault="00506005" w:rsidP="00212625">
      <w:pPr>
        <w:spacing w:line="276" w:lineRule="auto"/>
        <w:jc w:val="both"/>
        <w:rPr>
          <w:rFonts w:ascii="Trebuchet MS" w:hAnsi="Trebuchet MS"/>
          <w:sz w:val="22"/>
          <w:szCs w:val="22"/>
          <w:lang w:val="lt-LT"/>
        </w:rPr>
      </w:pPr>
    </w:p>
    <w:p w14:paraId="27F7C8D4" w14:textId="77777777" w:rsidR="00506005" w:rsidRPr="00CC4CE5" w:rsidRDefault="00506005" w:rsidP="00212625">
      <w:pPr>
        <w:spacing w:line="276" w:lineRule="auto"/>
        <w:jc w:val="both"/>
        <w:rPr>
          <w:rFonts w:ascii="Trebuchet MS" w:hAnsi="Trebuchet MS"/>
          <w:sz w:val="22"/>
          <w:szCs w:val="22"/>
          <w:lang w:val="lt-LT"/>
        </w:rPr>
      </w:pPr>
    </w:p>
    <w:p w14:paraId="221C5075" w14:textId="77777777" w:rsidR="00506005" w:rsidRPr="00CC4CE5" w:rsidRDefault="00506005" w:rsidP="00212625">
      <w:pPr>
        <w:spacing w:line="276" w:lineRule="auto"/>
        <w:jc w:val="both"/>
        <w:rPr>
          <w:rFonts w:ascii="Trebuchet MS" w:hAnsi="Trebuchet MS"/>
          <w:sz w:val="22"/>
          <w:szCs w:val="22"/>
          <w:lang w:val="lt-LT"/>
        </w:rPr>
      </w:pPr>
    </w:p>
    <w:p w14:paraId="53349718" w14:textId="77777777" w:rsidR="00506005" w:rsidRPr="00CC4CE5" w:rsidRDefault="00506005" w:rsidP="00212625">
      <w:pPr>
        <w:spacing w:line="276" w:lineRule="auto"/>
        <w:jc w:val="both"/>
        <w:rPr>
          <w:rFonts w:ascii="Trebuchet MS" w:hAnsi="Trebuchet MS"/>
          <w:sz w:val="22"/>
          <w:szCs w:val="22"/>
          <w:lang w:val="lt-LT"/>
        </w:rPr>
      </w:pPr>
    </w:p>
    <w:p w14:paraId="3245F331" w14:textId="77777777" w:rsidR="00506005" w:rsidRPr="00CC4CE5" w:rsidRDefault="00506005" w:rsidP="00212625">
      <w:pPr>
        <w:spacing w:line="276" w:lineRule="auto"/>
        <w:jc w:val="both"/>
        <w:rPr>
          <w:rFonts w:ascii="Trebuchet MS" w:hAnsi="Trebuchet MS"/>
          <w:sz w:val="22"/>
          <w:szCs w:val="22"/>
          <w:lang w:val="lt-LT"/>
        </w:rPr>
      </w:pPr>
    </w:p>
    <w:p w14:paraId="58119FE8" w14:textId="77777777" w:rsidR="00506005" w:rsidRPr="00CC4CE5" w:rsidRDefault="00506005" w:rsidP="00212625">
      <w:pPr>
        <w:spacing w:line="276" w:lineRule="auto"/>
        <w:jc w:val="both"/>
        <w:rPr>
          <w:rFonts w:ascii="Trebuchet MS" w:hAnsi="Trebuchet MS"/>
          <w:sz w:val="22"/>
          <w:szCs w:val="22"/>
          <w:lang w:val="lt-LT"/>
        </w:rPr>
      </w:pPr>
    </w:p>
    <w:p w14:paraId="5A82C076" w14:textId="77777777" w:rsidR="00506005" w:rsidRPr="00CC4CE5" w:rsidRDefault="00506005" w:rsidP="00212625">
      <w:pPr>
        <w:spacing w:line="276" w:lineRule="auto"/>
        <w:jc w:val="both"/>
        <w:rPr>
          <w:rFonts w:ascii="Trebuchet MS" w:hAnsi="Trebuchet MS"/>
          <w:sz w:val="22"/>
          <w:szCs w:val="22"/>
          <w:lang w:val="lt-LT"/>
        </w:rPr>
      </w:pPr>
    </w:p>
    <w:p w14:paraId="573109E8" w14:textId="77777777" w:rsidR="00506005" w:rsidRPr="00CC4CE5" w:rsidRDefault="00506005" w:rsidP="00212625">
      <w:pPr>
        <w:spacing w:line="276" w:lineRule="auto"/>
        <w:jc w:val="both"/>
        <w:rPr>
          <w:rFonts w:ascii="Trebuchet MS" w:hAnsi="Trebuchet MS"/>
          <w:sz w:val="22"/>
          <w:szCs w:val="22"/>
          <w:lang w:val="lt-LT"/>
        </w:rPr>
      </w:pPr>
    </w:p>
    <w:p w14:paraId="6D86A777" w14:textId="77777777" w:rsidR="00506005" w:rsidRPr="00CC4CE5" w:rsidRDefault="00506005" w:rsidP="00212625">
      <w:pPr>
        <w:spacing w:line="276" w:lineRule="auto"/>
        <w:jc w:val="both"/>
        <w:rPr>
          <w:rFonts w:ascii="Trebuchet MS" w:hAnsi="Trebuchet MS"/>
          <w:sz w:val="22"/>
          <w:szCs w:val="22"/>
          <w:lang w:val="lt-LT"/>
        </w:rPr>
      </w:pPr>
    </w:p>
    <w:p w14:paraId="07BF8D6C" w14:textId="77777777" w:rsidR="00506005" w:rsidRPr="00CC4CE5" w:rsidRDefault="00506005" w:rsidP="00212625">
      <w:pPr>
        <w:spacing w:line="276" w:lineRule="auto"/>
        <w:jc w:val="both"/>
        <w:rPr>
          <w:rFonts w:ascii="Trebuchet MS" w:hAnsi="Trebuchet MS"/>
          <w:sz w:val="22"/>
          <w:szCs w:val="22"/>
          <w:lang w:val="lt-LT"/>
        </w:rPr>
      </w:pPr>
    </w:p>
    <w:p w14:paraId="72FB77EA" w14:textId="77777777" w:rsidR="00506005" w:rsidRPr="00CC4CE5" w:rsidRDefault="00506005" w:rsidP="00212625">
      <w:pPr>
        <w:spacing w:line="276" w:lineRule="auto"/>
        <w:jc w:val="both"/>
        <w:rPr>
          <w:rFonts w:ascii="Trebuchet MS" w:hAnsi="Trebuchet MS"/>
          <w:sz w:val="22"/>
          <w:szCs w:val="22"/>
          <w:lang w:val="lt-LT"/>
        </w:rPr>
      </w:pPr>
    </w:p>
    <w:p w14:paraId="4C02E7B8" w14:textId="7978205D" w:rsidR="00506005" w:rsidRPr="00CC4CE5" w:rsidRDefault="00506005" w:rsidP="00506005">
      <w:pPr>
        <w:spacing w:line="276" w:lineRule="auto"/>
        <w:rPr>
          <w:rFonts w:ascii="Trebuchet MS" w:hAnsi="Trebuchet MS"/>
          <w:b/>
          <w:bCs/>
          <w:sz w:val="22"/>
          <w:szCs w:val="22"/>
          <w:lang w:val="lt-LT"/>
        </w:rPr>
      </w:pPr>
      <w:r w:rsidRPr="00CC4CE5">
        <w:rPr>
          <w:rFonts w:ascii="Trebuchet MS" w:hAnsi="Trebuchet MS"/>
          <w:b/>
          <w:bCs/>
          <w:sz w:val="22"/>
          <w:szCs w:val="22"/>
          <w:lang w:val="lt-LT"/>
        </w:rPr>
        <w:lastRenderedPageBreak/>
        <w:t xml:space="preserve">3 Priedas. </w:t>
      </w:r>
      <w:r w:rsidR="003768EF" w:rsidRPr="00CC4CE5">
        <w:rPr>
          <w:rFonts w:ascii="Trebuchet MS" w:hAnsi="Trebuchet MS"/>
          <w:b/>
          <w:bCs/>
          <w:sz w:val="22"/>
          <w:szCs w:val="22"/>
          <w:lang w:val="lt-LT"/>
        </w:rPr>
        <w:t>Duomenų migravimo paslaugos</w:t>
      </w:r>
    </w:p>
    <w:p w14:paraId="5342FD79" w14:textId="1F9FB3C7" w:rsidR="00506005" w:rsidRPr="00CC4CE5" w:rsidRDefault="00F10C6F" w:rsidP="00212625">
      <w:pPr>
        <w:spacing w:line="276" w:lineRule="auto"/>
        <w:jc w:val="both"/>
        <w:rPr>
          <w:rFonts w:ascii="Trebuchet MS" w:hAnsi="Trebuchet MS"/>
          <w:sz w:val="22"/>
          <w:szCs w:val="22"/>
          <w:lang w:val="lt-LT"/>
        </w:rPr>
      </w:pPr>
      <w:r w:rsidRPr="00CC4CE5">
        <w:rPr>
          <w:rFonts w:ascii="Trebuchet MS" w:hAnsi="Trebuchet MS"/>
          <w:sz w:val="22"/>
          <w:szCs w:val="22"/>
          <w:lang w:val="lt-LT"/>
        </w:rPr>
        <w:t xml:space="preserve">Šiame skyriuje nustatomi esamų projektų ir su jais susijusių duomenų migravimo į naują CDE reikalavimai. Migravimas vykdomas į pagal 2 skyriaus reikalavimus sukonfigūruotą CDE, išlaikant šiame skyriuje nustatytą duomenų apimtį, jų tarpusavio ryšius ir galimybę tęsti darbą naujoje CDE. </w:t>
      </w:r>
    </w:p>
    <w:p w14:paraId="2594A831" w14:textId="1D0A9CE7" w:rsidR="003F69ED" w:rsidRPr="00CC4CE5" w:rsidRDefault="003F69ED" w:rsidP="00212625">
      <w:pPr>
        <w:spacing w:line="276" w:lineRule="auto"/>
        <w:jc w:val="both"/>
        <w:rPr>
          <w:rFonts w:ascii="Trebuchet MS" w:hAnsi="Trebuchet MS"/>
          <w:sz w:val="22"/>
          <w:szCs w:val="22"/>
          <w:lang w:val="lt-LT"/>
        </w:rPr>
      </w:pPr>
      <w:r w:rsidRPr="00CC4CE5">
        <w:rPr>
          <w:rFonts w:ascii="Trebuchet MS" w:hAnsi="Trebuchet MS"/>
          <w:sz w:val="22"/>
          <w:szCs w:val="22"/>
          <w:lang w:val="lt-LT"/>
        </w:rPr>
        <w:t>Nurodyta duomenų apimtis apima ne tik dokumentus ir failus, bet ir su projektais susijusias jų versijas, metaduomenis, pastabas, komentarus, užduotis, procesų informaciją, erdvinių vietų duomenis ir kitus šiame skyriuje nurodytus migracijos objektus. Tiekėjas pasiūlymo kainoje turi įvertinti visų šių duomenų perkėlimą visiems į migracijos apimtį įtrauktiems projektams.</w:t>
      </w:r>
    </w:p>
    <w:p w14:paraId="792CBBDC" w14:textId="526A7B9E" w:rsidR="00584C06" w:rsidRPr="00CC4CE5" w:rsidRDefault="00490070" w:rsidP="00212625">
      <w:pPr>
        <w:spacing w:line="276" w:lineRule="auto"/>
        <w:jc w:val="both"/>
        <w:rPr>
          <w:rFonts w:ascii="Trebuchet MS" w:hAnsi="Trebuchet MS"/>
          <w:sz w:val="22"/>
          <w:szCs w:val="22"/>
          <w:lang w:val="lt-LT"/>
        </w:rPr>
      </w:pPr>
      <w:r w:rsidRPr="00CC4CE5">
        <w:rPr>
          <w:rFonts w:ascii="Trebuchet MS" w:hAnsi="Trebuchet MS"/>
          <w:sz w:val="22"/>
          <w:szCs w:val="22"/>
          <w:lang w:val="lt-LT"/>
        </w:rPr>
        <w:t xml:space="preserve">Migracijos šaltinio sistema – šiuo metu Užsakovo naudojama </w:t>
      </w:r>
      <w:proofErr w:type="spellStart"/>
      <w:r w:rsidRPr="00CC4CE5">
        <w:rPr>
          <w:rFonts w:ascii="Trebuchet MS" w:hAnsi="Trebuchet MS"/>
          <w:sz w:val="22"/>
          <w:szCs w:val="22"/>
          <w:lang w:val="lt-LT"/>
        </w:rPr>
        <w:t>Dalux</w:t>
      </w:r>
      <w:proofErr w:type="spellEnd"/>
      <w:r w:rsidRPr="00CC4CE5">
        <w:rPr>
          <w:rFonts w:ascii="Trebuchet MS" w:hAnsi="Trebuchet MS"/>
          <w:sz w:val="22"/>
          <w:szCs w:val="22"/>
          <w:lang w:val="lt-LT"/>
        </w:rPr>
        <w:t xml:space="preserve"> CDE. Migruojami duomenys saugomi </w:t>
      </w:r>
      <w:proofErr w:type="spellStart"/>
      <w:r w:rsidRPr="00CC4CE5">
        <w:rPr>
          <w:rFonts w:ascii="Trebuchet MS" w:hAnsi="Trebuchet MS"/>
          <w:sz w:val="22"/>
          <w:szCs w:val="22"/>
          <w:lang w:val="lt-LT"/>
        </w:rPr>
        <w:t>Dalux</w:t>
      </w:r>
      <w:proofErr w:type="spellEnd"/>
      <w:r w:rsidRPr="00CC4CE5">
        <w:rPr>
          <w:rFonts w:ascii="Trebuchet MS" w:hAnsi="Trebuchet MS"/>
          <w:sz w:val="22"/>
          <w:szCs w:val="22"/>
          <w:lang w:val="lt-LT"/>
        </w:rPr>
        <w:t xml:space="preserve"> </w:t>
      </w:r>
      <w:proofErr w:type="spellStart"/>
      <w:r w:rsidRPr="00CC4CE5">
        <w:rPr>
          <w:rFonts w:ascii="Trebuchet MS" w:hAnsi="Trebuchet MS"/>
          <w:sz w:val="22"/>
          <w:szCs w:val="22"/>
          <w:lang w:val="lt-LT"/>
        </w:rPr>
        <w:t>Box</w:t>
      </w:r>
      <w:proofErr w:type="spellEnd"/>
      <w:r w:rsidRPr="00CC4CE5">
        <w:rPr>
          <w:rFonts w:ascii="Trebuchet MS" w:hAnsi="Trebuchet MS"/>
          <w:sz w:val="22"/>
          <w:szCs w:val="22"/>
          <w:lang w:val="lt-LT"/>
        </w:rPr>
        <w:t xml:space="preserve">, </w:t>
      </w:r>
      <w:proofErr w:type="spellStart"/>
      <w:r w:rsidRPr="00CC4CE5">
        <w:rPr>
          <w:rFonts w:ascii="Trebuchet MS" w:hAnsi="Trebuchet MS"/>
          <w:sz w:val="22"/>
          <w:szCs w:val="22"/>
          <w:lang w:val="lt-LT"/>
        </w:rPr>
        <w:t>InfraField</w:t>
      </w:r>
      <w:proofErr w:type="spellEnd"/>
      <w:r w:rsidRPr="00CC4CE5">
        <w:rPr>
          <w:rFonts w:ascii="Trebuchet MS" w:hAnsi="Trebuchet MS"/>
          <w:sz w:val="22"/>
          <w:szCs w:val="22"/>
          <w:lang w:val="lt-LT"/>
        </w:rPr>
        <w:t xml:space="preserve"> ir projektų erdvinių vietų funkcionalumuose. </w:t>
      </w:r>
      <w:proofErr w:type="spellStart"/>
      <w:r w:rsidRPr="00CC4CE5">
        <w:rPr>
          <w:rFonts w:ascii="Trebuchet MS" w:hAnsi="Trebuchet MS"/>
          <w:sz w:val="22"/>
          <w:szCs w:val="22"/>
          <w:lang w:val="lt-LT"/>
        </w:rPr>
        <w:t>Dalux</w:t>
      </w:r>
      <w:proofErr w:type="spellEnd"/>
      <w:r w:rsidRPr="00CC4CE5">
        <w:rPr>
          <w:rFonts w:ascii="Trebuchet MS" w:hAnsi="Trebuchet MS"/>
          <w:sz w:val="22"/>
          <w:szCs w:val="22"/>
          <w:lang w:val="lt-LT"/>
        </w:rPr>
        <w:t xml:space="preserve"> pavadinimas nurodomas tik esamai migracijos šaltinio sistemai identifikuoti ir nenustato reikalavimo siūlomai CDE.</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
        <w:gridCol w:w="2700"/>
        <w:gridCol w:w="5549"/>
        <w:gridCol w:w="2835"/>
        <w:gridCol w:w="3119"/>
      </w:tblGrid>
      <w:tr w:rsidR="009F0D1F" w:rsidRPr="00CC4CE5" w14:paraId="0DBDBBF0" w14:textId="77777777" w:rsidTr="009F0D1F">
        <w:trPr>
          <w:trHeight w:val="290"/>
        </w:trPr>
        <w:tc>
          <w:tcPr>
            <w:tcW w:w="960" w:type="dxa"/>
            <w:vAlign w:val="center"/>
            <w:hideMark/>
          </w:tcPr>
          <w:p w14:paraId="4D1DC47C" w14:textId="77777777" w:rsidR="009F0D1F" w:rsidRPr="00CC4CE5" w:rsidRDefault="009F0D1F">
            <w:pPr>
              <w:jc w:val="center"/>
              <w:rPr>
                <w:rFonts w:ascii="Aptos Narrow" w:hAnsi="Aptos Narrow"/>
                <w:b/>
                <w:bCs/>
                <w:color w:val="000000"/>
                <w:sz w:val="22"/>
                <w:szCs w:val="22"/>
                <w:lang w:val="lt-LT" w:eastAsia="lt-LT"/>
              </w:rPr>
            </w:pPr>
            <w:r w:rsidRPr="00CC4CE5">
              <w:rPr>
                <w:rFonts w:ascii="Aptos Narrow" w:hAnsi="Aptos Narrow"/>
                <w:b/>
                <w:bCs/>
                <w:color w:val="000000"/>
                <w:sz w:val="22"/>
                <w:szCs w:val="22"/>
                <w:lang w:val="lt-LT"/>
              </w:rPr>
              <w:t>Nr.</w:t>
            </w:r>
          </w:p>
        </w:tc>
        <w:tc>
          <w:tcPr>
            <w:tcW w:w="2700" w:type="dxa"/>
            <w:vAlign w:val="center"/>
            <w:hideMark/>
          </w:tcPr>
          <w:p w14:paraId="0A07ABCE" w14:textId="77777777" w:rsidR="009F0D1F" w:rsidRPr="00CC4CE5" w:rsidRDefault="009F0D1F">
            <w:pPr>
              <w:jc w:val="center"/>
              <w:rPr>
                <w:rFonts w:ascii="Aptos Narrow" w:hAnsi="Aptos Narrow"/>
                <w:b/>
                <w:bCs/>
                <w:color w:val="000000"/>
                <w:sz w:val="22"/>
                <w:szCs w:val="22"/>
                <w:lang w:val="lt-LT"/>
              </w:rPr>
            </w:pPr>
            <w:r w:rsidRPr="00CC4CE5">
              <w:rPr>
                <w:rFonts w:ascii="Aptos Narrow" w:hAnsi="Aptos Narrow"/>
                <w:b/>
                <w:bCs/>
                <w:color w:val="000000"/>
                <w:sz w:val="22"/>
                <w:szCs w:val="22"/>
                <w:lang w:val="lt-LT"/>
              </w:rPr>
              <w:t>Migracijos objektas</w:t>
            </w:r>
          </w:p>
        </w:tc>
        <w:tc>
          <w:tcPr>
            <w:tcW w:w="5549" w:type="dxa"/>
            <w:vAlign w:val="center"/>
            <w:hideMark/>
          </w:tcPr>
          <w:p w14:paraId="6356C0BF" w14:textId="77777777" w:rsidR="009F0D1F" w:rsidRPr="00CC4CE5" w:rsidRDefault="009F0D1F">
            <w:pPr>
              <w:jc w:val="center"/>
              <w:rPr>
                <w:rFonts w:ascii="Aptos Narrow" w:hAnsi="Aptos Narrow"/>
                <w:b/>
                <w:bCs/>
                <w:color w:val="000000"/>
                <w:sz w:val="22"/>
                <w:szCs w:val="22"/>
                <w:lang w:val="lt-LT"/>
              </w:rPr>
            </w:pPr>
            <w:r w:rsidRPr="00CC4CE5">
              <w:rPr>
                <w:rFonts w:ascii="Aptos Narrow" w:hAnsi="Aptos Narrow"/>
                <w:b/>
                <w:bCs/>
                <w:color w:val="000000"/>
                <w:sz w:val="22"/>
                <w:szCs w:val="22"/>
                <w:lang w:val="lt-LT"/>
              </w:rPr>
              <w:t>Reikalavimas</w:t>
            </w:r>
          </w:p>
        </w:tc>
        <w:tc>
          <w:tcPr>
            <w:tcW w:w="2835" w:type="dxa"/>
            <w:vAlign w:val="center"/>
            <w:hideMark/>
          </w:tcPr>
          <w:p w14:paraId="122D4119" w14:textId="77777777" w:rsidR="009F0D1F" w:rsidRPr="00CC4CE5" w:rsidRDefault="009F0D1F">
            <w:pPr>
              <w:jc w:val="center"/>
              <w:rPr>
                <w:rFonts w:ascii="Aptos Narrow" w:hAnsi="Aptos Narrow"/>
                <w:b/>
                <w:bCs/>
                <w:color w:val="000000"/>
                <w:sz w:val="22"/>
                <w:szCs w:val="22"/>
                <w:lang w:val="lt-LT"/>
              </w:rPr>
            </w:pPr>
            <w:r w:rsidRPr="00CC4CE5">
              <w:rPr>
                <w:rFonts w:ascii="Aptos Narrow" w:hAnsi="Aptos Narrow"/>
                <w:b/>
                <w:bCs/>
                <w:color w:val="000000"/>
                <w:sz w:val="22"/>
                <w:szCs w:val="22"/>
                <w:lang w:val="lt-LT"/>
              </w:rPr>
              <w:t>Paslaugos apimtis</w:t>
            </w:r>
          </w:p>
        </w:tc>
        <w:tc>
          <w:tcPr>
            <w:tcW w:w="3119" w:type="dxa"/>
            <w:vAlign w:val="center"/>
            <w:hideMark/>
          </w:tcPr>
          <w:p w14:paraId="6D270A29" w14:textId="77777777" w:rsidR="009F0D1F" w:rsidRPr="00CC4CE5" w:rsidRDefault="009F0D1F">
            <w:pPr>
              <w:jc w:val="center"/>
              <w:rPr>
                <w:rFonts w:ascii="Aptos Narrow" w:hAnsi="Aptos Narrow"/>
                <w:b/>
                <w:bCs/>
                <w:color w:val="000000"/>
                <w:sz w:val="22"/>
                <w:szCs w:val="22"/>
                <w:lang w:val="lt-LT"/>
              </w:rPr>
            </w:pPr>
            <w:r w:rsidRPr="00CC4CE5">
              <w:rPr>
                <w:rFonts w:ascii="Aptos Narrow" w:hAnsi="Aptos Narrow"/>
                <w:b/>
                <w:bCs/>
                <w:color w:val="000000"/>
                <w:sz w:val="22"/>
                <w:szCs w:val="22"/>
                <w:lang w:val="lt-LT"/>
              </w:rPr>
              <w:t>Priėmimo kriterijus</w:t>
            </w:r>
          </w:p>
        </w:tc>
      </w:tr>
      <w:tr w:rsidR="009F0D1F" w:rsidRPr="00CC4CE5" w14:paraId="7ED5787B" w14:textId="77777777" w:rsidTr="009F0D1F">
        <w:trPr>
          <w:trHeight w:val="2900"/>
        </w:trPr>
        <w:tc>
          <w:tcPr>
            <w:tcW w:w="960" w:type="dxa"/>
            <w:vAlign w:val="center"/>
            <w:hideMark/>
          </w:tcPr>
          <w:p w14:paraId="42DF8F2C" w14:textId="77777777" w:rsidR="009F0D1F" w:rsidRPr="00CC4CE5" w:rsidRDefault="009F0D1F">
            <w:pPr>
              <w:rPr>
                <w:rFonts w:ascii="Aptos Narrow" w:hAnsi="Aptos Narrow"/>
                <w:b/>
                <w:bCs/>
                <w:color w:val="000000"/>
                <w:sz w:val="22"/>
                <w:szCs w:val="22"/>
                <w:lang w:val="lt-LT"/>
              </w:rPr>
            </w:pPr>
            <w:r w:rsidRPr="00CC4CE5">
              <w:rPr>
                <w:rFonts w:ascii="Aptos Narrow" w:hAnsi="Aptos Narrow"/>
                <w:b/>
                <w:bCs/>
                <w:color w:val="000000"/>
                <w:sz w:val="22"/>
                <w:szCs w:val="22"/>
                <w:lang w:val="lt-LT"/>
              </w:rPr>
              <w:t>3.1</w:t>
            </w:r>
          </w:p>
        </w:tc>
        <w:tc>
          <w:tcPr>
            <w:tcW w:w="2700" w:type="dxa"/>
            <w:vAlign w:val="center"/>
            <w:hideMark/>
          </w:tcPr>
          <w:p w14:paraId="1584728A" w14:textId="77777777" w:rsidR="009F0D1F" w:rsidRPr="00CC4CE5" w:rsidRDefault="009F0D1F">
            <w:pPr>
              <w:rPr>
                <w:rFonts w:ascii="Aptos Narrow" w:hAnsi="Aptos Narrow"/>
                <w:b/>
                <w:bCs/>
                <w:color w:val="000000"/>
                <w:sz w:val="22"/>
                <w:szCs w:val="22"/>
                <w:lang w:val="lt-LT"/>
              </w:rPr>
            </w:pPr>
            <w:r w:rsidRPr="00CC4CE5">
              <w:rPr>
                <w:rFonts w:ascii="Aptos Narrow" w:hAnsi="Aptos Narrow"/>
                <w:b/>
                <w:bCs/>
                <w:color w:val="000000"/>
                <w:sz w:val="22"/>
                <w:szCs w:val="22"/>
                <w:lang w:val="lt-LT"/>
              </w:rPr>
              <w:t>Bendrieji migracijos reikalavimai</w:t>
            </w:r>
          </w:p>
        </w:tc>
        <w:tc>
          <w:tcPr>
            <w:tcW w:w="5549" w:type="dxa"/>
            <w:vAlign w:val="center"/>
            <w:hideMark/>
          </w:tcPr>
          <w:p w14:paraId="152ACCA9" w14:textId="77777777" w:rsidR="009F0D1F" w:rsidRPr="00CC4CE5" w:rsidRDefault="009F0D1F">
            <w:pPr>
              <w:rPr>
                <w:rFonts w:ascii="Aptos Narrow" w:hAnsi="Aptos Narrow"/>
                <w:color w:val="000000"/>
                <w:sz w:val="22"/>
                <w:szCs w:val="22"/>
                <w:lang w:val="lt-LT"/>
              </w:rPr>
            </w:pPr>
            <w:r w:rsidRPr="00CC4CE5">
              <w:rPr>
                <w:rFonts w:ascii="Aptos Narrow" w:hAnsi="Aptos Narrow"/>
                <w:color w:val="000000"/>
                <w:sz w:val="22"/>
                <w:szCs w:val="22"/>
                <w:lang w:val="lt-LT"/>
              </w:rPr>
              <w:t>Tiekėjas turi perkelti Užsakovo esamus projektus iš šiuo metu naudojamos CDE į naują CDE, išsaugant visus projekto dokumentus / failus, jų versijas, su jais susijusią informaciją, tarpusavio ryšius ir atsekamumą. Projektai turi būti perkeliami ne kaip archyvinės kopijos, o kaip aktyvūs projektai, kuriuose naudotojai po migracijos gali tęsti darbą nuo migracijos momentu aktualios projekto būsenos. Visa šiame skyriuje nustatyta migracijos paslaugų apimtis turi būti įtraukta į pasiūlymo kainą.</w:t>
            </w:r>
          </w:p>
        </w:tc>
        <w:tc>
          <w:tcPr>
            <w:tcW w:w="2835" w:type="dxa"/>
            <w:vAlign w:val="center"/>
            <w:hideMark/>
          </w:tcPr>
          <w:p w14:paraId="25FA2F89" w14:textId="77777777" w:rsidR="009F0D1F" w:rsidRPr="00CC4CE5" w:rsidRDefault="009F0D1F">
            <w:pPr>
              <w:rPr>
                <w:rFonts w:ascii="Aptos Narrow" w:hAnsi="Aptos Narrow"/>
                <w:color w:val="000000"/>
                <w:sz w:val="22"/>
                <w:szCs w:val="22"/>
                <w:lang w:val="lt-LT"/>
              </w:rPr>
            </w:pPr>
            <w:r w:rsidRPr="00CC4CE5">
              <w:rPr>
                <w:rFonts w:ascii="Aptos Narrow" w:hAnsi="Aptos Narrow"/>
                <w:color w:val="000000"/>
                <w:sz w:val="22"/>
                <w:szCs w:val="22"/>
                <w:lang w:val="lt-LT"/>
              </w:rPr>
              <w:t>Iki 70 projektų; preliminari bendra migruojamų duomenų apimtis – iki 1 TB</w:t>
            </w:r>
          </w:p>
        </w:tc>
        <w:tc>
          <w:tcPr>
            <w:tcW w:w="3119" w:type="dxa"/>
            <w:vAlign w:val="center"/>
            <w:hideMark/>
          </w:tcPr>
          <w:p w14:paraId="09FE60D5" w14:textId="77777777" w:rsidR="009F0D1F" w:rsidRPr="00CC4CE5" w:rsidRDefault="009F0D1F">
            <w:pPr>
              <w:rPr>
                <w:rFonts w:ascii="Aptos Narrow" w:hAnsi="Aptos Narrow"/>
                <w:color w:val="000000"/>
                <w:sz w:val="22"/>
                <w:szCs w:val="22"/>
                <w:lang w:val="lt-LT"/>
              </w:rPr>
            </w:pPr>
            <w:r w:rsidRPr="00CC4CE5">
              <w:rPr>
                <w:rFonts w:ascii="Aptos Narrow" w:hAnsi="Aptos Narrow"/>
                <w:color w:val="000000"/>
                <w:sz w:val="22"/>
                <w:szCs w:val="22"/>
                <w:lang w:val="lt-LT"/>
              </w:rPr>
              <w:t>Atitiktis vertinama pagal atskirų šio skyriaus punktų priėmimo kriterijus.</w:t>
            </w:r>
          </w:p>
        </w:tc>
      </w:tr>
      <w:tr w:rsidR="009F0D1F" w:rsidRPr="005A629B" w14:paraId="1A4265E0" w14:textId="77777777" w:rsidTr="009F0D1F">
        <w:trPr>
          <w:trHeight w:val="2900"/>
        </w:trPr>
        <w:tc>
          <w:tcPr>
            <w:tcW w:w="960" w:type="dxa"/>
            <w:vAlign w:val="center"/>
            <w:hideMark/>
          </w:tcPr>
          <w:p w14:paraId="5E7C1439" w14:textId="77777777" w:rsidR="009F0D1F" w:rsidRPr="00CC4CE5" w:rsidRDefault="009F0D1F">
            <w:pPr>
              <w:rPr>
                <w:rFonts w:ascii="Aptos Narrow" w:hAnsi="Aptos Narrow"/>
                <w:b/>
                <w:bCs/>
                <w:color w:val="000000"/>
                <w:sz w:val="22"/>
                <w:szCs w:val="22"/>
                <w:lang w:val="lt-LT"/>
              </w:rPr>
            </w:pPr>
            <w:r w:rsidRPr="00CC4CE5">
              <w:rPr>
                <w:rFonts w:ascii="Aptos Narrow" w:hAnsi="Aptos Narrow"/>
                <w:b/>
                <w:bCs/>
                <w:color w:val="000000"/>
                <w:sz w:val="22"/>
                <w:szCs w:val="22"/>
                <w:lang w:val="lt-LT"/>
              </w:rPr>
              <w:t>3.2</w:t>
            </w:r>
          </w:p>
        </w:tc>
        <w:tc>
          <w:tcPr>
            <w:tcW w:w="2700" w:type="dxa"/>
            <w:vAlign w:val="center"/>
            <w:hideMark/>
          </w:tcPr>
          <w:p w14:paraId="5920AD31" w14:textId="77777777" w:rsidR="009F0D1F" w:rsidRPr="00CC4CE5" w:rsidRDefault="009F0D1F">
            <w:pPr>
              <w:rPr>
                <w:rFonts w:ascii="Aptos Narrow" w:hAnsi="Aptos Narrow"/>
                <w:b/>
                <w:bCs/>
                <w:color w:val="000000"/>
                <w:sz w:val="22"/>
                <w:szCs w:val="22"/>
                <w:lang w:val="lt-LT"/>
              </w:rPr>
            </w:pPr>
            <w:r w:rsidRPr="00CC4CE5">
              <w:rPr>
                <w:rFonts w:ascii="Aptos Narrow" w:hAnsi="Aptos Narrow"/>
                <w:b/>
                <w:bCs/>
                <w:color w:val="000000"/>
                <w:sz w:val="22"/>
                <w:szCs w:val="22"/>
                <w:lang w:val="lt-LT"/>
              </w:rPr>
              <w:t>Migracijos vykdymo sąlyga</w:t>
            </w:r>
          </w:p>
        </w:tc>
        <w:tc>
          <w:tcPr>
            <w:tcW w:w="5549" w:type="dxa"/>
            <w:vAlign w:val="center"/>
            <w:hideMark/>
          </w:tcPr>
          <w:p w14:paraId="55A10C83" w14:textId="77777777" w:rsidR="009F0D1F" w:rsidRPr="00CC4CE5" w:rsidRDefault="009F0D1F">
            <w:pPr>
              <w:rPr>
                <w:rFonts w:ascii="Aptos Narrow" w:hAnsi="Aptos Narrow"/>
                <w:color w:val="000000"/>
                <w:sz w:val="22"/>
                <w:szCs w:val="22"/>
                <w:lang w:val="lt-LT"/>
              </w:rPr>
            </w:pPr>
            <w:r w:rsidRPr="00CC4CE5">
              <w:rPr>
                <w:rFonts w:ascii="Aptos Narrow" w:hAnsi="Aptos Narrow"/>
                <w:color w:val="000000"/>
                <w:sz w:val="22"/>
                <w:szCs w:val="22"/>
                <w:lang w:val="lt-LT"/>
              </w:rPr>
              <w:t>Tiekėjas turi pradėti migracijos parengiamuosius darbus ne vėliau kaip per 5 darbo dienas nuo migracijai reikalingų prieigų prie šaltinio CDE ir informacijos gavimo. Migracijos parengiamieji darbai vykdomi lygiagrečiai su 2 skyriuje numatytu CDE konfigūravimu ir negali būti atidedami iki visos CDE konfigūracijos priėmimo. Kai konkrečiam duomenų migravimo etapui reikalinga CDE konfigūracijos dalis yra sukonfigūruota ir Užsakovo patvirtinta, Tiekėjas turi pradėti atitinkamų duomenų migravimą, jeigu tai netrukdo aktyviam darbui šaltinio CDE.</w:t>
            </w:r>
          </w:p>
        </w:tc>
        <w:tc>
          <w:tcPr>
            <w:tcW w:w="2835" w:type="dxa"/>
            <w:vAlign w:val="center"/>
            <w:hideMark/>
          </w:tcPr>
          <w:p w14:paraId="1E69E405" w14:textId="77777777" w:rsidR="009F0D1F" w:rsidRPr="00CC4CE5" w:rsidRDefault="009F0D1F">
            <w:pPr>
              <w:rPr>
                <w:rFonts w:ascii="Aptos Narrow" w:hAnsi="Aptos Narrow"/>
                <w:color w:val="000000"/>
                <w:sz w:val="22"/>
                <w:szCs w:val="22"/>
                <w:lang w:val="lt-LT"/>
              </w:rPr>
            </w:pPr>
            <w:r w:rsidRPr="00CC4CE5">
              <w:rPr>
                <w:rFonts w:ascii="Aptos Narrow" w:hAnsi="Aptos Narrow"/>
                <w:color w:val="000000"/>
                <w:sz w:val="22"/>
                <w:szCs w:val="22"/>
                <w:lang w:val="lt-LT"/>
              </w:rPr>
              <w:t>Taikoma visiems migruojamiems projektams.</w:t>
            </w:r>
          </w:p>
        </w:tc>
        <w:tc>
          <w:tcPr>
            <w:tcW w:w="3119" w:type="dxa"/>
            <w:vAlign w:val="center"/>
            <w:hideMark/>
          </w:tcPr>
          <w:p w14:paraId="5F5D52E8" w14:textId="77777777" w:rsidR="009F0D1F" w:rsidRPr="00CC4CE5" w:rsidRDefault="009F0D1F">
            <w:pPr>
              <w:rPr>
                <w:rFonts w:ascii="Aptos Narrow" w:hAnsi="Aptos Narrow"/>
                <w:color w:val="000000"/>
                <w:sz w:val="22"/>
                <w:szCs w:val="22"/>
                <w:lang w:val="lt-LT"/>
              </w:rPr>
            </w:pPr>
            <w:r w:rsidRPr="00CC4CE5">
              <w:rPr>
                <w:rFonts w:ascii="Aptos Narrow" w:hAnsi="Aptos Narrow"/>
                <w:color w:val="000000"/>
                <w:sz w:val="22"/>
                <w:szCs w:val="22"/>
                <w:lang w:val="lt-LT"/>
              </w:rPr>
              <w:t>Migracijos parengiamieji darbai pradėti nustatytu terminu, o duomenų migracija vykdoma etapais pagal patvirtintas CDE konfigūracijos dalis.</w:t>
            </w:r>
          </w:p>
        </w:tc>
      </w:tr>
      <w:tr w:rsidR="009F0D1F" w:rsidRPr="005A629B" w14:paraId="456449A6" w14:textId="77777777" w:rsidTr="009F0D1F">
        <w:trPr>
          <w:trHeight w:val="1740"/>
        </w:trPr>
        <w:tc>
          <w:tcPr>
            <w:tcW w:w="960" w:type="dxa"/>
            <w:vAlign w:val="center"/>
            <w:hideMark/>
          </w:tcPr>
          <w:p w14:paraId="004B02D1" w14:textId="77777777" w:rsidR="009F0D1F" w:rsidRPr="00CC4CE5" w:rsidRDefault="009F0D1F">
            <w:pPr>
              <w:rPr>
                <w:rFonts w:ascii="Aptos Narrow" w:hAnsi="Aptos Narrow"/>
                <w:b/>
                <w:bCs/>
                <w:color w:val="000000"/>
                <w:sz w:val="22"/>
                <w:szCs w:val="22"/>
                <w:lang w:val="lt-LT"/>
              </w:rPr>
            </w:pPr>
            <w:r w:rsidRPr="00CC4CE5">
              <w:rPr>
                <w:rFonts w:ascii="Aptos Narrow" w:hAnsi="Aptos Narrow"/>
                <w:b/>
                <w:bCs/>
                <w:color w:val="000000"/>
                <w:sz w:val="22"/>
                <w:szCs w:val="22"/>
                <w:lang w:val="lt-LT"/>
              </w:rPr>
              <w:lastRenderedPageBreak/>
              <w:t>3.3</w:t>
            </w:r>
          </w:p>
        </w:tc>
        <w:tc>
          <w:tcPr>
            <w:tcW w:w="2700" w:type="dxa"/>
            <w:vAlign w:val="center"/>
            <w:hideMark/>
          </w:tcPr>
          <w:p w14:paraId="58B7C77E" w14:textId="77777777" w:rsidR="009F0D1F" w:rsidRPr="00CC4CE5" w:rsidRDefault="009F0D1F">
            <w:pPr>
              <w:rPr>
                <w:rFonts w:ascii="Aptos Narrow" w:hAnsi="Aptos Narrow"/>
                <w:b/>
                <w:bCs/>
                <w:color w:val="000000"/>
                <w:sz w:val="22"/>
                <w:szCs w:val="22"/>
                <w:lang w:val="lt-LT"/>
              </w:rPr>
            </w:pPr>
            <w:r w:rsidRPr="00CC4CE5">
              <w:rPr>
                <w:rFonts w:ascii="Aptos Narrow" w:hAnsi="Aptos Narrow"/>
                <w:b/>
                <w:bCs/>
                <w:color w:val="000000"/>
                <w:sz w:val="22"/>
                <w:szCs w:val="22"/>
                <w:lang w:val="lt-LT"/>
              </w:rPr>
              <w:t>Migracijos parengties patikra</w:t>
            </w:r>
          </w:p>
        </w:tc>
        <w:tc>
          <w:tcPr>
            <w:tcW w:w="5549" w:type="dxa"/>
            <w:vAlign w:val="center"/>
            <w:hideMark/>
          </w:tcPr>
          <w:p w14:paraId="1D6D1620" w14:textId="77777777" w:rsidR="009F0D1F" w:rsidRPr="00CC4CE5" w:rsidRDefault="009F0D1F">
            <w:pPr>
              <w:rPr>
                <w:rFonts w:ascii="Aptos Narrow" w:hAnsi="Aptos Narrow"/>
                <w:color w:val="000000"/>
                <w:sz w:val="22"/>
                <w:szCs w:val="22"/>
                <w:lang w:val="lt-LT"/>
              </w:rPr>
            </w:pPr>
            <w:r w:rsidRPr="00CC4CE5">
              <w:rPr>
                <w:rFonts w:ascii="Aptos Narrow" w:hAnsi="Aptos Narrow"/>
                <w:color w:val="000000"/>
                <w:sz w:val="22"/>
                <w:szCs w:val="22"/>
                <w:lang w:val="lt-LT"/>
              </w:rPr>
              <w:t>Migracijos parengties patikra turi būti atliekama lygiagrečiai su 2 skyriuje numatytu CDE konfigūravimu. Nustačius duomenis, ryšius ar kitus elementus, kurių negalima tiesiogiai perkelti į siūlomą CDE, Tiekėjas turi nedelsdamas informuoti Užsakovą, pagrįsti apribojimą ir pasiūlyti lygiavertį perkėlimo būdą.</w:t>
            </w:r>
          </w:p>
        </w:tc>
        <w:tc>
          <w:tcPr>
            <w:tcW w:w="2835" w:type="dxa"/>
            <w:vAlign w:val="center"/>
            <w:hideMark/>
          </w:tcPr>
          <w:p w14:paraId="7CF69A52" w14:textId="77777777" w:rsidR="009F0D1F" w:rsidRPr="00CC4CE5" w:rsidRDefault="009F0D1F">
            <w:pPr>
              <w:rPr>
                <w:rFonts w:ascii="Aptos Narrow" w:hAnsi="Aptos Narrow"/>
                <w:color w:val="000000"/>
                <w:sz w:val="22"/>
                <w:szCs w:val="22"/>
                <w:lang w:val="lt-LT"/>
              </w:rPr>
            </w:pPr>
            <w:r w:rsidRPr="00CC4CE5">
              <w:rPr>
                <w:rFonts w:ascii="Aptos Narrow" w:hAnsi="Aptos Narrow"/>
                <w:color w:val="000000"/>
                <w:sz w:val="22"/>
                <w:szCs w:val="22"/>
                <w:lang w:val="lt-LT"/>
              </w:rPr>
              <w:t>Patikra turi apimti visus 3.5–3.14 punktuose nurodytus migracijos objektus.</w:t>
            </w:r>
          </w:p>
        </w:tc>
        <w:tc>
          <w:tcPr>
            <w:tcW w:w="3119" w:type="dxa"/>
            <w:vAlign w:val="center"/>
            <w:hideMark/>
          </w:tcPr>
          <w:p w14:paraId="1B8B2DAF" w14:textId="77777777" w:rsidR="009F0D1F" w:rsidRPr="00CC4CE5" w:rsidRDefault="009F0D1F">
            <w:pPr>
              <w:rPr>
                <w:rFonts w:ascii="Aptos Narrow" w:hAnsi="Aptos Narrow"/>
                <w:color w:val="000000"/>
                <w:sz w:val="22"/>
                <w:szCs w:val="22"/>
                <w:lang w:val="lt-LT"/>
              </w:rPr>
            </w:pPr>
            <w:r w:rsidRPr="00CC4CE5">
              <w:rPr>
                <w:rFonts w:ascii="Aptos Narrow" w:hAnsi="Aptos Narrow"/>
                <w:color w:val="000000"/>
                <w:sz w:val="22"/>
                <w:szCs w:val="22"/>
                <w:lang w:val="lt-LT"/>
              </w:rPr>
              <w:t>Visi nustatyti perkėlimo apribojimai identifikuoti, pagrįsti, o jų tvarkymo būdas raštu suderintas su Užsakovu.</w:t>
            </w:r>
          </w:p>
        </w:tc>
      </w:tr>
      <w:tr w:rsidR="009F0D1F" w:rsidRPr="005A629B" w14:paraId="403056CD" w14:textId="77777777" w:rsidTr="009F0D1F">
        <w:trPr>
          <w:trHeight w:val="2030"/>
        </w:trPr>
        <w:tc>
          <w:tcPr>
            <w:tcW w:w="960" w:type="dxa"/>
            <w:vAlign w:val="center"/>
            <w:hideMark/>
          </w:tcPr>
          <w:p w14:paraId="336A2C30" w14:textId="77777777" w:rsidR="009F0D1F" w:rsidRPr="00CC4CE5" w:rsidRDefault="009F0D1F">
            <w:pPr>
              <w:rPr>
                <w:rFonts w:ascii="Aptos Narrow" w:hAnsi="Aptos Narrow"/>
                <w:b/>
                <w:bCs/>
                <w:color w:val="000000"/>
                <w:sz w:val="22"/>
                <w:szCs w:val="22"/>
                <w:lang w:val="lt-LT"/>
              </w:rPr>
            </w:pPr>
            <w:r w:rsidRPr="00CC4CE5">
              <w:rPr>
                <w:rFonts w:ascii="Aptos Narrow" w:hAnsi="Aptos Narrow"/>
                <w:b/>
                <w:bCs/>
                <w:color w:val="000000"/>
                <w:sz w:val="22"/>
                <w:szCs w:val="22"/>
                <w:lang w:val="lt-LT"/>
              </w:rPr>
              <w:t>3.4</w:t>
            </w:r>
          </w:p>
        </w:tc>
        <w:tc>
          <w:tcPr>
            <w:tcW w:w="2700" w:type="dxa"/>
            <w:vAlign w:val="center"/>
            <w:hideMark/>
          </w:tcPr>
          <w:p w14:paraId="0B2E00D6" w14:textId="77777777" w:rsidR="009F0D1F" w:rsidRPr="00CC4CE5" w:rsidRDefault="009F0D1F">
            <w:pPr>
              <w:rPr>
                <w:rFonts w:ascii="Aptos Narrow" w:hAnsi="Aptos Narrow"/>
                <w:b/>
                <w:bCs/>
                <w:color w:val="000000"/>
                <w:sz w:val="22"/>
                <w:szCs w:val="22"/>
                <w:lang w:val="lt-LT"/>
              </w:rPr>
            </w:pPr>
            <w:r w:rsidRPr="00CC4CE5">
              <w:rPr>
                <w:rFonts w:ascii="Aptos Narrow" w:hAnsi="Aptos Narrow"/>
                <w:b/>
                <w:bCs/>
                <w:color w:val="000000"/>
                <w:sz w:val="22"/>
                <w:szCs w:val="22"/>
                <w:lang w:val="lt-LT"/>
              </w:rPr>
              <w:t>Duomenų perkėlimas į sukonfigūruotą CDE</w:t>
            </w:r>
          </w:p>
        </w:tc>
        <w:tc>
          <w:tcPr>
            <w:tcW w:w="5549" w:type="dxa"/>
            <w:vAlign w:val="center"/>
            <w:hideMark/>
          </w:tcPr>
          <w:p w14:paraId="7EE2CB95" w14:textId="77777777" w:rsidR="009F0D1F" w:rsidRPr="00CC4CE5" w:rsidRDefault="009F0D1F">
            <w:pPr>
              <w:rPr>
                <w:rFonts w:ascii="Aptos Narrow" w:hAnsi="Aptos Narrow"/>
                <w:color w:val="000000"/>
                <w:sz w:val="22"/>
                <w:szCs w:val="22"/>
                <w:lang w:val="lt-LT"/>
              </w:rPr>
            </w:pPr>
            <w:r w:rsidRPr="00CC4CE5">
              <w:rPr>
                <w:rFonts w:ascii="Aptos Narrow" w:hAnsi="Aptos Narrow"/>
                <w:color w:val="000000"/>
                <w:sz w:val="22"/>
                <w:szCs w:val="22"/>
                <w:lang w:val="lt-LT"/>
              </w:rPr>
              <w:t>Perkeliami projektų duomenys turi būti priskiriami pagal 2 skyrių jau sukonfigūruotoms aplankų / informacijos struktūroms, metaduomenų laukams, būsenoms, naudotojų grupėms, dokumentų valdymo ir statybos procesams bei kitiems taikomiems konfigūracijos elementams. Migracijos metu negali būti kuriami lygiagretūs ar besidubliuojantys konfigūracijos elementai.</w:t>
            </w:r>
          </w:p>
        </w:tc>
        <w:tc>
          <w:tcPr>
            <w:tcW w:w="2835" w:type="dxa"/>
            <w:vAlign w:val="center"/>
            <w:hideMark/>
          </w:tcPr>
          <w:p w14:paraId="5DA91C05" w14:textId="77777777" w:rsidR="009F0D1F" w:rsidRPr="00CC4CE5" w:rsidRDefault="009F0D1F">
            <w:pPr>
              <w:rPr>
                <w:rFonts w:ascii="Aptos Narrow" w:hAnsi="Aptos Narrow"/>
                <w:color w:val="000000"/>
                <w:sz w:val="22"/>
                <w:szCs w:val="22"/>
                <w:lang w:val="lt-LT"/>
              </w:rPr>
            </w:pPr>
            <w:r w:rsidRPr="00CC4CE5">
              <w:rPr>
                <w:rFonts w:ascii="Aptos Narrow" w:hAnsi="Aptos Narrow"/>
                <w:color w:val="000000"/>
                <w:sz w:val="22"/>
                <w:szCs w:val="22"/>
                <w:lang w:val="lt-LT"/>
              </w:rPr>
              <w:t>Taikoma visiems migruojamiems projektams ir jų duomenims.</w:t>
            </w:r>
          </w:p>
        </w:tc>
        <w:tc>
          <w:tcPr>
            <w:tcW w:w="3119" w:type="dxa"/>
            <w:vAlign w:val="center"/>
            <w:hideMark/>
          </w:tcPr>
          <w:p w14:paraId="3BA4E6A0" w14:textId="77777777" w:rsidR="009F0D1F" w:rsidRPr="00CC4CE5" w:rsidRDefault="009F0D1F">
            <w:pPr>
              <w:rPr>
                <w:rFonts w:ascii="Aptos Narrow" w:hAnsi="Aptos Narrow"/>
                <w:color w:val="000000"/>
                <w:sz w:val="22"/>
                <w:szCs w:val="22"/>
                <w:lang w:val="lt-LT"/>
              </w:rPr>
            </w:pPr>
            <w:r w:rsidRPr="00CC4CE5">
              <w:rPr>
                <w:rFonts w:ascii="Aptos Narrow" w:hAnsi="Aptos Narrow"/>
                <w:color w:val="000000"/>
                <w:sz w:val="22"/>
                <w:szCs w:val="22"/>
                <w:lang w:val="lt-LT"/>
              </w:rPr>
              <w:t>Patikrinta, kad migruoti duomenys naudojasi pagal 2 skyrių sukurta CDE konfigūracija ir nėra sukurta ją dubliuojanti projektų lygio konfigūracija.</w:t>
            </w:r>
          </w:p>
        </w:tc>
      </w:tr>
      <w:tr w:rsidR="009F0D1F" w:rsidRPr="005A629B" w14:paraId="5664725A" w14:textId="77777777" w:rsidTr="009F0D1F">
        <w:trPr>
          <w:trHeight w:val="2030"/>
        </w:trPr>
        <w:tc>
          <w:tcPr>
            <w:tcW w:w="960" w:type="dxa"/>
            <w:vAlign w:val="center"/>
            <w:hideMark/>
          </w:tcPr>
          <w:p w14:paraId="197EC5AD" w14:textId="77777777" w:rsidR="009F0D1F" w:rsidRPr="00CC4CE5" w:rsidRDefault="009F0D1F">
            <w:pPr>
              <w:rPr>
                <w:rFonts w:ascii="Aptos Narrow" w:hAnsi="Aptos Narrow"/>
                <w:b/>
                <w:bCs/>
                <w:color w:val="000000"/>
                <w:sz w:val="22"/>
                <w:szCs w:val="22"/>
                <w:lang w:val="lt-LT"/>
              </w:rPr>
            </w:pPr>
            <w:r w:rsidRPr="00CC4CE5">
              <w:rPr>
                <w:rFonts w:ascii="Aptos Narrow" w:hAnsi="Aptos Narrow"/>
                <w:b/>
                <w:bCs/>
                <w:color w:val="000000"/>
                <w:sz w:val="22"/>
                <w:szCs w:val="22"/>
                <w:lang w:val="lt-LT"/>
              </w:rPr>
              <w:t>3.5</w:t>
            </w:r>
          </w:p>
        </w:tc>
        <w:tc>
          <w:tcPr>
            <w:tcW w:w="2700" w:type="dxa"/>
            <w:vAlign w:val="center"/>
            <w:hideMark/>
          </w:tcPr>
          <w:p w14:paraId="2F72311A" w14:textId="77777777" w:rsidR="009F0D1F" w:rsidRPr="00CC4CE5" w:rsidRDefault="009F0D1F">
            <w:pPr>
              <w:rPr>
                <w:rFonts w:ascii="Aptos Narrow" w:hAnsi="Aptos Narrow"/>
                <w:b/>
                <w:bCs/>
                <w:color w:val="000000"/>
                <w:sz w:val="22"/>
                <w:szCs w:val="22"/>
                <w:lang w:val="lt-LT"/>
              </w:rPr>
            </w:pPr>
            <w:r w:rsidRPr="00CC4CE5">
              <w:rPr>
                <w:rFonts w:ascii="Aptos Narrow" w:hAnsi="Aptos Narrow"/>
                <w:b/>
                <w:bCs/>
                <w:color w:val="000000"/>
                <w:sz w:val="22"/>
                <w:szCs w:val="22"/>
                <w:lang w:val="lt-LT"/>
              </w:rPr>
              <w:t>Visų projekto dokumentų ir failų perkėlimas</w:t>
            </w:r>
          </w:p>
        </w:tc>
        <w:tc>
          <w:tcPr>
            <w:tcW w:w="5549" w:type="dxa"/>
            <w:vAlign w:val="center"/>
            <w:hideMark/>
          </w:tcPr>
          <w:p w14:paraId="4AD26F36" w14:textId="77777777" w:rsidR="009F0D1F" w:rsidRPr="00CC4CE5" w:rsidRDefault="009F0D1F">
            <w:pPr>
              <w:rPr>
                <w:rFonts w:ascii="Aptos Narrow" w:hAnsi="Aptos Narrow"/>
                <w:color w:val="000000"/>
                <w:sz w:val="22"/>
                <w:szCs w:val="22"/>
                <w:lang w:val="lt-LT"/>
              </w:rPr>
            </w:pPr>
            <w:r w:rsidRPr="00CC4CE5">
              <w:rPr>
                <w:rFonts w:ascii="Aptos Narrow" w:hAnsi="Aptos Narrow"/>
                <w:color w:val="000000"/>
                <w:sz w:val="22"/>
                <w:szCs w:val="22"/>
                <w:lang w:val="lt-LT"/>
              </w:rPr>
              <w:t>Turi būti perkelti visi migruojamuose projektuose esantys dokumentai ir failai, nepriklausomai nuo jų aktualumo, būsenos, projekto stadijos ar derinimo iteracijos. Failai turi būti patalpinti į jiems pagal patvirtintą CDE konfigūraciją skirtas informacijos struktūros vietas.</w:t>
            </w:r>
          </w:p>
        </w:tc>
        <w:tc>
          <w:tcPr>
            <w:tcW w:w="2835" w:type="dxa"/>
            <w:vAlign w:val="center"/>
            <w:hideMark/>
          </w:tcPr>
          <w:p w14:paraId="06015060" w14:textId="77777777" w:rsidR="009F0D1F" w:rsidRPr="00CC4CE5" w:rsidRDefault="009F0D1F">
            <w:pPr>
              <w:rPr>
                <w:rFonts w:ascii="Aptos Narrow" w:hAnsi="Aptos Narrow"/>
                <w:color w:val="000000"/>
                <w:sz w:val="22"/>
                <w:szCs w:val="22"/>
                <w:lang w:val="lt-LT"/>
              </w:rPr>
            </w:pPr>
            <w:r w:rsidRPr="00CC4CE5">
              <w:rPr>
                <w:rFonts w:ascii="Aptos Narrow" w:hAnsi="Aptos Narrow"/>
                <w:color w:val="000000"/>
                <w:sz w:val="22"/>
                <w:szCs w:val="22"/>
                <w:lang w:val="lt-LT"/>
              </w:rPr>
              <w:t>Visi dokumentai ir failai visuose į 3.1 punkto apimtį įtrauktuose projektuose.</w:t>
            </w:r>
          </w:p>
        </w:tc>
        <w:tc>
          <w:tcPr>
            <w:tcW w:w="3119" w:type="dxa"/>
            <w:vAlign w:val="center"/>
            <w:hideMark/>
          </w:tcPr>
          <w:p w14:paraId="7B75199C" w14:textId="77777777" w:rsidR="009F0D1F" w:rsidRPr="00CC4CE5" w:rsidRDefault="009F0D1F">
            <w:pPr>
              <w:rPr>
                <w:rFonts w:ascii="Aptos Narrow" w:hAnsi="Aptos Narrow"/>
                <w:color w:val="000000"/>
                <w:sz w:val="22"/>
                <w:szCs w:val="22"/>
                <w:lang w:val="lt-LT"/>
              </w:rPr>
            </w:pPr>
            <w:r w:rsidRPr="00CC4CE5">
              <w:rPr>
                <w:rFonts w:ascii="Aptos Narrow" w:hAnsi="Aptos Narrow"/>
                <w:color w:val="000000"/>
                <w:sz w:val="22"/>
                <w:szCs w:val="22"/>
                <w:lang w:val="lt-LT"/>
              </w:rPr>
              <w:t>Šaltinio ir naujos CDE duomenų sutikrinimu patvirtinta, kad perkelti visi dokumentai / failai, jie yra prieinami, atidaromi ir priskirti tinkamoms informacijos struktūros vietoms.</w:t>
            </w:r>
          </w:p>
        </w:tc>
      </w:tr>
      <w:tr w:rsidR="009F0D1F" w:rsidRPr="005A629B" w14:paraId="5FF943DC" w14:textId="77777777" w:rsidTr="009F0D1F">
        <w:trPr>
          <w:trHeight w:val="1740"/>
        </w:trPr>
        <w:tc>
          <w:tcPr>
            <w:tcW w:w="960" w:type="dxa"/>
            <w:vAlign w:val="center"/>
            <w:hideMark/>
          </w:tcPr>
          <w:p w14:paraId="6683CA20" w14:textId="77777777" w:rsidR="009F0D1F" w:rsidRPr="00CC4CE5" w:rsidRDefault="009F0D1F">
            <w:pPr>
              <w:rPr>
                <w:rFonts w:ascii="Aptos Narrow" w:hAnsi="Aptos Narrow"/>
                <w:b/>
                <w:bCs/>
                <w:color w:val="000000"/>
                <w:sz w:val="22"/>
                <w:szCs w:val="22"/>
                <w:lang w:val="lt-LT"/>
              </w:rPr>
            </w:pPr>
            <w:r w:rsidRPr="00CC4CE5">
              <w:rPr>
                <w:rFonts w:ascii="Aptos Narrow" w:hAnsi="Aptos Narrow"/>
                <w:b/>
                <w:bCs/>
                <w:color w:val="000000"/>
                <w:sz w:val="22"/>
                <w:szCs w:val="22"/>
                <w:lang w:val="lt-LT"/>
              </w:rPr>
              <w:t>3.6</w:t>
            </w:r>
          </w:p>
        </w:tc>
        <w:tc>
          <w:tcPr>
            <w:tcW w:w="2700" w:type="dxa"/>
            <w:vAlign w:val="center"/>
            <w:hideMark/>
          </w:tcPr>
          <w:p w14:paraId="68EE08E3" w14:textId="77777777" w:rsidR="009F0D1F" w:rsidRPr="00CC4CE5" w:rsidRDefault="009F0D1F">
            <w:pPr>
              <w:rPr>
                <w:rFonts w:ascii="Aptos Narrow" w:hAnsi="Aptos Narrow"/>
                <w:b/>
                <w:bCs/>
                <w:color w:val="000000"/>
                <w:sz w:val="22"/>
                <w:szCs w:val="22"/>
                <w:lang w:val="lt-LT"/>
              </w:rPr>
            </w:pPr>
            <w:r w:rsidRPr="00CC4CE5">
              <w:rPr>
                <w:rFonts w:ascii="Aptos Narrow" w:hAnsi="Aptos Narrow"/>
                <w:b/>
                <w:bCs/>
                <w:color w:val="000000"/>
                <w:sz w:val="22"/>
                <w:szCs w:val="22"/>
                <w:lang w:val="lt-LT"/>
              </w:rPr>
              <w:t>Visų failų versijų perkėlimas</w:t>
            </w:r>
          </w:p>
        </w:tc>
        <w:tc>
          <w:tcPr>
            <w:tcW w:w="5549" w:type="dxa"/>
            <w:vAlign w:val="center"/>
            <w:hideMark/>
          </w:tcPr>
          <w:p w14:paraId="0ED7CF73" w14:textId="77777777" w:rsidR="009F0D1F" w:rsidRPr="00CC4CE5" w:rsidRDefault="009F0D1F">
            <w:pPr>
              <w:rPr>
                <w:rFonts w:ascii="Aptos Narrow" w:hAnsi="Aptos Narrow"/>
                <w:color w:val="000000"/>
                <w:sz w:val="22"/>
                <w:szCs w:val="22"/>
                <w:lang w:val="lt-LT"/>
              </w:rPr>
            </w:pPr>
            <w:r w:rsidRPr="00CC4CE5">
              <w:rPr>
                <w:rFonts w:ascii="Aptos Narrow" w:hAnsi="Aptos Narrow"/>
                <w:color w:val="000000"/>
                <w:sz w:val="22"/>
                <w:szCs w:val="22"/>
                <w:lang w:val="lt-LT"/>
              </w:rPr>
              <w:t>Turi būti perkeltos visos projekto failų versijos, išlaikant jų priklausymą tam pačiam dokumentui, chronologinę seką ir galimybę aiškiai identifikuoti aktualią versiją. Ankstesnės versijos naujoje CDE turi būti prieinamos kaip atitinkamo dokumento versijų istorijos dalis.</w:t>
            </w:r>
          </w:p>
        </w:tc>
        <w:tc>
          <w:tcPr>
            <w:tcW w:w="2835" w:type="dxa"/>
            <w:vAlign w:val="center"/>
            <w:hideMark/>
          </w:tcPr>
          <w:p w14:paraId="083E203C" w14:textId="77777777" w:rsidR="009F0D1F" w:rsidRPr="00CC4CE5" w:rsidRDefault="009F0D1F">
            <w:pPr>
              <w:rPr>
                <w:rFonts w:ascii="Aptos Narrow" w:hAnsi="Aptos Narrow"/>
                <w:color w:val="000000"/>
                <w:sz w:val="22"/>
                <w:szCs w:val="22"/>
                <w:lang w:val="lt-LT"/>
              </w:rPr>
            </w:pPr>
            <w:r w:rsidRPr="00CC4CE5">
              <w:rPr>
                <w:rFonts w:ascii="Aptos Narrow" w:hAnsi="Aptos Narrow"/>
                <w:color w:val="000000"/>
                <w:sz w:val="22"/>
                <w:szCs w:val="22"/>
                <w:lang w:val="lt-LT"/>
              </w:rPr>
              <w:t>Visos visų migruojamų dokumentų / failų versijos.</w:t>
            </w:r>
          </w:p>
        </w:tc>
        <w:tc>
          <w:tcPr>
            <w:tcW w:w="3119" w:type="dxa"/>
            <w:vAlign w:val="center"/>
            <w:hideMark/>
          </w:tcPr>
          <w:p w14:paraId="52674CC7" w14:textId="77777777" w:rsidR="009F0D1F" w:rsidRPr="00CC4CE5" w:rsidRDefault="009F0D1F">
            <w:pPr>
              <w:rPr>
                <w:rFonts w:ascii="Aptos Narrow" w:hAnsi="Aptos Narrow"/>
                <w:color w:val="000000"/>
                <w:sz w:val="22"/>
                <w:szCs w:val="22"/>
                <w:lang w:val="lt-LT"/>
              </w:rPr>
            </w:pPr>
            <w:r w:rsidRPr="00CC4CE5">
              <w:rPr>
                <w:rFonts w:ascii="Aptos Narrow" w:hAnsi="Aptos Narrow"/>
                <w:color w:val="000000"/>
                <w:sz w:val="22"/>
                <w:szCs w:val="22"/>
                <w:lang w:val="lt-LT"/>
              </w:rPr>
              <w:t>Patikrinta, kad visos šaltinio CDE dokumento versijos yra prieinamos naujoje CDE prie atitinkamo dokumento, išlaikyta jų seka ir teisingai identifikuojama aktuali versija.</w:t>
            </w:r>
          </w:p>
        </w:tc>
      </w:tr>
      <w:tr w:rsidR="009F0D1F" w:rsidRPr="005A629B" w14:paraId="3FD1EAC3" w14:textId="77777777" w:rsidTr="009F0D1F">
        <w:trPr>
          <w:trHeight w:val="1740"/>
        </w:trPr>
        <w:tc>
          <w:tcPr>
            <w:tcW w:w="960" w:type="dxa"/>
            <w:vAlign w:val="center"/>
            <w:hideMark/>
          </w:tcPr>
          <w:p w14:paraId="78AD3964" w14:textId="77777777" w:rsidR="009F0D1F" w:rsidRPr="00CC4CE5" w:rsidRDefault="009F0D1F">
            <w:pPr>
              <w:rPr>
                <w:rFonts w:ascii="Aptos Narrow" w:hAnsi="Aptos Narrow"/>
                <w:b/>
                <w:bCs/>
                <w:color w:val="000000"/>
                <w:sz w:val="22"/>
                <w:szCs w:val="22"/>
                <w:lang w:val="lt-LT"/>
              </w:rPr>
            </w:pPr>
            <w:r w:rsidRPr="00CC4CE5">
              <w:rPr>
                <w:rFonts w:ascii="Aptos Narrow" w:hAnsi="Aptos Narrow"/>
                <w:b/>
                <w:bCs/>
                <w:color w:val="000000"/>
                <w:sz w:val="22"/>
                <w:szCs w:val="22"/>
                <w:lang w:val="lt-LT"/>
              </w:rPr>
              <w:t>3.7</w:t>
            </w:r>
          </w:p>
        </w:tc>
        <w:tc>
          <w:tcPr>
            <w:tcW w:w="2700" w:type="dxa"/>
            <w:vAlign w:val="center"/>
            <w:hideMark/>
          </w:tcPr>
          <w:p w14:paraId="287FB5CE" w14:textId="77777777" w:rsidR="009F0D1F" w:rsidRPr="00CC4CE5" w:rsidRDefault="009F0D1F">
            <w:pPr>
              <w:rPr>
                <w:rFonts w:ascii="Aptos Narrow" w:hAnsi="Aptos Narrow"/>
                <w:b/>
                <w:bCs/>
                <w:color w:val="000000"/>
                <w:sz w:val="22"/>
                <w:szCs w:val="22"/>
                <w:lang w:val="lt-LT"/>
              </w:rPr>
            </w:pPr>
            <w:r w:rsidRPr="00CC4CE5">
              <w:rPr>
                <w:rFonts w:ascii="Aptos Narrow" w:hAnsi="Aptos Narrow"/>
                <w:b/>
                <w:bCs/>
                <w:color w:val="000000"/>
                <w:sz w:val="22"/>
                <w:szCs w:val="22"/>
                <w:lang w:val="lt-LT"/>
              </w:rPr>
              <w:t>Metaduomenų perkėlimas</w:t>
            </w:r>
          </w:p>
        </w:tc>
        <w:tc>
          <w:tcPr>
            <w:tcW w:w="5549" w:type="dxa"/>
            <w:vAlign w:val="center"/>
            <w:hideMark/>
          </w:tcPr>
          <w:p w14:paraId="466E58B5" w14:textId="77777777" w:rsidR="009F0D1F" w:rsidRPr="00CC4CE5" w:rsidRDefault="009F0D1F">
            <w:pPr>
              <w:rPr>
                <w:rFonts w:ascii="Aptos Narrow" w:hAnsi="Aptos Narrow"/>
                <w:color w:val="000000"/>
                <w:sz w:val="22"/>
                <w:szCs w:val="22"/>
                <w:lang w:val="lt-LT"/>
              </w:rPr>
            </w:pPr>
            <w:r w:rsidRPr="00CC4CE5">
              <w:rPr>
                <w:rFonts w:ascii="Aptos Narrow" w:hAnsi="Aptos Narrow"/>
                <w:color w:val="000000"/>
                <w:sz w:val="22"/>
                <w:szCs w:val="22"/>
                <w:lang w:val="lt-LT"/>
              </w:rPr>
              <w:t>Su dokumentais / failais susijusių metaduomenų reikšmės turi būti perkeltos į pagal 2 skyrių sukonfigūruotus naujos CDE metaduomenų laukus, išlaikant jų ryšį su atitinkamais dokumentais / failais.</w:t>
            </w:r>
          </w:p>
        </w:tc>
        <w:tc>
          <w:tcPr>
            <w:tcW w:w="2835" w:type="dxa"/>
            <w:vAlign w:val="center"/>
            <w:hideMark/>
          </w:tcPr>
          <w:p w14:paraId="124DEC6D" w14:textId="77777777" w:rsidR="009F0D1F" w:rsidRPr="00CC4CE5" w:rsidRDefault="009F0D1F">
            <w:pPr>
              <w:rPr>
                <w:rFonts w:ascii="Aptos Narrow" w:hAnsi="Aptos Narrow"/>
                <w:color w:val="000000"/>
                <w:sz w:val="22"/>
                <w:szCs w:val="22"/>
                <w:lang w:val="lt-LT"/>
              </w:rPr>
            </w:pPr>
            <w:r w:rsidRPr="00CC4CE5">
              <w:rPr>
                <w:rFonts w:ascii="Aptos Narrow" w:hAnsi="Aptos Narrow"/>
                <w:color w:val="000000"/>
                <w:sz w:val="22"/>
                <w:szCs w:val="22"/>
                <w:lang w:val="lt-LT"/>
              </w:rPr>
              <w:t>Visi pagal 2 skyrių sukonfigūruoti ir migruojamiems duomenims taikomi metaduomenys.</w:t>
            </w:r>
          </w:p>
        </w:tc>
        <w:tc>
          <w:tcPr>
            <w:tcW w:w="3119" w:type="dxa"/>
            <w:vAlign w:val="center"/>
            <w:hideMark/>
          </w:tcPr>
          <w:p w14:paraId="5273CED0" w14:textId="77777777" w:rsidR="009F0D1F" w:rsidRPr="00CC4CE5" w:rsidRDefault="009F0D1F">
            <w:pPr>
              <w:rPr>
                <w:rFonts w:ascii="Aptos Narrow" w:hAnsi="Aptos Narrow"/>
                <w:color w:val="000000"/>
                <w:sz w:val="22"/>
                <w:szCs w:val="22"/>
                <w:lang w:val="lt-LT"/>
              </w:rPr>
            </w:pPr>
            <w:r w:rsidRPr="00CC4CE5">
              <w:rPr>
                <w:rFonts w:ascii="Aptos Narrow" w:hAnsi="Aptos Narrow"/>
                <w:color w:val="000000"/>
                <w:sz w:val="22"/>
                <w:szCs w:val="22"/>
                <w:lang w:val="lt-LT"/>
              </w:rPr>
              <w:t>Patikrinta, kad perkeltų dokumentų metaduomenų reikšmės atitinka šaltinio CDE informaciją ir yra priskirtos tinkamiems metaduomenų laukams.</w:t>
            </w:r>
          </w:p>
        </w:tc>
      </w:tr>
      <w:tr w:rsidR="009F0D1F" w:rsidRPr="00CC4CE5" w14:paraId="104EA560" w14:textId="77777777" w:rsidTr="009F0D1F">
        <w:trPr>
          <w:trHeight w:val="1160"/>
        </w:trPr>
        <w:tc>
          <w:tcPr>
            <w:tcW w:w="960" w:type="dxa"/>
            <w:vAlign w:val="center"/>
            <w:hideMark/>
          </w:tcPr>
          <w:p w14:paraId="73281593" w14:textId="77777777" w:rsidR="009F0D1F" w:rsidRPr="00CC4CE5" w:rsidRDefault="009F0D1F">
            <w:pPr>
              <w:rPr>
                <w:rFonts w:ascii="Aptos Narrow" w:hAnsi="Aptos Narrow"/>
                <w:b/>
                <w:bCs/>
                <w:color w:val="000000"/>
                <w:sz w:val="22"/>
                <w:szCs w:val="22"/>
                <w:lang w:val="lt-LT"/>
              </w:rPr>
            </w:pPr>
            <w:r w:rsidRPr="00CC4CE5">
              <w:rPr>
                <w:rFonts w:ascii="Aptos Narrow" w:hAnsi="Aptos Narrow"/>
                <w:b/>
                <w:bCs/>
                <w:color w:val="000000"/>
                <w:sz w:val="22"/>
                <w:szCs w:val="22"/>
                <w:lang w:val="lt-LT"/>
              </w:rPr>
              <w:lastRenderedPageBreak/>
              <w:t>3.8</w:t>
            </w:r>
          </w:p>
        </w:tc>
        <w:tc>
          <w:tcPr>
            <w:tcW w:w="2700" w:type="dxa"/>
            <w:vAlign w:val="center"/>
            <w:hideMark/>
          </w:tcPr>
          <w:p w14:paraId="63D0A754" w14:textId="77777777" w:rsidR="009F0D1F" w:rsidRPr="00CC4CE5" w:rsidRDefault="009F0D1F">
            <w:pPr>
              <w:rPr>
                <w:rFonts w:ascii="Aptos Narrow" w:hAnsi="Aptos Narrow"/>
                <w:b/>
                <w:bCs/>
                <w:color w:val="000000"/>
                <w:sz w:val="22"/>
                <w:szCs w:val="22"/>
                <w:lang w:val="lt-LT"/>
              </w:rPr>
            </w:pPr>
            <w:r w:rsidRPr="00CC4CE5">
              <w:rPr>
                <w:rFonts w:ascii="Aptos Narrow" w:hAnsi="Aptos Narrow"/>
                <w:b/>
                <w:bCs/>
                <w:color w:val="000000"/>
                <w:sz w:val="22"/>
                <w:szCs w:val="22"/>
                <w:lang w:val="lt-LT"/>
              </w:rPr>
              <w:t>Dokumentų / failų būsenų perkėlimas</w:t>
            </w:r>
          </w:p>
        </w:tc>
        <w:tc>
          <w:tcPr>
            <w:tcW w:w="5549" w:type="dxa"/>
            <w:vAlign w:val="center"/>
            <w:hideMark/>
          </w:tcPr>
          <w:p w14:paraId="56B03654" w14:textId="77777777" w:rsidR="009F0D1F" w:rsidRPr="00CC4CE5" w:rsidRDefault="009F0D1F">
            <w:pPr>
              <w:rPr>
                <w:rFonts w:ascii="Aptos Narrow" w:hAnsi="Aptos Narrow"/>
                <w:color w:val="000000"/>
                <w:sz w:val="22"/>
                <w:szCs w:val="22"/>
                <w:lang w:val="lt-LT"/>
              </w:rPr>
            </w:pPr>
            <w:r w:rsidRPr="00CC4CE5">
              <w:rPr>
                <w:rFonts w:ascii="Aptos Narrow" w:hAnsi="Aptos Narrow"/>
                <w:color w:val="000000"/>
                <w:sz w:val="22"/>
                <w:szCs w:val="22"/>
                <w:lang w:val="lt-LT"/>
              </w:rPr>
              <w:t>Dokumentams / failams naujoje CDE turi būti priskirtos pagal 2 skyrių sukonfigūruotos būsenos, atitinkančios jų faktinę būseną migracijos momentu.</w:t>
            </w:r>
          </w:p>
        </w:tc>
        <w:tc>
          <w:tcPr>
            <w:tcW w:w="2835" w:type="dxa"/>
            <w:vAlign w:val="center"/>
            <w:hideMark/>
          </w:tcPr>
          <w:p w14:paraId="4121152C" w14:textId="77777777" w:rsidR="009F0D1F" w:rsidRPr="00CC4CE5" w:rsidRDefault="009F0D1F">
            <w:pPr>
              <w:rPr>
                <w:rFonts w:ascii="Aptos Narrow" w:hAnsi="Aptos Narrow"/>
                <w:color w:val="000000"/>
                <w:sz w:val="22"/>
                <w:szCs w:val="22"/>
                <w:lang w:val="lt-LT"/>
              </w:rPr>
            </w:pPr>
            <w:r w:rsidRPr="00CC4CE5">
              <w:rPr>
                <w:rFonts w:ascii="Aptos Narrow" w:hAnsi="Aptos Narrow"/>
                <w:color w:val="000000"/>
                <w:sz w:val="22"/>
                <w:szCs w:val="22"/>
                <w:lang w:val="lt-LT"/>
              </w:rPr>
              <w:t>Visi migruojami dokumentai / failai, kuriems šaltinio CDE yra priskirta būsena.</w:t>
            </w:r>
          </w:p>
        </w:tc>
        <w:tc>
          <w:tcPr>
            <w:tcW w:w="3119" w:type="dxa"/>
            <w:vAlign w:val="center"/>
            <w:hideMark/>
          </w:tcPr>
          <w:p w14:paraId="2D361EF7" w14:textId="77777777" w:rsidR="009F0D1F" w:rsidRPr="00CC4CE5" w:rsidRDefault="009F0D1F">
            <w:pPr>
              <w:rPr>
                <w:rFonts w:ascii="Aptos Narrow" w:hAnsi="Aptos Narrow"/>
                <w:color w:val="000000"/>
                <w:sz w:val="22"/>
                <w:szCs w:val="22"/>
                <w:lang w:val="lt-LT"/>
              </w:rPr>
            </w:pPr>
            <w:r w:rsidRPr="00CC4CE5">
              <w:rPr>
                <w:rFonts w:ascii="Aptos Narrow" w:hAnsi="Aptos Narrow"/>
                <w:color w:val="000000"/>
                <w:sz w:val="22"/>
                <w:szCs w:val="22"/>
                <w:lang w:val="lt-LT"/>
              </w:rPr>
              <w:t>Patikrinta, kad dokumentų būsenos naujoje CDE atitinka jų būseną migracijos momentu.</w:t>
            </w:r>
          </w:p>
        </w:tc>
      </w:tr>
      <w:tr w:rsidR="009F0D1F" w:rsidRPr="005A629B" w14:paraId="61E0AD25" w14:textId="77777777" w:rsidTr="009F0D1F">
        <w:trPr>
          <w:trHeight w:val="3190"/>
        </w:trPr>
        <w:tc>
          <w:tcPr>
            <w:tcW w:w="960" w:type="dxa"/>
            <w:vAlign w:val="center"/>
            <w:hideMark/>
          </w:tcPr>
          <w:p w14:paraId="342B1DD5" w14:textId="77777777" w:rsidR="009F0D1F" w:rsidRPr="00CC4CE5" w:rsidRDefault="009F0D1F">
            <w:pPr>
              <w:rPr>
                <w:rFonts w:ascii="Aptos Narrow" w:hAnsi="Aptos Narrow"/>
                <w:b/>
                <w:bCs/>
                <w:color w:val="000000"/>
                <w:sz w:val="22"/>
                <w:szCs w:val="22"/>
                <w:lang w:val="lt-LT"/>
              </w:rPr>
            </w:pPr>
            <w:r w:rsidRPr="00CC4CE5">
              <w:rPr>
                <w:rFonts w:ascii="Aptos Narrow" w:hAnsi="Aptos Narrow"/>
                <w:b/>
                <w:bCs/>
                <w:color w:val="000000"/>
                <w:sz w:val="22"/>
                <w:szCs w:val="22"/>
                <w:lang w:val="lt-LT"/>
              </w:rPr>
              <w:t>3.9</w:t>
            </w:r>
          </w:p>
        </w:tc>
        <w:tc>
          <w:tcPr>
            <w:tcW w:w="2700" w:type="dxa"/>
            <w:vAlign w:val="center"/>
            <w:hideMark/>
          </w:tcPr>
          <w:p w14:paraId="75243291" w14:textId="77777777" w:rsidR="009F0D1F" w:rsidRPr="00CC4CE5" w:rsidRDefault="009F0D1F">
            <w:pPr>
              <w:rPr>
                <w:rFonts w:ascii="Aptos Narrow" w:hAnsi="Aptos Narrow"/>
                <w:b/>
                <w:bCs/>
                <w:color w:val="000000"/>
                <w:sz w:val="22"/>
                <w:szCs w:val="22"/>
                <w:lang w:val="lt-LT"/>
              </w:rPr>
            </w:pPr>
            <w:r w:rsidRPr="00CC4CE5">
              <w:rPr>
                <w:rFonts w:ascii="Aptos Narrow" w:hAnsi="Aptos Narrow"/>
                <w:b/>
                <w:bCs/>
                <w:color w:val="000000"/>
                <w:sz w:val="22"/>
                <w:szCs w:val="22"/>
                <w:lang w:val="lt-LT"/>
              </w:rPr>
              <w:t>Dokumentų peržiūros pastabų ir komentarų perkėlimas</w:t>
            </w:r>
          </w:p>
        </w:tc>
        <w:tc>
          <w:tcPr>
            <w:tcW w:w="5549" w:type="dxa"/>
            <w:vAlign w:val="center"/>
            <w:hideMark/>
          </w:tcPr>
          <w:p w14:paraId="08B4DBBE" w14:textId="77777777" w:rsidR="009F0D1F" w:rsidRPr="00CC4CE5" w:rsidRDefault="009F0D1F">
            <w:pPr>
              <w:rPr>
                <w:rFonts w:ascii="Aptos Narrow" w:hAnsi="Aptos Narrow"/>
                <w:color w:val="000000"/>
                <w:sz w:val="22"/>
                <w:szCs w:val="22"/>
                <w:lang w:val="lt-LT"/>
              </w:rPr>
            </w:pPr>
            <w:r w:rsidRPr="00CC4CE5">
              <w:rPr>
                <w:rFonts w:ascii="Aptos Narrow" w:hAnsi="Aptos Narrow"/>
                <w:color w:val="000000"/>
                <w:sz w:val="22"/>
                <w:szCs w:val="22"/>
                <w:lang w:val="lt-LT"/>
              </w:rPr>
              <w:t>Turi būti perkeltos visos su dokumentais susijusios pastabos, komentarai ar lygiavertės registracijos, išlaikant jų ryšį su atitinkamu dokumentu ir konkrečia dokumento vieta, kurioje pastaba buvo sukurta. Atidarius perkeltą pastabą naujoje CDE turi būti galima identifikuoti atitinkamą dokumento puslapį ir pastabos vietą jame. Turi būti perkeltas pastabos turinys, būsena, autoriaus ir datos informacija, atsakymai / diskusijų istorija, priedai ir atsakingi dalyviai. Aktyvios pastabos turi būti tinkamos tolesniam darbui, o užbaigtos – išsaugotos kaip projekto istorijos dalis.</w:t>
            </w:r>
          </w:p>
        </w:tc>
        <w:tc>
          <w:tcPr>
            <w:tcW w:w="2835" w:type="dxa"/>
            <w:vAlign w:val="center"/>
            <w:hideMark/>
          </w:tcPr>
          <w:p w14:paraId="1D5EAD44" w14:textId="77777777" w:rsidR="009F0D1F" w:rsidRPr="00CC4CE5" w:rsidRDefault="009F0D1F">
            <w:pPr>
              <w:rPr>
                <w:rFonts w:ascii="Aptos Narrow" w:hAnsi="Aptos Narrow"/>
                <w:color w:val="000000"/>
                <w:sz w:val="22"/>
                <w:szCs w:val="22"/>
                <w:lang w:val="lt-LT"/>
              </w:rPr>
            </w:pPr>
            <w:r w:rsidRPr="00CC4CE5">
              <w:rPr>
                <w:rFonts w:ascii="Aptos Narrow" w:hAnsi="Aptos Narrow"/>
                <w:color w:val="000000"/>
                <w:sz w:val="22"/>
                <w:szCs w:val="22"/>
                <w:lang w:val="lt-LT"/>
              </w:rPr>
              <w:t>Visos migruojamuose projektuose esančios dokumentų peržiūros pastabos / komentarai.</w:t>
            </w:r>
          </w:p>
        </w:tc>
        <w:tc>
          <w:tcPr>
            <w:tcW w:w="3119" w:type="dxa"/>
            <w:vAlign w:val="center"/>
            <w:hideMark/>
          </w:tcPr>
          <w:p w14:paraId="5429C7BE" w14:textId="77777777" w:rsidR="009F0D1F" w:rsidRPr="00CC4CE5" w:rsidRDefault="009F0D1F">
            <w:pPr>
              <w:rPr>
                <w:rFonts w:ascii="Aptos Narrow" w:hAnsi="Aptos Narrow"/>
                <w:color w:val="000000"/>
                <w:sz w:val="22"/>
                <w:szCs w:val="22"/>
                <w:lang w:val="lt-LT"/>
              </w:rPr>
            </w:pPr>
            <w:r w:rsidRPr="00CC4CE5">
              <w:rPr>
                <w:rFonts w:ascii="Aptos Narrow" w:hAnsi="Aptos Narrow"/>
                <w:color w:val="000000"/>
                <w:sz w:val="22"/>
                <w:szCs w:val="22"/>
                <w:lang w:val="lt-LT"/>
              </w:rPr>
              <w:t>Sutikrintas perkeltų pastabų / komentarų skaičius. Praktiniais scenarijais patikrinta, kad atidarius perkeltą pastabą pasiekiamas susijęs dokumentas ir identifikuojama konkreti jos vieta dokumente, išlaikyta pastabos informacija ir aktyvią pastabą galima toliau vykdyti.</w:t>
            </w:r>
          </w:p>
        </w:tc>
      </w:tr>
      <w:tr w:rsidR="009F0D1F" w:rsidRPr="005A629B" w14:paraId="6F602256" w14:textId="77777777" w:rsidTr="009F0D1F">
        <w:trPr>
          <w:trHeight w:val="2320"/>
        </w:trPr>
        <w:tc>
          <w:tcPr>
            <w:tcW w:w="960" w:type="dxa"/>
            <w:vAlign w:val="center"/>
            <w:hideMark/>
          </w:tcPr>
          <w:p w14:paraId="035F5E94" w14:textId="77777777" w:rsidR="009F0D1F" w:rsidRPr="00CC4CE5" w:rsidRDefault="009F0D1F">
            <w:pPr>
              <w:rPr>
                <w:rFonts w:ascii="Aptos Narrow" w:hAnsi="Aptos Narrow"/>
                <w:b/>
                <w:bCs/>
                <w:color w:val="000000"/>
                <w:sz w:val="22"/>
                <w:szCs w:val="22"/>
                <w:lang w:val="lt-LT"/>
              </w:rPr>
            </w:pPr>
            <w:r w:rsidRPr="00CC4CE5">
              <w:rPr>
                <w:rFonts w:ascii="Aptos Narrow" w:hAnsi="Aptos Narrow"/>
                <w:b/>
                <w:bCs/>
                <w:color w:val="000000"/>
                <w:sz w:val="22"/>
                <w:szCs w:val="22"/>
                <w:lang w:val="lt-LT"/>
              </w:rPr>
              <w:t>3.10</w:t>
            </w:r>
          </w:p>
        </w:tc>
        <w:tc>
          <w:tcPr>
            <w:tcW w:w="2700" w:type="dxa"/>
            <w:vAlign w:val="center"/>
            <w:hideMark/>
          </w:tcPr>
          <w:p w14:paraId="7CBC0A16" w14:textId="77777777" w:rsidR="009F0D1F" w:rsidRPr="00CC4CE5" w:rsidRDefault="009F0D1F">
            <w:pPr>
              <w:rPr>
                <w:rFonts w:ascii="Aptos Narrow" w:hAnsi="Aptos Narrow"/>
                <w:b/>
                <w:bCs/>
                <w:color w:val="000000"/>
                <w:sz w:val="22"/>
                <w:szCs w:val="22"/>
                <w:lang w:val="lt-LT"/>
              </w:rPr>
            </w:pPr>
            <w:r w:rsidRPr="00CC4CE5">
              <w:rPr>
                <w:rFonts w:ascii="Aptos Narrow" w:hAnsi="Aptos Narrow"/>
                <w:b/>
                <w:bCs/>
                <w:color w:val="000000"/>
                <w:sz w:val="22"/>
                <w:szCs w:val="22"/>
                <w:lang w:val="lt-LT"/>
              </w:rPr>
              <w:t>Dokumentų derinimo ir tvirtinimo procesų perkėlimas</w:t>
            </w:r>
          </w:p>
        </w:tc>
        <w:tc>
          <w:tcPr>
            <w:tcW w:w="5549" w:type="dxa"/>
            <w:vAlign w:val="center"/>
            <w:hideMark/>
          </w:tcPr>
          <w:p w14:paraId="54DBE248" w14:textId="77777777" w:rsidR="009F0D1F" w:rsidRPr="00CC4CE5" w:rsidRDefault="009F0D1F">
            <w:pPr>
              <w:rPr>
                <w:rFonts w:ascii="Aptos Narrow" w:hAnsi="Aptos Narrow"/>
                <w:color w:val="000000"/>
                <w:sz w:val="22"/>
                <w:szCs w:val="22"/>
                <w:lang w:val="lt-LT"/>
              </w:rPr>
            </w:pPr>
            <w:r w:rsidRPr="00CC4CE5">
              <w:rPr>
                <w:rFonts w:ascii="Aptos Narrow" w:hAnsi="Aptos Narrow"/>
                <w:color w:val="000000"/>
                <w:sz w:val="22"/>
                <w:szCs w:val="22"/>
                <w:lang w:val="lt-LT"/>
              </w:rPr>
              <w:t>Migracijos metu neužbaigti dokumentų pateikimo, tikrinimo, derinimo, tvirtinimo, grąžinimo koreguoti ar paskelbimo procesai turi būti atkurti pagal 2 skyrių sukonfigūruotuose naujos CDE procesuose taip, kad darbas galėtų būti tęsiamas nuo migracijos momentu aktualios proceso būsenos. Iki migracijos atliktų veiksmų ir užbaigtų procesų istorija turi likti prieinama ir susieta su atitinkamais dokumentais.</w:t>
            </w:r>
          </w:p>
        </w:tc>
        <w:tc>
          <w:tcPr>
            <w:tcW w:w="2835" w:type="dxa"/>
            <w:vAlign w:val="center"/>
            <w:hideMark/>
          </w:tcPr>
          <w:p w14:paraId="1284BA67" w14:textId="77777777" w:rsidR="009F0D1F" w:rsidRPr="00CC4CE5" w:rsidRDefault="009F0D1F">
            <w:pPr>
              <w:rPr>
                <w:rFonts w:ascii="Aptos Narrow" w:hAnsi="Aptos Narrow"/>
                <w:color w:val="000000"/>
                <w:sz w:val="22"/>
                <w:szCs w:val="22"/>
                <w:lang w:val="lt-LT"/>
              </w:rPr>
            </w:pPr>
            <w:r w:rsidRPr="00CC4CE5">
              <w:rPr>
                <w:rFonts w:ascii="Aptos Narrow" w:hAnsi="Aptos Narrow"/>
                <w:color w:val="000000"/>
                <w:sz w:val="22"/>
                <w:szCs w:val="22"/>
                <w:lang w:val="lt-LT"/>
              </w:rPr>
              <w:t>Visi migracijos momentu aktyvūs dokumentų valdymo procesai ir su migruojamais dokumentais susijusi užbaigtų procesų istorija.</w:t>
            </w:r>
          </w:p>
        </w:tc>
        <w:tc>
          <w:tcPr>
            <w:tcW w:w="3119" w:type="dxa"/>
            <w:vAlign w:val="center"/>
            <w:hideMark/>
          </w:tcPr>
          <w:p w14:paraId="08EFB785" w14:textId="77777777" w:rsidR="009F0D1F" w:rsidRPr="00CC4CE5" w:rsidRDefault="009F0D1F">
            <w:pPr>
              <w:rPr>
                <w:rFonts w:ascii="Aptos Narrow" w:hAnsi="Aptos Narrow"/>
                <w:color w:val="000000"/>
                <w:sz w:val="22"/>
                <w:szCs w:val="22"/>
                <w:lang w:val="lt-LT"/>
              </w:rPr>
            </w:pPr>
            <w:r w:rsidRPr="00CC4CE5">
              <w:rPr>
                <w:rFonts w:ascii="Aptos Narrow" w:hAnsi="Aptos Narrow"/>
                <w:color w:val="000000"/>
                <w:sz w:val="22"/>
                <w:szCs w:val="22"/>
                <w:lang w:val="lt-LT"/>
              </w:rPr>
              <w:t>Patikrinta, kad aktyvūs procesai naujoje CDE yra priskirti tinkamiems dokumentams ir atsakingiems dalyviams bei gali būti tęsiami, o iki migracijos atliktų veiksmų istorija yra prieinama ir atsekama.</w:t>
            </w:r>
          </w:p>
        </w:tc>
      </w:tr>
      <w:tr w:rsidR="009F0D1F" w:rsidRPr="005A629B" w14:paraId="7111537F" w14:textId="77777777" w:rsidTr="009F0D1F">
        <w:trPr>
          <w:trHeight w:val="2320"/>
        </w:trPr>
        <w:tc>
          <w:tcPr>
            <w:tcW w:w="960" w:type="dxa"/>
            <w:vAlign w:val="center"/>
            <w:hideMark/>
          </w:tcPr>
          <w:p w14:paraId="56121FD9" w14:textId="77777777" w:rsidR="009F0D1F" w:rsidRPr="00CC4CE5" w:rsidRDefault="009F0D1F">
            <w:pPr>
              <w:rPr>
                <w:rFonts w:ascii="Aptos Narrow" w:hAnsi="Aptos Narrow"/>
                <w:b/>
                <w:bCs/>
                <w:color w:val="000000"/>
                <w:sz w:val="22"/>
                <w:szCs w:val="22"/>
                <w:lang w:val="lt-LT"/>
              </w:rPr>
            </w:pPr>
            <w:r w:rsidRPr="00CC4CE5">
              <w:rPr>
                <w:rFonts w:ascii="Aptos Narrow" w:hAnsi="Aptos Narrow"/>
                <w:b/>
                <w:bCs/>
                <w:color w:val="000000"/>
                <w:sz w:val="22"/>
                <w:szCs w:val="22"/>
                <w:lang w:val="lt-LT"/>
              </w:rPr>
              <w:t>3.11</w:t>
            </w:r>
          </w:p>
        </w:tc>
        <w:tc>
          <w:tcPr>
            <w:tcW w:w="2700" w:type="dxa"/>
            <w:vAlign w:val="center"/>
            <w:hideMark/>
          </w:tcPr>
          <w:p w14:paraId="105CA32C" w14:textId="77777777" w:rsidR="009F0D1F" w:rsidRPr="00CC4CE5" w:rsidRDefault="009F0D1F">
            <w:pPr>
              <w:rPr>
                <w:rFonts w:ascii="Aptos Narrow" w:hAnsi="Aptos Narrow"/>
                <w:b/>
                <w:bCs/>
                <w:color w:val="000000"/>
                <w:sz w:val="22"/>
                <w:szCs w:val="22"/>
                <w:lang w:val="lt-LT"/>
              </w:rPr>
            </w:pPr>
            <w:r w:rsidRPr="00CC4CE5">
              <w:rPr>
                <w:rFonts w:ascii="Aptos Narrow" w:hAnsi="Aptos Narrow"/>
                <w:b/>
                <w:bCs/>
                <w:color w:val="000000"/>
                <w:sz w:val="22"/>
                <w:szCs w:val="22"/>
                <w:lang w:val="lt-LT"/>
              </w:rPr>
              <w:t>Statybos užduočių ir pastabų perkėlimas</w:t>
            </w:r>
          </w:p>
        </w:tc>
        <w:tc>
          <w:tcPr>
            <w:tcW w:w="5549" w:type="dxa"/>
            <w:vAlign w:val="center"/>
            <w:hideMark/>
          </w:tcPr>
          <w:p w14:paraId="4CEC9292" w14:textId="77777777" w:rsidR="009F0D1F" w:rsidRPr="00CC4CE5" w:rsidRDefault="009F0D1F">
            <w:pPr>
              <w:rPr>
                <w:rFonts w:ascii="Aptos Narrow" w:hAnsi="Aptos Narrow"/>
                <w:color w:val="000000"/>
                <w:sz w:val="22"/>
                <w:szCs w:val="22"/>
                <w:lang w:val="lt-LT"/>
              </w:rPr>
            </w:pPr>
            <w:r w:rsidRPr="00CC4CE5">
              <w:rPr>
                <w:rFonts w:ascii="Aptos Narrow" w:hAnsi="Aptos Narrow"/>
                <w:color w:val="000000"/>
                <w:sz w:val="22"/>
                <w:szCs w:val="22"/>
                <w:lang w:val="lt-LT"/>
              </w:rPr>
              <w:t>Turi būti perkeltos statybos užduotys, pastabos ar lygiavertės registracijos, išlaikant jų turinį, būseną, atsakingą naudotoją ar grupę, terminus, atsakymų istoriją, priedus ir ryšį su susijusiu dokumentu, brėžiniu, modeliu, vieta ar kitu projekto objektu, jei toks ryšys yra šaltinio CDE. Aktyvios registracijos turi būti tinkamos tęsti darbą naujoje CDE, o užbaigtos – išsaugotos kaip projekto istorijos dalis.</w:t>
            </w:r>
          </w:p>
        </w:tc>
        <w:tc>
          <w:tcPr>
            <w:tcW w:w="2835" w:type="dxa"/>
            <w:vAlign w:val="center"/>
            <w:hideMark/>
          </w:tcPr>
          <w:p w14:paraId="2ABFBEBC" w14:textId="77777777" w:rsidR="009F0D1F" w:rsidRPr="00CC4CE5" w:rsidRDefault="009F0D1F">
            <w:pPr>
              <w:rPr>
                <w:rFonts w:ascii="Aptos Narrow" w:hAnsi="Aptos Narrow"/>
                <w:color w:val="000000"/>
                <w:sz w:val="22"/>
                <w:szCs w:val="22"/>
                <w:lang w:val="lt-LT"/>
              </w:rPr>
            </w:pPr>
            <w:r w:rsidRPr="00CC4CE5">
              <w:rPr>
                <w:rFonts w:ascii="Aptos Narrow" w:hAnsi="Aptos Narrow"/>
                <w:color w:val="000000"/>
                <w:sz w:val="22"/>
                <w:szCs w:val="22"/>
                <w:lang w:val="lt-LT"/>
              </w:rPr>
              <w:t>Visos į migruojamų projektų apimtį patenkančios statybos užduotys, pastabos ar lygiavertės registracijos.</w:t>
            </w:r>
          </w:p>
        </w:tc>
        <w:tc>
          <w:tcPr>
            <w:tcW w:w="3119" w:type="dxa"/>
            <w:vAlign w:val="center"/>
            <w:hideMark/>
          </w:tcPr>
          <w:p w14:paraId="19050804" w14:textId="77777777" w:rsidR="009F0D1F" w:rsidRPr="00CC4CE5" w:rsidRDefault="009F0D1F">
            <w:pPr>
              <w:rPr>
                <w:rFonts w:ascii="Aptos Narrow" w:hAnsi="Aptos Narrow"/>
                <w:color w:val="000000"/>
                <w:sz w:val="22"/>
                <w:szCs w:val="22"/>
                <w:lang w:val="lt-LT"/>
              </w:rPr>
            </w:pPr>
            <w:r w:rsidRPr="00CC4CE5">
              <w:rPr>
                <w:rFonts w:ascii="Aptos Narrow" w:hAnsi="Aptos Narrow"/>
                <w:color w:val="000000"/>
                <w:sz w:val="22"/>
                <w:szCs w:val="22"/>
                <w:lang w:val="lt-LT"/>
              </w:rPr>
              <w:t>Sutikrintas perkeltų registracijų skaičius ir praktiškai patikrinta, kad aktyvios užduotys / pastabos turi reikiamą informaciją, susijusius objektus, atsakingus dalyvius ir gali būti toliau vykdomos.</w:t>
            </w:r>
          </w:p>
        </w:tc>
      </w:tr>
      <w:tr w:rsidR="009F0D1F" w:rsidRPr="005A629B" w14:paraId="0F7C813F" w14:textId="77777777" w:rsidTr="009F0D1F">
        <w:trPr>
          <w:trHeight w:val="1740"/>
        </w:trPr>
        <w:tc>
          <w:tcPr>
            <w:tcW w:w="960" w:type="dxa"/>
            <w:vAlign w:val="center"/>
            <w:hideMark/>
          </w:tcPr>
          <w:p w14:paraId="40BD2B5E" w14:textId="77777777" w:rsidR="009F0D1F" w:rsidRPr="00CC4CE5" w:rsidRDefault="009F0D1F">
            <w:pPr>
              <w:rPr>
                <w:rFonts w:ascii="Aptos Narrow" w:hAnsi="Aptos Narrow"/>
                <w:b/>
                <w:bCs/>
                <w:color w:val="000000"/>
                <w:sz w:val="22"/>
                <w:szCs w:val="22"/>
                <w:lang w:val="lt-LT"/>
              </w:rPr>
            </w:pPr>
            <w:r w:rsidRPr="00CC4CE5">
              <w:rPr>
                <w:rFonts w:ascii="Aptos Narrow" w:hAnsi="Aptos Narrow"/>
                <w:b/>
                <w:bCs/>
                <w:color w:val="000000"/>
                <w:sz w:val="22"/>
                <w:szCs w:val="22"/>
                <w:lang w:val="lt-LT"/>
              </w:rPr>
              <w:lastRenderedPageBreak/>
              <w:t>3.12</w:t>
            </w:r>
          </w:p>
        </w:tc>
        <w:tc>
          <w:tcPr>
            <w:tcW w:w="2700" w:type="dxa"/>
            <w:vAlign w:val="center"/>
            <w:hideMark/>
          </w:tcPr>
          <w:p w14:paraId="34359548" w14:textId="77777777" w:rsidR="009F0D1F" w:rsidRPr="00CC4CE5" w:rsidRDefault="009F0D1F">
            <w:pPr>
              <w:rPr>
                <w:rFonts w:ascii="Aptos Narrow" w:hAnsi="Aptos Narrow"/>
                <w:b/>
                <w:bCs/>
                <w:color w:val="000000"/>
                <w:sz w:val="22"/>
                <w:szCs w:val="22"/>
                <w:lang w:val="lt-LT"/>
              </w:rPr>
            </w:pPr>
            <w:r w:rsidRPr="00CC4CE5">
              <w:rPr>
                <w:rFonts w:ascii="Aptos Narrow" w:hAnsi="Aptos Narrow"/>
                <w:b/>
                <w:bCs/>
                <w:color w:val="000000"/>
                <w:sz w:val="22"/>
                <w:szCs w:val="22"/>
                <w:lang w:val="lt-LT"/>
              </w:rPr>
              <w:t>Projekto erdvinių vietų, sričių ir zonų perkėlimas</w:t>
            </w:r>
          </w:p>
        </w:tc>
        <w:tc>
          <w:tcPr>
            <w:tcW w:w="5549" w:type="dxa"/>
            <w:vAlign w:val="center"/>
            <w:hideMark/>
          </w:tcPr>
          <w:p w14:paraId="06ACC6B9" w14:textId="77777777" w:rsidR="009F0D1F" w:rsidRPr="00CC4CE5" w:rsidRDefault="009F0D1F">
            <w:pPr>
              <w:rPr>
                <w:rFonts w:ascii="Aptos Narrow" w:hAnsi="Aptos Narrow"/>
                <w:color w:val="000000"/>
                <w:sz w:val="22"/>
                <w:szCs w:val="22"/>
                <w:lang w:val="lt-LT"/>
              </w:rPr>
            </w:pPr>
            <w:r w:rsidRPr="00CC4CE5">
              <w:rPr>
                <w:rFonts w:ascii="Aptos Narrow" w:hAnsi="Aptos Narrow"/>
                <w:color w:val="000000"/>
                <w:sz w:val="22"/>
                <w:szCs w:val="22"/>
                <w:lang w:val="lt-LT"/>
              </w:rPr>
              <w:t>Turi būti perkelta arba naujoje CDE lygiaverčiai atkurta migruojamame projekte naudojama erdvinių vietų, sričių, zonų ar kitų projekto erdvinių susiejimų struktūra, jeigu tokia informacija naudojama šaltinio CDE. Turi būti išlaikyti ryšiai tarp šių vietų / sričių ir su jomis susietų dokumentų, modelių, užduočių, pastabų ar kitų projekto duomenų.</w:t>
            </w:r>
          </w:p>
        </w:tc>
        <w:tc>
          <w:tcPr>
            <w:tcW w:w="2835" w:type="dxa"/>
            <w:vAlign w:val="center"/>
            <w:hideMark/>
          </w:tcPr>
          <w:p w14:paraId="2D505956" w14:textId="77777777" w:rsidR="009F0D1F" w:rsidRPr="00CC4CE5" w:rsidRDefault="009F0D1F">
            <w:pPr>
              <w:rPr>
                <w:rFonts w:ascii="Aptos Narrow" w:hAnsi="Aptos Narrow"/>
                <w:color w:val="000000"/>
                <w:sz w:val="22"/>
                <w:szCs w:val="22"/>
                <w:lang w:val="lt-LT"/>
              </w:rPr>
            </w:pPr>
            <w:r w:rsidRPr="00CC4CE5">
              <w:rPr>
                <w:rFonts w:ascii="Aptos Narrow" w:hAnsi="Aptos Narrow"/>
                <w:color w:val="000000"/>
                <w:sz w:val="22"/>
                <w:szCs w:val="22"/>
                <w:lang w:val="lt-LT"/>
              </w:rPr>
              <w:t>Visos migruojamuose projektuose naudojamos erdvinės vietos, sritys, zonos ir jų ryšiai su kitais migruojamais projekto duomenimis.</w:t>
            </w:r>
          </w:p>
        </w:tc>
        <w:tc>
          <w:tcPr>
            <w:tcW w:w="3119" w:type="dxa"/>
            <w:vAlign w:val="center"/>
            <w:hideMark/>
          </w:tcPr>
          <w:p w14:paraId="7E7FFF92" w14:textId="77777777" w:rsidR="009F0D1F" w:rsidRPr="00CC4CE5" w:rsidRDefault="009F0D1F">
            <w:pPr>
              <w:rPr>
                <w:rFonts w:ascii="Aptos Narrow" w:hAnsi="Aptos Narrow"/>
                <w:color w:val="000000"/>
                <w:sz w:val="22"/>
                <w:szCs w:val="22"/>
                <w:lang w:val="lt-LT"/>
              </w:rPr>
            </w:pPr>
            <w:r w:rsidRPr="00CC4CE5">
              <w:rPr>
                <w:rFonts w:ascii="Aptos Narrow" w:hAnsi="Aptos Narrow"/>
                <w:color w:val="000000"/>
                <w:sz w:val="22"/>
                <w:szCs w:val="22"/>
                <w:lang w:val="lt-LT"/>
              </w:rPr>
              <w:t>Patikrinta, kad migruojamo projekto erdvinė struktūra yra prieinama naujoje CDE ir su ja susieti projekto duomenys išlaikė atitinkamus ryšius.</w:t>
            </w:r>
          </w:p>
        </w:tc>
      </w:tr>
      <w:tr w:rsidR="009F0D1F" w:rsidRPr="005A629B" w14:paraId="03CC8F08" w14:textId="77777777" w:rsidTr="009F0D1F">
        <w:trPr>
          <w:trHeight w:val="2030"/>
        </w:trPr>
        <w:tc>
          <w:tcPr>
            <w:tcW w:w="960" w:type="dxa"/>
            <w:vAlign w:val="center"/>
            <w:hideMark/>
          </w:tcPr>
          <w:p w14:paraId="36771572" w14:textId="77777777" w:rsidR="009F0D1F" w:rsidRPr="00CC4CE5" w:rsidRDefault="009F0D1F">
            <w:pPr>
              <w:rPr>
                <w:rFonts w:ascii="Aptos Narrow" w:hAnsi="Aptos Narrow"/>
                <w:b/>
                <w:bCs/>
                <w:color w:val="000000"/>
                <w:sz w:val="22"/>
                <w:szCs w:val="22"/>
                <w:lang w:val="lt-LT"/>
              </w:rPr>
            </w:pPr>
            <w:r w:rsidRPr="00CC4CE5">
              <w:rPr>
                <w:rFonts w:ascii="Aptos Narrow" w:hAnsi="Aptos Narrow"/>
                <w:b/>
                <w:bCs/>
                <w:color w:val="000000"/>
                <w:sz w:val="22"/>
                <w:szCs w:val="22"/>
                <w:lang w:val="lt-LT"/>
              </w:rPr>
              <w:t>3.13</w:t>
            </w:r>
          </w:p>
        </w:tc>
        <w:tc>
          <w:tcPr>
            <w:tcW w:w="2700" w:type="dxa"/>
            <w:vAlign w:val="center"/>
            <w:hideMark/>
          </w:tcPr>
          <w:p w14:paraId="117E7BCD" w14:textId="77777777" w:rsidR="009F0D1F" w:rsidRPr="00CC4CE5" w:rsidRDefault="009F0D1F">
            <w:pPr>
              <w:rPr>
                <w:rFonts w:ascii="Aptos Narrow" w:hAnsi="Aptos Narrow"/>
                <w:b/>
                <w:bCs/>
                <w:color w:val="000000"/>
                <w:sz w:val="22"/>
                <w:szCs w:val="22"/>
                <w:lang w:val="lt-LT"/>
              </w:rPr>
            </w:pPr>
            <w:r w:rsidRPr="00CC4CE5">
              <w:rPr>
                <w:rFonts w:ascii="Aptos Narrow" w:hAnsi="Aptos Narrow"/>
                <w:b/>
                <w:bCs/>
                <w:color w:val="000000"/>
                <w:sz w:val="22"/>
                <w:szCs w:val="22"/>
                <w:lang w:val="lt-LT"/>
              </w:rPr>
              <w:t>Naudotojų ir atsakomybių priskyrimas</w:t>
            </w:r>
          </w:p>
        </w:tc>
        <w:tc>
          <w:tcPr>
            <w:tcW w:w="5549" w:type="dxa"/>
            <w:vAlign w:val="center"/>
            <w:hideMark/>
          </w:tcPr>
          <w:p w14:paraId="3C602297" w14:textId="77777777" w:rsidR="009F0D1F" w:rsidRPr="00CC4CE5" w:rsidRDefault="009F0D1F">
            <w:pPr>
              <w:rPr>
                <w:rFonts w:ascii="Aptos Narrow" w:hAnsi="Aptos Narrow"/>
                <w:color w:val="000000"/>
                <w:sz w:val="22"/>
                <w:szCs w:val="22"/>
                <w:lang w:val="lt-LT"/>
              </w:rPr>
            </w:pPr>
            <w:r w:rsidRPr="00CC4CE5">
              <w:rPr>
                <w:rFonts w:ascii="Aptos Narrow" w:hAnsi="Aptos Narrow"/>
                <w:color w:val="000000"/>
                <w:sz w:val="22"/>
                <w:szCs w:val="22"/>
                <w:lang w:val="lt-LT"/>
              </w:rPr>
              <w:t>Migruojamų projektų naudotojai turi būti priskirti pagal 2 skyrių sukonfigūruotoms naujos CDE naudotojų grupėms ir teisėms taip, kad po migracijos būtų išlaikytos projekto darbui reikalingos prieigos, atsakomybės ir aktyvių procesų priskyrimai.</w:t>
            </w:r>
          </w:p>
        </w:tc>
        <w:tc>
          <w:tcPr>
            <w:tcW w:w="2835" w:type="dxa"/>
            <w:vAlign w:val="center"/>
            <w:hideMark/>
          </w:tcPr>
          <w:p w14:paraId="4F1BE0C2" w14:textId="77777777" w:rsidR="009F0D1F" w:rsidRPr="00CC4CE5" w:rsidRDefault="009F0D1F">
            <w:pPr>
              <w:rPr>
                <w:rFonts w:ascii="Aptos Narrow" w:hAnsi="Aptos Narrow"/>
                <w:color w:val="000000"/>
                <w:sz w:val="22"/>
                <w:szCs w:val="22"/>
                <w:lang w:val="lt-LT"/>
              </w:rPr>
            </w:pPr>
            <w:r w:rsidRPr="00CC4CE5">
              <w:rPr>
                <w:rFonts w:ascii="Aptos Narrow" w:hAnsi="Aptos Narrow"/>
                <w:color w:val="000000"/>
                <w:sz w:val="22"/>
                <w:szCs w:val="22"/>
                <w:lang w:val="lt-LT"/>
              </w:rPr>
              <w:t>Visi aktyvių migruojamų projektų naudotojai, kuriems reikalinga prieiga prie naujos CDE.</w:t>
            </w:r>
          </w:p>
        </w:tc>
        <w:tc>
          <w:tcPr>
            <w:tcW w:w="3119" w:type="dxa"/>
            <w:vAlign w:val="center"/>
            <w:hideMark/>
          </w:tcPr>
          <w:p w14:paraId="7B8A4D83" w14:textId="77777777" w:rsidR="009F0D1F" w:rsidRPr="00CC4CE5" w:rsidRDefault="009F0D1F">
            <w:pPr>
              <w:rPr>
                <w:rFonts w:ascii="Aptos Narrow" w:hAnsi="Aptos Narrow"/>
                <w:color w:val="000000"/>
                <w:sz w:val="22"/>
                <w:szCs w:val="22"/>
                <w:lang w:val="lt-LT"/>
              </w:rPr>
            </w:pPr>
            <w:r w:rsidRPr="00CC4CE5">
              <w:rPr>
                <w:rFonts w:ascii="Aptos Narrow" w:hAnsi="Aptos Narrow"/>
                <w:color w:val="000000"/>
                <w:sz w:val="22"/>
                <w:szCs w:val="22"/>
                <w:lang w:val="lt-LT"/>
              </w:rPr>
              <w:t>Bandomosiomis naudotojų paskyromis patikrinta, kad naudotojai turi jiems nustatytas prieigas, o aktyvūs procesai ir užduotys priskirti tinkamiems dalyviams / grupėms.</w:t>
            </w:r>
          </w:p>
        </w:tc>
      </w:tr>
      <w:tr w:rsidR="009F0D1F" w:rsidRPr="005A629B" w14:paraId="0D1CC3A3" w14:textId="77777777" w:rsidTr="009F0D1F">
        <w:trPr>
          <w:trHeight w:val="1740"/>
        </w:trPr>
        <w:tc>
          <w:tcPr>
            <w:tcW w:w="960" w:type="dxa"/>
            <w:vAlign w:val="center"/>
            <w:hideMark/>
          </w:tcPr>
          <w:p w14:paraId="5997E3DF" w14:textId="77777777" w:rsidR="009F0D1F" w:rsidRPr="00CC4CE5" w:rsidRDefault="009F0D1F">
            <w:pPr>
              <w:rPr>
                <w:rFonts w:ascii="Aptos Narrow" w:hAnsi="Aptos Narrow"/>
                <w:b/>
                <w:bCs/>
                <w:color w:val="000000"/>
                <w:sz w:val="22"/>
                <w:szCs w:val="22"/>
                <w:lang w:val="lt-LT"/>
              </w:rPr>
            </w:pPr>
            <w:r w:rsidRPr="00CC4CE5">
              <w:rPr>
                <w:rFonts w:ascii="Aptos Narrow" w:hAnsi="Aptos Narrow"/>
                <w:b/>
                <w:bCs/>
                <w:color w:val="000000"/>
                <w:sz w:val="22"/>
                <w:szCs w:val="22"/>
                <w:lang w:val="lt-LT"/>
              </w:rPr>
              <w:t>3.14</w:t>
            </w:r>
          </w:p>
        </w:tc>
        <w:tc>
          <w:tcPr>
            <w:tcW w:w="2700" w:type="dxa"/>
            <w:vAlign w:val="center"/>
            <w:hideMark/>
          </w:tcPr>
          <w:p w14:paraId="330DC42B" w14:textId="77777777" w:rsidR="009F0D1F" w:rsidRPr="00CC4CE5" w:rsidRDefault="009F0D1F">
            <w:pPr>
              <w:rPr>
                <w:rFonts w:ascii="Aptos Narrow" w:hAnsi="Aptos Narrow"/>
                <w:b/>
                <w:bCs/>
                <w:color w:val="000000"/>
                <w:sz w:val="22"/>
                <w:szCs w:val="22"/>
                <w:lang w:val="lt-LT"/>
              </w:rPr>
            </w:pPr>
            <w:r w:rsidRPr="00CC4CE5">
              <w:rPr>
                <w:rFonts w:ascii="Aptos Narrow" w:hAnsi="Aptos Narrow"/>
                <w:b/>
                <w:bCs/>
                <w:color w:val="000000"/>
                <w:sz w:val="22"/>
                <w:szCs w:val="22"/>
                <w:lang w:val="lt-LT"/>
              </w:rPr>
              <w:t>Duomenų tarpusavio ryšių išlaikymas</w:t>
            </w:r>
          </w:p>
        </w:tc>
        <w:tc>
          <w:tcPr>
            <w:tcW w:w="5549" w:type="dxa"/>
            <w:vAlign w:val="center"/>
            <w:hideMark/>
          </w:tcPr>
          <w:p w14:paraId="322B7D83" w14:textId="77777777" w:rsidR="009F0D1F" w:rsidRPr="00CC4CE5" w:rsidRDefault="009F0D1F">
            <w:pPr>
              <w:rPr>
                <w:rFonts w:ascii="Aptos Narrow" w:hAnsi="Aptos Narrow"/>
                <w:color w:val="000000"/>
                <w:sz w:val="22"/>
                <w:szCs w:val="22"/>
                <w:lang w:val="lt-LT"/>
              </w:rPr>
            </w:pPr>
            <w:r w:rsidRPr="00CC4CE5">
              <w:rPr>
                <w:rFonts w:ascii="Aptos Narrow" w:hAnsi="Aptos Narrow"/>
                <w:color w:val="000000"/>
                <w:sz w:val="22"/>
                <w:szCs w:val="22"/>
                <w:lang w:val="lt-LT"/>
              </w:rPr>
              <w:t>Migracijos metu turi būti išlaikyti projekto darbui ir informacijos atsekamumui reikalingi ryšiai tarp dokumentų, jų versijų, pastabų, komentarų, užduočių, priedų, procesų ir kitų tarpusavyje susijusių projekto duomenų.</w:t>
            </w:r>
          </w:p>
        </w:tc>
        <w:tc>
          <w:tcPr>
            <w:tcW w:w="2835" w:type="dxa"/>
            <w:vAlign w:val="center"/>
            <w:hideMark/>
          </w:tcPr>
          <w:p w14:paraId="497AE6E7" w14:textId="77777777" w:rsidR="009F0D1F" w:rsidRPr="00CC4CE5" w:rsidRDefault="009F0D1F">
            <w:pPr>
              <w:rPr>
                <w:rFonts w:ascii="Aptos Narrow" w:hAnsi="Aptos Narrow"/>
                <w:color w:val="000000"/>
                <w:sz w:val="22"/>
                <w:szCs w:val="22"/>
                <w:lang w:val="lt-LT"/>
              </w:rPr>
            </w:pPr>
            <w:r w:rsidRPr="00CC4CE5">
              <w:rPr>
                <w:rFonts w:ascii="Aptos Narrow" w:hAnsi="Aptos Narrow"/>
                <w:color w:val="000000"/>
                <w:sz w:val="22"/>
                <w:szCs w:val="22"/>
                <w:lang w:val="lt-LT"/>
              </w:rPr>
              <w:t>Taikoma visiems migruojamiems tarpusavyje susietiems duomenims.</w:t>
            </w:r>
          </w:p>
        </w:tc>
        <w:tc>
          <w:tcPr>
            <w:tcW w:w="3119" w:type="dxa"/>
            <w:vAlign w:val="center"/>
            <w:hideMark/>
          </w:tcPr>
          <w:p w14:paraId="0AF8FD5E" w14:textId="77777777" w:rsidR="009F0D1F" w:rsidRPr="00CC4CE5" w:rsidRDefault="009F0D1F">
            <w:pPr>
              <w:rPr>
                <w:rFonts w:ascii="Aptos Narrow" w:hAnsi="Aptos Narrow"/>
                <w:color w:val="000000"/>
                <w:sz w:val="22"/>
                <w:szCs w:val="22"/>
                <w:lang w:val="lt-LT"/>
              </w:rPr>
            </w:pPr>
            <w:r w:rsidRPr="00CC4CE5">
              <w:rPr>
                <w:rFonts w:ascii="Aptos Narrow" w:hAnsi="Aptos Narrow"/>
                <w:color w:val="000000"/>
                <w:sz w:val="22"/>
                <w:szCs w:val="22"/>
                <w:lang w:val="lt-LT"/>
              </w:rPr>
              <w:t>Praktiniais scenarijais patikrinta, kad iš migruoto objekto galima pasiekti arba vienareikšmiškai identifikuoti su juo susijusią projekto informaciją.</w:t>
            </w:r>
          </w:p>
        </w:tc>
      </w:tr>
      <w:tr w:rsidR="009F0D1F" w:rsidRPr="005A629B" w14:paraId="238F46D3" w14:textId="77777777" w:rsidTr="009F0D1F">
        <w:trPr>
          <w:trHeight w:val="2900"/>
        </w:trPr>
        <w:tc>
          <w:tcPr>
            <w:tcW w:w="960" w:type="dxa"/>
            <w:vAlign w:val="center"/>
            <w:hideMark/>
          </w:tcPr>
          <w:p w14:paraId="2389F871" w14:textId="77777777" w:rsidR="009F0D1F" w:rsidRPr="00CC4CE5" w:rsidRDefault="009F0D1F">
            <w:pPr>
              <w:rPr>
                <w:rFonts w:ascii="Aptos Narrow" w:hAnsi="Aptos Narrow"/>
                <w:b/>
                <w:bCs/>
                <w:color w:val="000000"/>
                <w:sz w:val="22"/>
                <w:szCs w:val="22"/>
                <w:lang w:val="lt-LT"/>
              </w:rPr>
            </w:pPr>
            <w:r w:rsidRPr="00CC4CE5">
              <w:rPr>
                <w:rFonts w:ascii="Aptos Narrow" w:hAnsi="Aptos Narrow"/>
                <w:b/>
                <w:bCs/>
                <w:color w:val="000000"/>
                <w:sz w:val="22"/>
                <w:szCs w:val="22"/>
                <w:lang w:val="lt-LT"/>
              </w:rPr>
              <w:t>3.15</w:t>
            </w:r>
          </w:p>
        </w:tc>
        <w:tc>
          <w:tcPr>
            <w:tcW w:w="2700" w:type="dxa"/>
            <w:vAlign w:val="center"/>
            <w:hideMark/>
          </w:tcPr>
          <w:p w14:paraId="7F0CD1AD" w14:textId="77777777" w:rsidR="009F0D1F" w:rsidRPr="00CC4CE5" w:rsidRDefault="009F0D1F">
            <w:pPr>
              <w:rPr>
                <w:rFonts w:ascii="Aptos Narrow" w:hAnsi="Aptos Narrow"/>
                <w:b/>
                <w:bCs/>
                <w:color w:val="000000"/>
                <w:sz w:val="22"/>
                <w:szCs w:val="22"/>
                <w:lang w:val="lt-LT"/>
              </w:rPr>
            </w:pPr>
            <w:r w:rsidRPr="00CC4CE5">
              <w:rPr>
                <w:rFonts w:ascii="Aptos Narrow" w:hAnsi="Aptos Narrow"/>
                <w:b/>
                <w:bCs/>
                <w:color w:val="000000"/>
                <w:sz w:val="22"/>
                <w:szCs w:val="22"/>
                <w:lang w:val="lt-LT"/>
              </w:rPr>
              <w:t>Techniškai neatkuriamų sisteminių atributų valdymas</w:t>
            </w:r>
          </w:p>
        </w:tc>
        <w:tc>
          <w:tcPr>
            <w:tcW w:w="5549" w:type="dxa"/>
            <w:vAlign w:val="center"/>
            <w:hideMark/>
          </w:tcPr>
          <w:p w14:paraId="29D4D6C1" w14:textId="77777777" w:rsidR="009F0D1F" w:rsidRPr="00CC4CE5" w:rsidRDefault="009F0D1F">
            <w:pPr>
              <w:rPr>
                <w:rFonts w:ascii="Aptos Narrow" w:hAnsi="Aptos Narrow"/>
                <w:color w:val="000000"/>
                <w:sz w:val="22"/>
                <w:szCs w:val="22"/>
                <w:lang w:val="lt-LT"/>
              </w:rPr>
            </w:pPr>
            <w:r w:rsidRPr="00CC4CE5">
              <w:rPr>
                <w:rFonts w:ascii="Aptos Narrow" w:hAnsi="Aptos Narrow"/>
                <w:color w:val="000000"/>
                <w:sz w:val="22"/>
                <w:szCs w:val="22"/>
                <w:lang w:val="lt-LT"/>
              </w:rPr>
              <w:t>Jeigu dėl skirtingos CDE techninės architektūros objektyviai neįmanoma identiškai atkurti tik tam tikrų šaltinio CDE sisteminių atributų, pvz., vidinių sistemos identifikatorių, sisteminės įkėlimo datos ar sisteminio veiksmą atlikusio naudotojo įrašo, Tiekėjas turi apie tai informuoti Užsakovą ir išsaugoti šią informaciją kitu su atitinkamu objektu susietu ir atsekamu būdu. Ši nuostata negali būti taikoma kaip pagrindas neperkelti šiame skyriuje nustatytų dokumentų, failų versijų, pastabų, užduočių ar darbui tęsti reikalingų jų ryšių.</w:t>
            </w:r>
          </w:p>
        </w:tc>
        <w:tc>
          <w:tcPr>
            <w:tcW w:w="2835" w:type="dxa"/>
            <w:vAlign w:val="center"/>
            <w:hideMark/>
          </w:tcPr>
          <w:p w14:paraId="653F7C28" w14:textId="77777777" w:rsidR="009F0D1F" w:rsidRPr="00CC4CE5" w:rsidRDefault="009F0D1F">
            <w:pPr>
              <w:rPr>
                <w:rFonts w:ascii="Aptos Narrow" w:hAnsi="Aptos Narrow"/>
                <w:color w:val="000000"/>
                <w:sz w:val="22"/>
                <w:szCs w:val="22"/>
                <w:lang w:val="lt-LT"/>
              </w:rPr>
            </w:pPr>
            <w:r w:rsidRPr="00CC4CE5">
              <w:rPr>
                <w:rFonts w:ascii="Aptos Narrow" w:hAnsi="Aptos Narrow"/>
                <w:color w:val="000000"/>
                <w:sz w:val="22"/>
                <w:szCs w:val="22"/>
                <w:lang w:val="lt-LT"/>
              </w:rPr>
              <w:t>Taikoma tik objektyviai techniškai neatkuriamiems šaltinio CDE sisteminiams atributams.</w:t>
            </w:r>
          </w:p>
        </w:tc>
        <w:tc>
          <w:tcPr>
            <w:tcW w:w="3119" w:type="dxa"/>
            <w:vAlign w:val="center"/>
            <w:hideMark/>
          </w:tcPr>
          <w:p w14:paraId="4F8B06C3" w14:textId="77777777" w:rsidR="009F0D1F" w:rsidRPr="00CC4CE5" w:rsidRDefault="009F0D1F">
            <w:pPr>
              <w:rPr>
                <w:rFonts w:ascii="Aptos Narrow" w:hAnsi="Aptos Narrow"/>
                <w:color w:val="000000"/>
                <w:sz w:val="22"/>
                <w:szCs w:val="22"/>
                <w:lang w:val="lt-LT"/>
              </w:rPr>
            </w:pPr>
            <w:r w:rsidRPr="00CC4CE5">
              <w:rPr>
                <w:rFonts w:ascii="Aptos Narrow" w:hAnsi="Aptos Narrow"/>
                <w:color w:val="000000"/>
                <w:sz w:val="22"/>
                <w:szCs w:val="22"/>
                <w:lang w:val="lt-LT"/>
              </w:rPr>
              <w:t>Visi tokie atvejai identifikuoti ir pagrįsti; informacija išsaugota su atitinkamu objektu susietu ir Užsakovui prieinamu būdu.</w:t>
            </w:r>
          </w:p>
        </w:tc>
      </w:tr>
      <w:tr w:rsidR="009F0D1F" w:rsidRPr="005A629B" w14:paraId="14F8F98F" w14:textId="77777777" w:rsidTr="009F0D1F">
        <w:trPr>
          <w:trHeight w:val="2320"/>
        </w:trPr>
        <w:tc>
          <w:tcPr>
            <w:tcW w:w="960" w:type="dxa"/>
            <w:vAlign w:val="center"/>
            <w:hideMark/>
          </w:tcPr>
          <w:p w14:paraId="4A9CDA47" w14:textId="77777777" w:rsidR="009F0D1F" w:rsidRPr="00CC4CE5" w:rsidRDefault="009F0D1F">
            <w:pPr>
              <w:rPr>
                <w:rFonts w:ascii="Aptos Narrow" w:hAnsi="Aptos Narrow"/>
                <w:b/>
                <w:bCs/>
                <w:color w:val="000000"/>
                <w:sz w:val="22"/>
                <w:szCs w:val="22"/>
                <w:lang w:val="lt-LT"/>
              </w:rPr>
            </w:pPr>
            <w:r w:rsidRPr="00CC4CE5">
              <w:rPr>
                <w:rFonts w:ascii="Aptos Narrow" w:hAnsi="Aptos Narrow"/>
                <w:b/>
                <w:bCs/>
                <w:color w:val="000000"/>
                <w:sz w:val="22"/>
                <w:szCs w:val="22"/>
                <w:lang w:val="lt-LT"/>
              </w:rPr>
              <w:lastRenderedPageBreak/>
              <w:t>3.16</w:t>
            </w:r>
          </w:p>
        </w:tc>
        <w:tc>
          <w:tcPr>
            <w:tcW w:w="2700" w:type="dxa"/>
            <w:vAlign w:val="center"/>
            <w:hideMark/>
          </w:tcPr>
          <w:p w14:paraId="7E6EB686" w14:textId="77777777" w:rsidR="009F0D1F" w:rsidRPr="00CC4CE5" w:rsidRDefault="009F0D1F">
            <w:pPr>
              <w:rPr>
                <w:rFonts w:ascii="Aptos Narrow" w:hAnsi="Aptos Narrow"/>
                <w:b/>
                <w:bCs/>
                <w:color w:val="000000"/>
                <w:sz w:val="22"/>
                <w:szCs w:val="22"/>
                <w:lang w:val="lt-LT"/>
              </w:rPr>
            </w:pPr>
            <w:r w:rsidRPr="00CC4CE5">
              <w:rPr>
                <w:rFonts w:ascii="Aptos Narrow" w:hAnsi="Aptos Narrow"/>
                <w:b/>
                <w:bCs/>
                <w:color w:val="000000"/>
                <w:sz w:val="22"/>
                <w:szCs w:val="22"/>
                <w:lang w:val="lt-LT"/>
              </w:rPr>
              <w:t>Aktyvių projektų perėjimo į naują CDE organizavimas</w:t>
            </w:r>
          </w:p>
        </w:tc>
        <w:tc>
          <w:tcPr>
            <w:tcW w:w="5549" w:type="dxa"/>
            <w:vAlign w:val="center"/>
            <w:hideMark/>
          </w:tcPr>
          <w:p w14:paraId="785D1F9F" w14:textId="77777777" w:rsidR="009F0D1F" w:rsidRPr="00CC4CE5" w:rsidRDefault="009F0D1F">
            <w:pPr>
              <w:rPr>
                <w:rFonts w:ascii="Aptos Narrow" w:hAnsi="Aptos Narrow"/>
                <w:color w:val="000000"/>
                <w:sz w:val="22"/>
                <w:szCs w:val="22"/>
                <w:lang w:val="lt-LT"/>
              </w:rPr>
            </w:pPr>
            <w:r w:rsidRPr="00CC4CE5">
              <w:rPr>
                <w:rFonts w:ascii="Aptos Narrow" w:hAnsi="Aptos Narrow"/>
                <w:color w:val="000000"/>
                <w:sz w:val="22"/>
                <w:szCs w:val="22"/>
                <w:lang w:val="lt-LT"/>
              </w:rPr>
              <w:t>Tiekėjas turi organizuoti kiekvieno aktyvaus projekto migraciją taip, kad tarp duomenų perkėlimo pradžios ir galutinio darbo pradžios naujoje CDE atlikti pakeitimai nebūtų prarasti ar dubliuojami. Turi būti nustatytas aiškus momentas, nuo kurio projekto darbas tęsiamas naujoje CDE. Vieno projekto naudotojų darbo sustabdymas dėl galutinio perėjimo į naują CDE negali viršyti 1 darbo dienos.</w:t>
            </w:r>
          </w:p>
        </w:tc>
        <w:tc>
          <w:tcPr>
            <w:tcW w:w="2835" w:type="dxa"/>
            <w:vAlign w:val="center"/>
            <w:hideMark/>
          </w:tcPr>
          <w:p w14:paraId="27931B29" w14:textId="77777777" w:rsidR="009F0D1F" w:rsidRPr="00CC4CE5" w:rsidRDefault="009F0D1F">
            <w:pPr>
              <w:rPr>
                <w:rFonts w:ascii="Aptos Narrow" w:hAnsi="Aptos Narrow"/>
                <w:color w:val="000000"/>
                <w:sz w:val="22"/>
                <w:szCs w:val="22"/>
                <w:lang w:val="lt-LT"/>
              </w:rPr>
            </w:pPr>
            <w:r w:rsidRPr="00CC4CE5">
              <w:rPr>
                <w:rFonts w:ascii="Aptos Narrow" w:hAnsi="Aptos Narrow"/>
                <w:color w:val="000000"/>
                <w:sz w:val="22"/>
                <w:szCs w:val="22"/>
                <w:lang w:val="lt-LT"/>
              </w:rPr>
              <w:t>Taikoma kiekvienam migruojamam aktyviam projektui.</w:t>
            </w:r>
          </w:p>
        </w:tc>
        <w:tc>
          <w:tcPr>
            <w:tcW w:w="3119" w:type="dxa"/>
            <w:vAlign w:val="center"/>
            <w:hideMark/>
          </w:tcPr>
          <w:p w14:paraId="5185CC3C" w14:textId="77777777" w:rsidR="009F0D1F" w:rsidRPr="00CC4CE5" w:rsidRDefault="009F0D1F">
            <w:pPr>
              <w:rPr>
                <w:rFonts w:ascii="Aptos Narrow" w:hAnsi="Aptos Narrow"/>
                <w:color w:val="000000"/>
                <w:sz w:val="22"/>
                <w:szCs w:val="22"/>
                <w:lang w:val="lt-LT"/>
              </w:rPr>
            </w:pPr>
            <w:r w:rsidRPr="00CC4CE5">
              <w:rPr>
                <w:rFonts w:ascii="Aptos Narrow" w:hAnsi="Aptos Narrow"/>
                <w:color w:val="000000"/>
                <w:sz w:val="22"/>
                <w:szCs w:val="22"/>
                <w:lang w:val="lt-LT"/>
              </w:rPr>
              <w:t>Užbaigus galutinį projekto duomenų perkėlimą, darbas naujoje CDE gali būti tęsiamas ne vėliau kaip kitą darbo dieną po duomenų keitimo šaltinio CDE sustabdymo, neprarandant perkeliamų duomenų ir jų ryšių.</w:t>
            </w:r>
          </w:p>
        </w:tc>
      </w:tr>
      <w:tr w:rsidR="009F0D1F" w:rsidRPr="005A629B" w14:paraId="712D8F5E" w14:textId="77777777" w:rsidTr="009F0D1F">
        <w:trPr>
          <w:trHeight w:val="2900"/>
        </w:trPr>
        <w:tc>
          <w:tcPr>
            <w:tcW w:w="960" w:type="dxa"/>
            <w:vAlign w:val="center"/>
            <w:hideMark/>
          </w:tcPr>
          <w:p w14:paraId="2E8A9BAC" w14:textId="77777777" w:rsidR="009F0D1F" w:rsidRPr="00CC4CE5" w:rsidRDefault="009F0D1F">
            <w:pPr>
              <w:rPr>
                <w:rFonts w:ascii="Aptos Narrow" w:hAnsi="Aptos Narrow"/>
                <w:b/>
                <w:bCs/>
                <w:color w:val="000000"/>
                <w:sz w:val="22"/>
                <w:szCs w:val="22"/>
                <w:lang w:val="lt-LT"/>
              </w:rPr>
            </w:pPr>
            <w:r w:rsidRPr="00CC4CE5">
              <w:rPr>
                <w:rFonts w:ascii="Aptos Narrow" w:hAnsi="Aptos Narrow"/>
                <w:b/>
                <w:bCs/>
                <w:color w:val="000000"/>
                <w:sz w:val="22"/>
                <w:szCs w:val="22"/>
                <w:lang w:val="lt-LT"/>
              </w:rPr>
              <w:t>3.17</w:t>
            </w:r>
          </w:p>
        </w:tc>
        <w:tc>
          <w:tcPr>
            <w:tcW w:w="2700" w:type="dxa"/>
            <w:vAlign w:val="center"/>
            <w:hideMark/>
          </w:tcPr>
          <w:p w14:paraId="1682DC38" w14:textId="77777777" w:rsidR="009F0D1F" w:rsidRPr="00CC4CE5" w:rsidRDefault="009F0D1F">
            <w:pPr>
              <w:rPr>
                <w:rFonts w:ascii="Aptos Narrow" w:hAnsi="Aptos Narrow"/>
                <w:b/>
                <w:bCs/>
                <w:color w:val="000000"/>
                <w:sz w:val="22"/>
                <w:szCs w:val="22"/>
                <w:lang w:val="lt-LT"/>
              </w:rPr>
            </w:pPr>
            <w:r w:rsidRPr="00CC4CE5">
              <w:rPr>
                <w:rFonts w:ascii="Aptos Narrow" w:hAnsi="Aptos Narrow"/>
                <w:b/>
                <w:bCs/>
                <w:color w:val="000000"/>
                <w:sz w:val="22"/>
                <w:szCs w:val="22"/>
                <w:lang w:val="lt-LT"/>
              </w:rPr>
              <w:t>Bandomoji migracija</w:t>
            </w:r>
          </w:p>
        </w:tc>
        <w:tc>
          <w:tcPr>
            <w:tcW w:w="5549" w:type="dxa"/>
            <w:vAlign w:val="center"/>
            <w:hideMark/>
          </w:tcPr>
          <w:p w14:paraId="354715CE" w14:textId="77777777" w:rsidR="009F0D1F" w:rsidRPr="00CC4CE5" w:rsidRDefault="009F0D1F">
            <w:pPr>
              <w:rPr>
                <w:rFonts w:ascii="Aptos Narrow" w:hAnsi="Aptos Narrow"/>
                <w:color w:val="000000"/>
                <w:sz w:val="22"/>
                <w:szCs w:val="22"/>
                <w:lang w:val="lt-LT"/>
              </w:rPr>
            </w:pPr>
            <w:r w:rsidRPr="00CC4CE5">
              <w:rPr>
                <w:rFonts w:ascii="Aptos Narrow" w:hAnsi="Aptos Narrow"/>
                <w:color w:val="000000"/>
                <w:sz w:val="22"/>
                <w:szCs w:val="22"/>
                <w:lang w:val="lt-LT"/>
              </w:rPr>
              <w:t xml:space="preserve">Prieš pradedant kitų projektų galutinį perkėlimą Tiekėjas turi atlikti bandomąją aktyvaus ir reprezentatyvaus Užsakovo pasirinkto projekto migraciją. Jos metu turi būti praktiškai patikrintas dokumentų ir visų jų versijų, metaduomenų, būsenų, pastabų, užduočių, tarpusavio ryšių ir vykstančių procesų perkėlimas bei darbo tęstinumas. Bandomoji migracija turi apimti realias dokumentų peržiūros pastabas, sukurtas skirtinguose </w:t>
            </w:r>
            <w:proofErr w:type="spellStart"/>
            <w:r w:rsidRPr="00CC4CE5">
              <w:rPr>
                <w:rFonts w:ascii="Aptos Narrow" w:hAnsi="Aptos Narrow"/>
                <w:color w:val="000000"/>
                <w:sz w:val="22"/>
                <w:szCs w:val="22"/>
                <w:lang w:val="lt-LT"/>
              </w:rPr>
              <w:t>daugiapuslapių</w:t>
            </w:r>
            <w:proofErr w:type="spellEnd"/>
            <w:r w:rsidRPr="00CC4CE5">
              <w:rPr>
                <w:rFonts w:ascii="Aptos Narrow" w:hAnsi="Aptos Narrow"/>
                <w:color w:val="000000"/>
                <w:sz w:val="22"/>
                <w:szCs w:val="22"/>
                <w:lang w:val="lt-LT"/>
              </w:rPr>
              <w:t xml:space="preserve"> PDF dokumentų puslapiuose ir skirtingose jų vietose.</w:t>
            </w:r>
          </w:p>
        </w:tc>
        <w:tc>
          <w:tcPr>
            <w:tcW w:w="2835" w:type="dxa"/>
            <w:vAlign w:val="center"/>
            <w:hideMark/>
          </w:tcPr>
          <w:p w14:paraId="031C41ED" w14:textId="77777777" w:rsidR="009F0D1F" w:rsidRPr="00CC4CE5" w:rsidRDefault="009F0D1F">
            <w:pPr>
              <w:rPr>
                <w:rFonts w:ascii="Aptos Narrow" w:hAnsi="Aptos Narrow"/>
                <w:color w:val="000000"/>
                <w:sz w:val="22"/>
                <w:szCs w:val="22"/>
                <w:lang w:val="lt-LT"/>
              </w:rPr>
            </w:pPr>
            <w:r w:rsidRPr="00CC4CE5">
              <w:rPr>
                <w:rFonts w:ascii="Aptos Narrow" w:hAnsi="Aptos Narrow"/>
                <w:color w:val="000000"/>
                <w:sz w:val="22"/>
                <w:szCs w:val="22"/>
                <w:lang w:val="lt-LT"/>
              </w:rPr>
              <w:t xml:space="preserve">Ne mažiau kaip </w:t>
            </w:r>
            <w:r w:rsidRPr="00CC4CE5">
              <w:rPr>
                <w:rFonts w:ascii="Aptos Narrow" w:hAnsi="Aptos Narrow"/>
                <w:b/>
                <w:bCs/>
                <w:color w:val="000000"/>
                <w:sz w:val="22"/>
                <w:szCs w:val="22"/>
                <w:lang w:val="lt-LT"/>
              </w:rPr>
              <w:t>1 bandomasis aktyvus projektas</w:t>
            </w:r>
            <w:r w:rsidRPr="00CC4CE5">
              <w:rPr>
                <w:rFonts w:ascii="Aptos Narrow" w:hAnsi="Aptos Narrow"/>
                <w:color w:val="000000"/>
                <w:sz w:val="22"/>
                <w:szCs w:val="22"/>
                <w:lang w:val="lt-LT"/>
              </w:rPr>
              <w:t>.</w:t>
            </w:r>
          </w:p>
        </w:tc>
        <w:tc>
          <w:tcPr>
            <w:tcW w:w="3119" w:type="dxa"/>
            <w:vAlign w:val="center"/>
            <w:hideMark/>
          </w:tcPr>
          <w:p w14:paraId="6E19DC83" w14:textId="5C339F68" w:rsidR="009F0D1F" w:rsidRPr="00CC4CE5" w:rsidRDefault="009F0D1F">
            <w:pPr>
              <w:rPr>
                <w:rFonts w:ascii="Aptos Narrow" w:hAnsi="Aptos Narrow"/>
                <w:color w:val="000000"/>
                <w:sz w:val="22"/>
                <w:szCs w:val="22"/>
                <w:lang w:val="lt-LT"/>
              </w:rPr>
            </w:pPr>
            <w:r w:rsidRPr="00CC4CE5">
              <w:rPr>
                <w:rFonts w:ascii="Aptos Narrow" w:hAnsi="Aptos Narrow"/>
                <w:color w:val="000000"/>
                <w:sz w:val="22"/>
                <w:szCs w:val="22"/>
                <w:lang w:val="lt-LT"/>
              </w:rPr>
              <w:t xml:space="preserve">Įvykdyti su Užsakovu suderinti migracijos bandymo scenarijai ir pašalinti visi nustatyti neatitikimai techninės specifikacijos reikalavimams prieš pradedant kitų projektų </w:t>
            </w:r>
            <w:r w:rsidR="00A61033" w:rsidRPr="00CC4CE5">
              <w:rPr>
                <w:rFonts w:ascii="Aptos Narrow" w:hAnsi="Aptos Narrow"/>
                <w:color w:val="000000"/>
                <w:sz w:val="22"/>
                <w:szCs w:val="22"/>
                <w:lang w:val="lt-LT"/>
              </w:rPr>
              <w:t>galutinį perkėlimą.</w:t>
            </w:r>
          </w:p>
        </w:tc>
      </w:tr>
      <w:tr w:rsidR="009F0D1F" w:rsidRPr="005A629B" w14:paraId="68A0FAE2" w14:textId="77777777" w:rsidTr="009F0D1F">
        <w:trPr>
          <w:trHeight w:val="1740"/>
        </w:trPr>
        <w:tc>
          <w:tcPr>
            <w:tcW w:w="960" w:type="dxa"/>
            <w:vAlign w:val="center"/>
            <w:hideMark/>
          </w:tcPr>
          <w:p w14:paraId="7BE1EAC7" w14:textId="77777777" w:rsidR="009F0D1F" w:rsidRPr="00CC4CE5" w:rsidRDefault="009F0D1F">
            <w:pPr>
              <w:rPr>
                <w:rFonts w:ascii="Aptos Narrow" w:hAnsi="Aptos Narrow"/>
                <w:b/>
                <w:bCs/>
                <w:color w:val="000000"/>
                <w:sz w:val="22"/>
                <w:szCs w:val="22"/>
                <w:lang w:val="lt-LT"/>
              </w:rPr>
            </w:pPr>
            <w:r w:rsidRPr="00CC4CE5">
              <w:rPr>
                <w:rFonts w:ascii="Aptos Narrow" w:hAnsi="Aptos Narrow"/>
                <w:b/>
                <w:bCs/>
                <w:color w:val="000000"/>
                <w:sz w:val="22"/>
                <w:szCs w:val="22"/>
                <w:lang w:val="lt-LT"/>
              </w:rPr>
              <w:t>3.18</w:t>
            </w:r>
          </w:p>
        </w:tc>
        <w:tc>
          <w:tcPr>
            <w:tcW w:w="2700" w:type="dxa"/>
            <w:vAlign w:val="center"/>
            <w:hideMark/>
          </w:tcPr>
          <w:p w14:paraId="24F8C836" w14:textId="77777777" w:rsidR="009F0D1F" w:rsidRPr="00CC4CE5" w:rsidRDefault="009F0D1F">
            <w:pPr>
              <w:rPr>
                <w:rFonts w:ascii="Aptos Narrow" w:hAnsi="Aptos Narrow"/>
                <w:b/>
                <w:bCs/>
                <w:color w:val="000000"/>
                <w:sz w:val="22"/>
                <w:szCs w:val="22"/>
                <w:lang w:val="lt-LT"/>
              </w:rPr>
            </w:pPr>
            <w:r w:rsidRPr="00CC4CE5">
              <w:rPr>
                <w:rFonts w:ascii="Aptos Narrow" w:hAnsi="Aptos Narrow"/>
                <w:b/>
                <w:bCs/>
                <w:color w:val="000000"/>
                <w:sz w:val="22"/>
                <w:szCs w:val="22"/>
                <w:lang w:val="lt-LT"/>
              </w:rPr>
              <w:t>Migracijos rezultatų sutikrinimas</w:t>
            </w:r>
          </w:p>
        </w:tc>
        <w:tc>
          <w:tcPr>
            <w:tcW w:w="5549" w:type="dxa"/>
            <w:vAlign w:val="center"/>
            <w:hideMark/>
          </w:tcPr>
          <w:p w14:paraId="77257317" w14:textId="77777777" w:rsidR="009F0D1F" w:rsidRPr="00CC4CE5" w:rsidRDefault="009F0D1F">
            <w:pPr>
              <w:rPr>
                <w:rFonts w:ascii="Aptos Narrow" w:hAnsi="Aptos Narrow"/>
                <w:color w:val="000000"/>
                <w:sz w:val="22"/>
                <w:szCs w:val="22"/>
                <w:lang w:val="lt-LT"/>
              </w:rPr>
            </w:pPr>
            <w:r w:rsidRPr="00CC4CE5">
              <w:rPr>
                <w:rFonts w:ascii="Aptos Narrow" w:hAnsi="Aptos Narrow"/>
                <w:color w:val="000000"/>
                <w:sz w:val="22"/>
                <w:szCs w:val="22"/>
                <w:lang w:val="lt-LT"/>
              </w:rPr>
              <w:t>Po kiekvieno projekto migracijos Tiekėjas turi atlikti šaltinio ir naujos CDE duomenų sutikrinimą bei pateikti migracijos rezultatų informaciją. Turi būti galima nustatyti, kiek objektų buvo šaltinio CDE, kiek jų perkelta, ar nustatyta neatitikimų ir kaip jie pašalinti.</w:t>
            </w:r>
          </w:p>
        </w:tc>
        <w:tc>
          <w:tcPr>
            <w:tcW w:w="2835" w:type="dxa"/>
            <w:vAlign w:val="center"/>
            <w:hideMark/>
          </w:tcPr>
          <w:p w14:paraId="72BD3163" w14:textId="77777777" w:rsidR="009F0D1F" w:rsidRPr="00CC4CE5" w:rsidRDefault="009F0D1F">
            <w:pPr>
              <w:rPr>
                <w:rFonts w:ascii="Aptos Narrow" w:hAnsi="Aptos Narrow"/>
                <w:color w:val="000000"/>
                <w:sz w:val="22"/>
                <w:szCs w:val="22"/>
                <w:lang w:val="lt-LT"/>
              </w:rPr>
            </w:pPr>
            <w:r w:rsidRPr="00CC4CE5">
              <w:rPr>
                <w:rFonts w:ascii="Aptos Narrow" w:hAnsi="Aptos Narrow"/>
                <w:color w:val="000000"/>
                <w:sz w:val="22"/>
                <w:szCs w:val="22"/>
                <w:lang w:val="lt-LT"/>
              </w:rPr>
              <w:t>Atliekama kiekvienam migruotam projektui.</w:t>
            </w:r>
          </w:p>
        </w:tc>
        <w:tc>
          <w:tcPr>
            <w:tcW w:w="3119" w:type="dxa"/>
            <w:vAlign w:val="center"/>
            <w:hideMark/>
          </w:tcPr>
          <w:p w14:paraId="5F1CA2DE" w14:textId="77777777" w:rsidR="009F0D1F" w:rsidRPr="00CC4CE5" w:rsidRDefault="009F0D1F">
            <w:pPr>
              <w:rPr>
                <w:rFonts w:ascii="Aptos Narrow" w:hAnsi="Aptos Narrow"/>
                <w:color w:val="000000"/>
                <w:sz w:val="22"/>
                <w:szCs w:val="22"/>
                <w:lang w:val="lt-LT"/>
              </w:rPr>
            </w:pPr>
            <w:r w:rsidRPr="00CC4CE5">
              <w:rPr>
                <w:rFonts w:ascii="Aptos Narrow" w:hAnsi="Aptos Narrow"/>
                <w:color w:val="000000"/>
                <w:sz w:val="22"/>
                <w:szCs w:val="22"/>
                <w:lang w:val="lt-LT"/>
              </w:rPr>
              <w:t>Užsakovui pateikti kiekvieno projekto migracijos sutikrinimo rezultatai; visi nustatyti nepaaiškinti duomenų trūkumai ar neatitikimai pašalinti.</w:t>
            </w:r>
          </w:p>
        </w:tc>
      </w:tr>
      <w:tr w:rsidR="009F0D1F" w:rsidRPr="005A629B" w14:paraId="71B147B7" w14:textId="77777777" w:rsidTr="009F0D1F">
        <w:trPr>
          <w:trHeight w:val="2610"/>
        </w:trPr>
        <w:tc>
          <w:tcPr>
            <w:tcW w:w="960" w:type="dxa"/>
            <w:vAlign w:val="center"/>
            <w:hideMark/>
          </w:tcPr>
          <w:p w14:paraId="02C5A0F3" w14:textId="77777777" w:rsidR="009F0D1F" w:rsidRPr="00CC4CE5" w:rsidRDefault="009F0D1F">
            <w:pPr>
              <w:rPr>
                <w:rFonts w:ascii="Aptos Narrow" w:hAnsi="Aptos Narrow"/>
                <w:b/>
                <w:bCs/>
                <w:color w:val="000000"/>
                <w:sz w:val="22"/>
                <w:szCs w:val="22"/>
                <w:lang w:val="lt-LT"/>
              </w:rPr>
            </w:pPr>
            <w:r w:rsidRPr="00CC4CE5">
              <w:rPr>
                <w:rFonts w:ascii="Aptos Narrow" w:hAnsi="Aptos Narrow"/>
                <w:b/>
                <w:bCs/>
                <w:color w:val="000000"/>
                <w:sz w:val="22"/>
                <w:szCs w:val="22"/>
                <w:lang w:val="lt-LT"/>
              </w:rPr>
              <w:t>3.19</w:t>
            </w:r>
          </w:p>
        </w:tc>
        <w:tc>
          <w:tcPr>
            <w:tcW w:w="2700" w:type="dxa"/>
            <w:vAlign w:val="center"/>
            <w:hideMark/>
          </w:tcPr>
          <w:p w14:paraId="72BC2C84" w14:textId="77777777" w:rsidR="009F0D1F" w:rsidRPr="00CC4CE5" w:rsidRDefault="009F0D1F">
            <w:pPr>
              <w:rPr>
                <w:rFonts w:ascii="Aptos Narrow" w:hAnsi="Aptos Narrow"/>
                <w:b/>
                <w:bCs/>
                <w:color w:val="000000"/>
                <w:sz w:val="22"/>
                <w:szCs w:val="22"/>
                <w:lang w:val="lt-LT"/>
              </w:rPr>
            </w:pPr>
            <w:r w:rsidRPr="00CC4CE5">
              <w:rPr>
                <w:rFonts w:ascii="Aptos Narrow" w:hAnsi="Aptos Narrow"/>
                <w:b/>
                <w:bCs/>
                <w:color w:val="000000"/>
                <w:sz w:val="22"/>
                <w:szCs w:val="22"/>
                <w:lang w:val="lt-LT"/>
              </w:rPr>
              <w:t>Migracijos paslaugų atlikimo terminas</w:t>
            </w:r>
          </w:p>
        </w:tc>
        <w:tc>
          <w:tcPr>
            <w:tcW w:w="5549" w:type="dxa"/>
            <w:vAlign w:val="center"/>
            <w:hideMark/>
          </w:tcPr>
          <w:p w14:paraId="3804C489" w14:textId="77777777" w:rsidR="009F0D1F" w:rsidRPr="00CC4CE5" w:rsidRDefault="009F0D1F">
            <w:pPr>
              <w:rPr>
                <w:rFonts w:ascii="Aptos Narrow" w:hAnsi="Aptos Narrow"/>
                <w:color w:val="000000"/>
                <w:sz w:val="22"/>
                <w:szCs w:val="22"/>
                <w:lang w:val="lt-LT"/>
              </w:rPr>
            </w:pPr>
            <w:r w:rsidRPr="00CC4CE5">
              <w:rPr>
                <w:rFonts w:ascii="Aptos Narrow" w:hAnsi="Aptos Narrow"/>
                <w:color w:val="000000"/>
                <w:sz w:val="22"/>
                <w:szCs w:val="22"/>
                <w:lang w:val="lt-LT"/>
              </w:rPr>
              <w:t>Tiekėjas turi organizuoti migracijos darbus ir skirti pakankamus techninius bei žmogiškuosius išteklius, kad visi šiame skyriuje nustatyti migracijos darbai būtų atlikti per nustatytą terminą. Iki 2 skyriuje numatytos CDE konfigūracijos priėmimo Tiekėjas turi būti atlikęs visus migracijos parengiamuosius ir duomenų perkėlimo darbus, kuriuos buvo galima atlikti nepertraukiant aktyvaus darbo šaltinio CDE.</w:t>
            </w:r>
          </w:p>
        </w:tc>
        <w:tc>
          <w:tcPr>
            <w:tcW w:w="2835" w:type="dxa"/>
            <w:vAlign w:val="bottom"/>
            <w:hideMark/>
          </w:tcPr>
          <w:p w14:paraId="29F47AA3" w14:textId="77777777" w:rsidR="009F0D1F" w:rsidRPr="00CC4CE5" w:rsidRDefault="009F0D1F">
            <w:pPr>
              <w:rPr>
                <w:rFonts w:ascii="Aptos Narrow" w:hAnsi="Aptos Narrow"/>
                <w:color w:val="000000"/>
                <w:sz w:val="22"/>
                <w:szCs w:val="22"/>
                <w:lang w:val="lt-LT"/>
              </w:rPr>
            </w:pPr>
            <w:r w:rsidRPr="00CC4CE5">
              <w:rPr>
                <w:rFonts w:ascii="Aptos Narrow" w:hAnsi="Aptos Narrow"/>
                <w:color w:val="000000"/>
                <w:sz w:val="22"/>
                <w:szCs w:val="22"/>
                <w:lang w:val="lt-LT"/>
              </w:rPr>
              <w:t>Visi migruojami projektai ir jų duomenys turi būti perkelti į naują CDE ir pateikti Užsakovui priėmimui ne vėliau kaip per 30 kalendorinių dienų nuo 2 skyriuje numatytos CDE konfigūracijos priėmimo dienos.</w:t>
            </w:r>
          </w:p>
        </w:tc>
        <w:tc>
          <w:tcPr>
            <w:tcW w:w="3119" w:type="dxa"/>
            <w:vAlign w:val="center"/>
            <w:hideMark/>
          </w:tcPr>
          <w:p w14:paraId="231181E7" w14:textId="77777777" w:rsidR="009F0D1F" w:rsidRPr="00CC4CE5" w:rsidRDefault="009F0D1F">
            <w:pPr>
              <w:rPr>
                <w:rFonts w:ascii="Aptos Narrow" w:hAnsi="Aptos Narrow"/>
                <w:color w:val="000000"/>
                <w:sz w:val="22"/>
                <w:szCs w:val="22"/>
                <w:lang w:val="lt-LT"/>
              </w:rPr>
            </w:pPr>
            <w:r w:rsidRPr="00CC4CE5">
              <w:rPr>
                <w:rFonts w:ascii="Aptos Narrow" w:hAnsi="Aptos Narrow"/>
                <w:color w:val="000000"/>
                <w:sz w:val="22"/>
                <w:szCs w:val="22"/>
                <w:lang w:val="lt-LT"/>
              </w:rPr>
              <w:t>Per nustatytą terminą visi į migracijos apimtį įtraukti projektai perkelti į naują CDE, atliktas jų duomenų sutikrinimas ir projektai pateikti Užsakovui priėmimui.</w:t>
            </w:r>
          </w:p>
        </w:tc>
      </w:tr>
      <w:tr w:rsidR="009F0D1F" w:rsidRPr="005A629B" w14:paraId="53B15451" w14:textId="77777777" w:rsidTr="009F0D1F">
        <w:trPr>
          <w:trHeight w:val="1740"/>
        </w:trPr>
        <w:tc>
          <w:tcPr>
            <w:tcW w:w="960" w:type="dxa"/>
            <w:vAlign w:val="center"/>
            <w:hideMark/>
          </w:tcPr>
          <w:p w14:paraId="39193EA7" w14:textId="77777777" w:rsidR="009F0D1F" w:rsidRPr="00CC4CE5" w:rsidRDefault="009F0D1F">
            <w:pPr>
              <w:rPr>
                <w:rFonts w:ascii="Aptos Narrow" w:hAnsi="Aptos Narrow"/>
                <w:b/>
                <w:bCs/>
                <w:color w:val="000000"/>
                <w:sz w:val="22"/>
                <w:szCs w:val="22"/>
                <w:lang w:val="lt-LT"/>
              </w:rPr>
            </w:pPr>
            <w:r w:rsidRPr="00CC4CE5">
              <w:rPr>
                <w:rFonts w:ascii="Aptos Narrow" w:hAnsi="Aptos Narrow"/>
                <w:b/>
                <w:bCs/>
                <w:color w:val="000000"/>
                <w:sz w:val="22"/>
                <w:szCs w:val="22"/>
                <w:lang w:val="lt-LT"/>
              </w:rPr>
              <w:lastRenderedPageBreak/>
              <w:t>3.20</w:t>
            </w:r>
          </w:p>
        </w:tc>
        <w:tc>
          <w:tcPr>
            <w:tcW w:w="2700" w:type="dxa"/>
            <w:vAlign w:val="center"/>
            <w:hideMark/>
          </w:tcPr>
          <w:p w14:paraId="18855A39" w14:textId="77777777" w:rsidR="009F0D1F" w:rsidRPr="00CC4CE5" w:rsidRDefault="009F0D1F">
            <w:pPr>
              <w:rPr>
                <w:rFonts w:ascii="Aptos Narrow" w:hAnsi="Aptos Narrow"/>
                <w:b/>
                <w:bCs/>
                <w:color w:val="000000"/>
                <w:sz w:val="22"/>
                <w:szCs w:val="22"/>
                <w:lang w:val="lt-LT"/>
              </w:rPr>
            </w:pPr>
            <w:r w:rsidRPr="00CC4CE5">
              <w:rPr>
                <w:rFonts w:ascii="Aptos Narrow" w:hAnsi="Aptos Narrow"/>
                <w:b/>
                <w:bCs/>
                <w:color w:val="000000"/>
                <w:sz w:val="22"/>
                <w:szCs w:val="22"/>
                <w:lang w:val="lt-LT"/>
              </w:rPr>
              <w:t>Migruoto projekto perdavimas darbui</w:t>
            </w:r>
          </w:p>
        </w:tc>
        <w:tc>
          <w:tcPr>
            <w:tcW w:w="5549" w:type="dxa"/>
            <w:vAlign w:val="center"/>
            <w:hideMark/>
          </w:tcPr>
          <w:p w14:paraId="4EE2F01B" w14:textId="77777777" w:rsidR="009F0D1F" w:rsidRPr="00CC4CE5" w:rsidRDefault="009F0D1F">
            <w:pPr>
              <w:rPr>
                <w:rFonts w:ascii="Aptos Narrow" w:hAnsi="Aptos Narrow"/>
                <w:color w:val="000000"/>
                <w:sz w:val="22"/>
                <w:szCs w:val="22"/>
                <w:lang w:val="lt-LT"/>
              </w:rPr>
            </w:pPr>
            <w:r w:rsidRPr="00CC4CE5">
              <w:rPr>
                <w:rFonts w:ascii="Aptos Narrow" w:hAnsi="Aptos Narrow"/>
                <w:color w:val="000000"/>
                <w:sz w:val="22"/>
                <w:szCs w:val="22"/>
                <w:lang w:val="lt-LT"/>
              </w:rPr>
              <w:t>Projektas laikomas sėkmingai migruotu tik tada, kai Užsakovo nustatytais scenarijais patikrinama, kad naujoje CDE yra prieinami visi numatyti dokumentai ir jų versijos, kita migruojama informacija, išlaikyti darbui reikalingi ryšiai, o migracijos momentu aktyvios pastabos, užduotys ir procesai gali būti toliau vykdomi.</w:t>
            </w:r>
          </w:p>
        </w:tc>
        <w:tc>
          <w:tcPr>
            <w:tcW w:w="2835" w:type="dxa"/>
            <w:vAlign w:val="center"/>
            <w:hideMark/>
          </w:tcPr>
          <w:p w14:paraId="73222CDF" w14:textId="77777777" w:rsidR="009F0D1F" w:rsidRPr="00CC4CE5" w:rsidRDefault="009F0D1F">
            <w:pPr>
              <w:rPr>
                <w:rFonts w:ascii="Aptos Narrow" w:hAnsi="Aptos Narrow"/>
                <w:color w:val="000000"/>
                <w:sz w:val="22"/>
                <w:szCs w:val="22"/>
                <w:lang w:val="lt-LT"/>
              </w:rPr>
            </w:pPr>
            <w:r w:rsidRPr="00CC4CE5">
              <w:rPr>
                <w:rFonts w:ascii="Aptos Narrow" w:hAnsi="Aptos Narrow"/>
                <w:color w:val="000000"/>
                <w:sz w:val="22"/>
                <w:szCs w:val="22"/>
                <w:lang w:val="lt-LT"/>
              </w:rPr>
              <w:t>Taikoma kiekvienam migruotam projektui.</w:t>
            </w:r>
          </w:p>
        </w:tc>
        <w:tc>
          <w:tcPr>
            <w:tcW w:w="3119" w:type="dxa"/>
            <w:vAlign w:val="center"/>
            <w:hideMark/>
          </w:tcPr>
          <w:p w14:paraId="01206AE4" w14:textId="77777777" w:rsidR="009F0D1F" w:rsidRPr="00CC4CE5" w:rsidRDefault="009F0D1F">
            <w:pPr>
              <w:rPr>
                <w:rFonts w:ascii="Aptos Narrow" w:hAnsi="Aptos Narrow"/>
                <w:color w:val="000000"/>
                <w:sz w:val="22"/>
                <w:szCs w:val="22"/>
                <w:lang w:val="lt-LT"/>
              </w:rPr>
            </w:pPr>
            <w:r w:rsidRPr="00CC4CE5">
              <w:rPr>
                <w:rFonts w:ascii="Aptos Narrow" w:hAnsi="Aptos Narrow"/>
                <w:color w:val="000000"/>
                <w:sz w:val="22"/>
                <w:szCs w:val="22"/>
                <w:lang w:val="lt-LT"/>
              </w:rPr>
              <w:t>Užsakovo atlikti priėmimo scenarijai įvykdyti sėkmingai ir projektas raštu priimtas darbui naujoje CDE.</w:t>
            </w:r>
          </w:p>
        </w:tc>
      </w:tr>
    </w:tbl>
    <w:p w14:paraId="7E15EE11" w14:textId="77777777" w:rsidR="00490070" w:rsidRPr="00CC4CE5" w:rsidRDefault="00490070" w:rsidP="00212625">
      <w:pPr>
        <w:spacing w:line="276" w:lineRule="auto"/>
        <w:jc w:val="both"/>
        <w:rPr>
          <w:rFonts w:ascii="Trebuchet MS" w:hAnsi="Trebuchet MS"/>
          <w:sz w:val="22"/>
          <w:szCs w:val="22"/>
          <w:lang w:val="lt-LT"/>
        </w:rPr>
      </w:pPr>
    </w:p>
    <w:p w14:paraId="557A64E8" w14:textId="77777777" w:rsidR="00686A91" w:rsidRPr="00CC4CE5" w:rsidRDefault="00686A91" w:rsidP="00212625">
      <w:pPr>
        <w:spacing w:line="276" w:lineRule="auto"/>
        <w:jc w:val="both"/>
        <w:rPr>
          <w:rFonts w:ascii="Trebuchet MS" w:hAnsi="Trebuchet MS"/>
          <w:sz w:val="22"/>
          <w:szCs w:val="22"/>
          <w:lang w:val="lt-LT"/>
        </w:rPr>
      </w:pPr>
    </w:p>
    <w:p w14:paraId="246D6207" w14:textId="77777777" w:rsidR="00686A91" w:rsidRPr="00CC4CE5" w:rsidRDefault="00686A91" w:rsidP="00212625">
      <w:pPr>
        <w:spacing w:line="276" w:lineRule="auto"/>
        <w:jc w:val="both"/>
        <w:rPr>
          <w:rFonts w:ascii="Trebuchet MS" w:hAnsi="Trebuchet MS"/>
          <w:sz w:val="22"/>
          <w:szCs w:val="22"/>
          <w:lang w:val="lt-LT"/>
        </w:rPr>
      </w:pPr>
    </w:p>
    <w:p w14:paraId="74970EAA" w14:textId="77777777" w:rsidR="00686A91" w:rsidRPr="00CC4CE5" w:rsidRDefault="00686A91" w:rsidP="00212625">
      <w:pPr>
        <w:spacing w:line="276" w:lineRule="auto"/>
        <w:jc w:val="both"/>
        <w:rPr>
          <w:rFonts w:ascii="Trebuchet MS" w:hAnsi="Trebuchet MS"/>
          <w:sz w:val="22"/>
          <w:szCs w:val="22"/>
          <w:lang w:val="lt-LT"/>
        </w:rPr>
      </w:pPr>
    </w:p>
    <w:p w14:paraId="2E4E567F" w14:textId="77777777" w:rsidR="00686A91" w:rsidRPr="00CC4CE5" w:rsidRDefault="00686A91" w:rsidP="00212625">
      <w:pPr>
        <w:spacing w:line="276" w:lineRule="auto"/>
        <w:jc w:val="both"/>
        <w:rPr>
          <w:rFonts w:ascii="Trebuchet MS" w:hAnsi="Trebuchet MS"/>
          <w:sz w:val="22"/>
          <w:szCs w:val="22"/>
          <w:lang w:val="lt-LT"/>
        </w:rPr>
      </w:pPr>
    </w:p>
    <w:p w14:paraId="07ABDF5B" w14:textId="77777777" w:rsidR="00686A91" w:rsidRPr="00CC4CE5" w:rsidRDefault="00686A91" w:rsidP="00212625">
      <w:pPr>
        <w:spacing w:line="276" w:lineRule="auto"/>
        <w:jc w:val="both"/>
        <w:rPr>
          <w:rFonts w:ascii="Trebuchet MS" w:hAnsi="Trebuchet MS"/>
          <w:sz w:val="22"/>
          <w:szCs w:val="22"/>
          <w:lang w:val="lt-LT"/>
        </w:rPr>
      </w:pPr>
    </w:p>
    <w:p w14:paraId="276A8A2D" w14:textId="77777777" w:rsidR="00686A91" w:rsidRPr="00CC4CE5" w:rsidRDefault="00686A91" w:rsidP="00212625">
      <w:pPr>
        <w:spacing w:line="276" w:lineRule="auto"/>
        <w:jc w:val="both"/>
        <w:rPr>
          <w:rFonts w:ascii="Trebuchet MS" w:hAnsi="Trebuchet MS"/>
          <w:sz w:val="22"/>
          <w:szCs w:val="22"/>
          <w:lang w:val="lt-LT"/>
        </w:rPr>
      </w:pPr>
    </w:p>
    <w:p w14:paraId="671759F7" w14:textId="77777777" w:rsidR="00686A91" w:rsidRPr="00CC4CE5" w:rsidRDefault="00686A91" w:rsidP="00212625">
      <w:pPr>
        <w:spacing w:line="276" w:lineRule="auto"/>
        <w:jc w:val="both"/>
        <w:rPr>
          <w:rFonts w:ascii="Trebuchet MS" w:hAnsi="Trebuchet MS"/>
          <w:sz w:val="22"/>
          <w:szCs w:val="22"/>
          <w:lang w:val="lt-LT"/>
        </w:rPr>
      </w:pPr>
    </w:p>
    <w:p w14:paraId="7B9014BF" w14:textId="77777777" w:rsidR="00686A91" w:rsidRPr="00CC4CE5" w:rsidRDefault="00686A91" w:rsidP="00212625">
      <w:pPr>
        <w:spacing w:line="276" w:lineRule="auto"/>
        <w:jc w:val="both"/>
        <w:rPr>
          <w:rFonts w:ascii="Trebuchet MS" w:hAnsi="Trebuchet MS"/>
          <w:sz w:val="22"/>
          <w:szCs w:val="22"/>
          <w:lang w:val="lt-LT"/>
        </w:rPr>
      </w:pPr>
    </w:p>
    <w:p w14:paraId="74921741" w14:textId="77777777" w:rsidR="00686A91" w:rsidRPr="00CC4CE5" w:rsidRDefault="00686A91" w:rsidP="00212625">
      <w:pPr>
        <w:spacing w:line="276" w:lineRule="auto"/>
        <w:jc w:val="both"/>
        <w:rPr>
          <w:rFonts w:ascii="Trebuchet MS" w:hAnsi="Trebuchet MS"/>
          <w:sz w:val="22"/>
          <w:szCs w:val="22"/>
          <w:lang w:val="lt-LT"/>
        </w:rPr>
      </w:pPr>
    </w:p>
    <w:p w14:paraId="5B0C9430" w14:textId="77777777" w:rsidR="00686A91" w:rsidRPr="00CC4CE5" w:rsidRDefault="00686A91" w:rsidP="00212625">
      <w:pPr>
        <w:spacing w:line="276" w:lineRule="auto"/>
        <w:jc w:val="both"/>
        <w:rPr>
          <w:rFonts w:ascii="Trebuchet MS" w:hAnsi="Trebuchet MS"/>
          <w:sz w:val="22"/>
          <w:szCs w:val="22"/>
          <w:lang w:val="lt-LT"/>
        </w:rPr>
      </w:pPr>
    </w:p>
    <w:p w14:paraId="20E89D25" w14:textId="77777777" w:rsidR="00686A91" w:rsidRPr="00CC4CE5" w:rsidRDefault="00686A91" w:rsidP="00212625">
      <w:pPr>
        <w:spacing w:line="276" w:lineRule="auto"/>
        <w:jc w:val="both"/>
        <w:rPr>
          <w:rFonts w:ascii="Trebuchet MS" w:hAnsi="Trebuchet MS"/>
          <w:sz w:val="22"/>
          <w:szCs w:val="22"/>
          <w:lang w:val="lt-LT"/>
        </w:rPr>
      </w:pPr>
    </w:p>
    <w:p w14:paraId="5B93B3EA" w14:textId="77777777" w:rsidR="00686A91" w:rsidRPr="00CC4CE5" w:rsidRDefault="00686A91" w:rsidP="00212625">
      <w:pPr>
        <w:spacing w:line="276" w:lineRule="auto"/>
        <w:jc w:val="both"/>
        <w:rPr>
          <w:rFonts w:ascii="Trebuchet MS" w:hAnsi="Trebuchet MS"/>
          <w:sz w:val="22"/>
          <w:szCs w:val="22"/>
          <w:lang w:val="lt-LT"/>
        </w:rPr>
      </w:pPr>
    </w:p>
    <w:p w14:paraId="16C08B65" w14:textId="77777777" w:rsidR="00686A91" w:rsidRPr="00CC4CE5" w:rsidRDefault="00686A91" w:rsidP="00212625">
      <w:pPr>
        <w:spacing w:line="276" w:lineRule="auto"/>
        <w:jc w:val="both"/>
        <w:rPr>
          <w:rFonts w:ascii="Trebuchet MS" w:hAnsi="Trebuchet MS"/>
          <w:sz w:val="22"/>
          <w:szCs w:val="22"/>
          <w:lang w:val="lt-LT"/>
        </w:rPr>
      </w:pPr>
    </w:p>
    <w:p w14:paraId="51DC6078" w14:textId="77777777" w:rsidR="00686A91" w:rsidRPr="00CC4CE5" w:rsidRDefault="00686A91" w:rsidP="00212625">
      <w:pPr>
        <w:spacing w:line="276" w:lineRule="auto"/>
        <w:jc w:val="both"/>
        <w:rPr>
          <w:rFonts w:ascii="Trebuchet MS" w:hAnsi="Trebuchet MS"/>
          <w:sz w:val="22"/>
          <w:szCs w:val="22"/>
          <w:lang w:val="lt-LT"/>
        </w:rPr>
      </w:pPr>
    </w:p>
    <w:p w14:paraId="232F257B" w14:textId="77777777" w:rsidR="00686A91" w:rsidRPr="00CC4CE5" w:rsidRDefault="00686A91" w:rsidP="00212625">
      <w:pPr>
        <w:spacing w:line="276" w:lineRule="auto"/>
        <w:jc w:val="both"/>
        <w:rPr>
          <w:rFonts w:ascii="Trebuchet MS" w:hAnsi="Trebuchet MS"/>
          <w:sz w:val="22"/>
          <w:szCs w:val="22"/>
          <w:lang w:val="lt-LT"/>
        </w:rPr>
      </w:pPr>
    </w:p>
    <w:p w14:paraId="1E53171A" w14:textId="77777777" w:rsidR="00686A91" w:rsidRPr="00CC4CE5" w:rsidRDefault="00686A91" w:rsidP="00212625">
      <w:pPr>
        <w:spacing w:line="276" w:lineRule="auto"/>
        <w:jc w:val="both"/>
        <w:rPr>
          <w:rFonts w:ascii="Trebuchet MS" w:hAnsi="Trebuchet MS"/>
          <w:sz w:val="22"/>
          <w:szCs w:val="22"/>
          <w:lang w:val="lt-LT"/>
        </w:rPr>
      </w:pPr>
    </w:p>
    <w:p w14:paraId="3A8BCD8A" w14:textId="77777777" w:rsidR="00686A91" w:rsidRPr="00CC4CE5" w:rsidRDefault="00686A91" w:rsidP="00212625">
      <w:pPr>
        <w:spacing w:line="276" w:lineRule="auto"/>
        <w:jc w:val="both"/>
        <w:rPr>
          <w:rFonts w:ascii="Trebuchet MS" w:hAnsi="Trebuchet MS"/>
          <w:sz w:val="22"/>
          <w:szCs w:val="22"/>
          <w:lang w:val="lt-LT"/>
        </w:rPr>
      </w:pPr>
    </w:p>
    <w:p w14:paraId="11CC1F07" w14:textId="77777777" w:rsidR="00686A91" w:rsidRPr="00CC4CE5" w:rsidRDefault="00686A91" w:rsidP="00212625">
      <w:pPr>
        <w:spacing w:line="276" w:lineRule="auto"/>
        <w:jc w:val="both"/>
        <w:rPr>
          <w:rFonts w:ascii="Trebuchet MS" w:hAnsi="Trebuchet MS"/>
          <w:sz w:val="22"/>
          <w:szCs w:val="22"/>
          <w:lang w:val="lt-LT"/>
        </w:rPr>
      </w:pPr>
    </w:p>
    <w:p w14:paraId="490F4D54" w14:textId="77777777" w:rsidR="00686A91" w:rsidRPr="00CC4CE5" w:rsidRDefault="00686A91" w:rsidP="00212625">
      <w:pPr>
        <w:spacing w:line="276" w:lineRule="auto"/>
        <w:jc w:val="both"/>
        <w:rPr>
          <w:rFonts w:ascii="Trebuchet MS" w:hAnsi="Trebuchet MS"/>
          <w:sz w:val="22"/>
          <w:szCs w:val="22"/>
          <w:lang w:val="lt-LT"/>
        </w:rPr>
      </w:pPr>
    </w:p>
    <w:p w14:paraId="584CFD47" w14:textId="77777777" w:rsidR="00686A91" w:rsidRPr="00CC4CE5" w:rsidRDefault="00686A91" w:rsidP="00212625">
      <w:pPr>
        <w:spacing w:line="276" w:lineRule="auto"/>
        <w:jc w:val="both"/>
        <w:rPr>
          <w:rFonts w:ascii="Trebuchet MS" w:hAnsi="Trebuchet MS"/>
          <w:sz w:val="22"/>
          <w:szCs w:val="22"/>
          <w:lang w:val="lt-LT"/>
        </w:rPr>
      </w:pPr>
    </w:p>
    <w:p w14:paraId="5F880EBA" w14:textId="77777777" w:rsidR="00686A91" w:rsidRPr="00CC4CE5" w:rsidRDefault="00686A91" w:rsidP="00212625">
      <w:pPr>
        <w:spacing w:line="276" w:lineRule="auto"/>
        <w:jc w:val="both"/>
        <w:rPr>
          <w:rFonts w:ascii="Trebuchet MS" w:hAnsi="Trebuchet MS"/>
          <w:sz w:val="22"/>
          <w:szCs w:val="22"/>
          <w:lang w:val="lt-LT"/>
        </w:rPr>
      </w:pPr>
    </w:p>
    <w:p w14:paraId="6BCE7212" w14:textId="77777777" w:rsidR="00686A91" w:rsidRPr="00CC4CE5" w:rsidRDefault="00686A91" w:rsidP="00212625">
      <w:pPr>
        <w:spacing w:line="276" w:lineRule="auto"/>
        <w:jc w:val="both"/>
        <w:rPr>
          <w:rFonts w:ascii="Trebuchet MS" w:hAnsi="Trebuchet MS"/>
          <w:sz w:val="22"/>
          <w:szCs w:val="22"/>
          <w:lang w:val="lt-LT"/>
        </w:rPr>
      </w:pPr>
    </w:p>
    <w:p w14:paraId="600F1361" w14:textId="77777777" w:rsidR="00686A91" w:rsidRPr="00CC4CE5" w:rsidRDefault="00686A91" w:rsidP="00212625">
      <w:pPr>
        <w:spacing w:line="276" w:lineRule="auto"/>
        <w:jc w:val="both"/>
        <w:rPr>
          <w:rFonts w:ascii="Trebuchet MS" w:hAnsi="Trebuchet MS"/>
          <w:sz w:val="22"/>
          <w:szCs w:val="22"/>
          <w:lang w:val="lt-LT"/>
        </w:rPr>
      </w:pPr>
    </w:p>
    <w:p w14:paraId="406BFD99" w14:textId="77777777" w:rsidR="00686A91" w:rsidRPr="00CC4CE5" w:rsidRDefault="00686A91" w:rsidP="00212625">
      <w:pPr>
        <w:spacing w:line="276" w:lineRule="auto"/>
        <w:jc w:val="both"/>
        <w:rPr>
          <w:rFonts w:ascii="Trebuchet MS" w:hAnsi="Trebuchet MS"/>
          <w:sz w:val="22"/>
          <w:szCs w:val="22"/>
          <w:lang w:val="lt-LT"/>
        </w:rPr>
      </w:pPr>
    </w:p>
    <w:p w14:paraId="59BCFF72" w14:textId="77777777" w:rsidR="00686A91" w:rsidRPr="00CC4CE5" w:rsidRDefault="00686A91" w:rsidP="00212625">
      <w:pPr>
        <w:spacing w:line="276" w:lineRule="auto"/>
        <w:jc w:val="both"/>
        <w:rPr>
          <w:rFonts w:ascii="Trebuchet MS" w:hAnsi="Trebuchet MS"/>
          <w:sz w:val="22"/>
          <w:szCs w:val="22"/>
          <w:lang w:val="lt-LT"/>
        </w:rPr>
      </w:pPr>
    </w:p>
    <w:p w14:paraId="27E35916" w14:textId="77777777" w:rsidR="00686A91" w:rsidRPr="00CC4CE5" w:rsidRDefault="00686A91" w:rsidP="00212625">
      <w:pPr>
        <w:spacing w:line="276" w:lineRule="auto"/>
        <w:jc w:val="both"/>
        <w:rPr>
          <w:rFonts w:ascii="Trebuchet MS" w:hAnsi="Trebuchet MS"/>
          <w:sz w:val="22"/>
          <w:szCs w:val="22"/>
          <w:lang w:val="lt-LT"/>
        </w:rPr>
      </w:pPr>
    </w:p>
    <w:p w14:paraId="69FD6D97" w14:textId="0B687D3E" w:rsidR="00686A91" w:rsidRPr="00CC4CE5" w:rsidRDefault="00686A91" w:rsidP="00686A91">
      <w:pPr>
        <w:spacing w:line="276" w:lineRule="auto"/>
        <w:rPr>
          <w:rFonts w:ascii="Trebuchet MS" w:hAnsi="Trebuchet MS"/>
          <w:b/>
          <w:bCs/>
          <w:sz w:val="22"/>
          <w:szCs w:val="22"/>
          <w:lang w:val="lt-LT"/>
        </w:rPr>
      </w:pPr>
      <w:r w:rsidRPr="00CC4CE5">
        <w:rPr>
          <w:rFonts w:ascii="Trebuchet MS" w:hAnsi="Trebuchet MS"/>
          <w:b/>
          <w:bCs/>
          <w:sz w:val="22"/>
          <w:szCs w:val="22"/>
          <w:lang w:val="lt-LT"/>
        </w:rPr>
        <w:lastRenderedPageBreak/>
        <w:t>4 Priedas. Mokymų paslaugos</w:t>
      </w:r>
    </w:p>
    <w:p w14:paraId="625FE15B" w14:textId="4F7E4D03" w:rsidR="00686A91" w:rsidRPr="00CC4CE5" w:rsidRDefault="00A07C53" w:rsidP="00212625">
      <w:pPr>
        <w:spacing w:line="276" w:lineRule="auto"/>
        <w:jc w:val="both"/>
        <w:rPr>
          <w:rFonts w:ascii="Trebuchet MS" w:hAnsi="Trebuchet MS"/>
          <w:sz w:val="22"/>
          <w:szCs w:val="22"/>
          <w:lang w:val="lt-LT"/>
        </w:rPr>
      </w:pPr>
      <w:r w:rsidRPr="00CC4CE5">
        <w:rPr>
          <w:rFonts w:ascii="Trebuchet MS" w:hAnsi="Trebuchet MS"/>
          <w:sz w:val="22"/>
          <w:szCs w:val="22"/>
          <w:lang w:val="lt-LT"/>
        </w:rPr>
        <w:t>Šiame skyriuje nustatomi CDE naudotojų mokymų reikalavimai. Mokymai turi būti pritaikyti skirtingoms naudotojų grupėms ir pagal 2 skyrių sukonfigūruotiems Užsakovo procesams. Visa šiame skyriuje nustatyta mokymų paslaugų apimtis turi būti įtraukta į pasiūlymo kainą.</w:t>
      </w:r>
    </w:p>
    <w:tbl>
      <w:tblPr>
        <w:tblW w:w="15304" w:type="dxa"/>
        <w:tblLook w:val="04A0" w:firstRow="1" w:lastRow="0" w:firstColumn="1" w:lastColumn="0" w:noHBand="0" w:noVBand="1"/>
      </w:tblPr>
      <w:tblGrid>
        <w:gridCol w:w="610"/>
        <w:gridCol w:w="2194"/>
        <w:gridCol w:w="4709"/>
        <w:gridCol w:w="4430"/>
        <w:gridCol w:w="3361"/>
      </w:tblGrid>
      <w:tr w:rsidR="00184C8E" w:rsidRPr="00CC4CE5" w14:paraId="3363C53D" w14:textId="77777777" w:rsidTr="00184C8E">
        <w:trPr>
          <w:trHeight w:val="290"/>
        </w:trPr>
        <w:tc>
          <w:tcPr>
            <w:tcW w:w="610" w:type="dxa"/>
            <w:tcBorders>
              <w:top w:val="single" w:sz="4" w:space="0" w:color="auto"/>
              <w:left w:val="single" w:sz="4" w:space="0" w:color="auto"/>
              <w:bottom w:val="single" w:sz="4" w:space="0" w:color="auto"/>
              <w:right w:val="single" w:sz="4" w:space="0" w:color="auto"/>
            </w:tcBorders>
            <w:vAlign w:val="center"/>
            <w:hideMark/>
          </w:tcPr>
          <w:p w14:paraId="1673B54A" w14:textId="77777777" w:rsidR="00184C8E" w:rsidRPr="00CC4CE5" w:rsidRDefault="00184C8E">
            <w:pPr>
              <w:jc w:val="center"/>
              <w:rPr>
                <w:rFonts w:ascii="Aptos Narrow" w:hAnsi="Aptos Narrow"/>
                <w:b/>
                <w:bCs/>
                <w:color w:val="000000"/>
                <w:sz w:val="22"/>
                <w:szCs w:val="22"/>
                <w:lang w:val="lt-LT" w:eastAsia="lt-LT"/>
              </w:rPr>
            </w:pPr>
            <w:r w:rsidRPr="00CC4CE5">
              <w:rPr>
                <w:rFonts w:ascii="Aptos Narrow" w:hAnsi="Aptos Narrow"/>
                <w:b/>
                <w:bCs/>
                <w:color w:val="000000"/>
                <w:sz w:val="22"/>
                <w:szCs w:val="22"/>
                <w:lang w:val="lt-LT"/>
              </w:rPr>
              <w:t>Nr.</w:t>
            </w:r>
          </w:p>
        </w:tc>
        <w:tc>
          <w:tcPr>
            <w:tcW w:w="2194" w:type="dxa"/>
            <w:tcBorders>
              <w:top w:val="single" w:sz="4" w:space="0" w:color="auto"/>
              <w:left w:val="nil"/>
              <w:bottom w:val="single" w:sz="4" w:space="0" w:color="auto"/>
              <w:right w:val="single" w:sz="4" w:space="0" w:color="auto"/>
            </w:tcBorders>
            <w:vAlign w:val="center"/>
            <w:hideMark/>
          </w:tcPr>
          <w:p w14:paraId="6FFEA881" w14:textId="77777777" w:rsidR="00184C8E" w:rsidRPr="00CC4CE5" w:rsidRDefault="00184C8E">
            <w:pPr>
              <w:jc w:val="center"/>
              <w:rPr>
                <w:rFonts w:ascii="Aptos Narrow" w:hAnsi="Aptos Narrow"/>
                <w:b/>
                <w:bCs/>
                <w:color w:val="000000"/>
                <w:sz w:val="22"/>
                <w:szCs w:val="22"/>
                <w:lang w:val="lt-LT"/>
              </w:rPr>
            </w:pPr>
            <w:r w:rsidRPr="00CC4CE5">
              <w:rPr>
                <w:rFonts w:ascii="Aptos Narrow" w:hAnsi="Aptos Narrow"/>
                <w:b/>
                <w:bCs/>
                <w:color w:val="000000"/>
                <w:sz w:val="22"/>
                <w:szCs w:val="22"/>
                <w:lang w:val="lt-LT"/>
              </w:rPr>
              <w:t>Mokymų objektas</w:t>
            </w:r>
          </w:p>
        </w:tc>
        <w:tc>
          <w:tcPr>
            <w:tcW w:w="4709" w:type="dxa"/>
            <w:tcBorders>
              <w:top w:val="single" w:sz="4" w:space="0" w:color="auto"/>
              <w:left w:val="nil"/>
              <w:bottom w:val="single" w:sz="4" w:space="0" w:color="auto"/>
              <w:right w:val="single" w:sz="4" w:space="0" w:color="auto"/>
            </w:tcBorders>
            <w:vAlign w:val="center"/>
            <w:hideMark/>
          </w:tcPr>
          <w:p w14:paraId="179347CA" w14:textId="77777777" w:rsidR="00184C8E" w:rsidRPr="00CC4CE5" w:rsidRDefault="00184C8E">
            <w:pPr>
              <w:jc w:val="center"/>
              <w:rPr>
                <w:rFonts w:ascii="Aptos Narrow" w:hAnsi="Aptos Narrow"/>
                <w:b/>
                <w:bCs/>
                <w:color w:val="000000"/>
                <w:sz w:val="22"/>
                <w:szCs w:val="22"/>
                <w:lang w:val="lt-LT"/>
              </w:rPr>
            </w:pPr>
            <w:r w:rsidRPr="00CC4CE5">
              <w:rPr>
                <w:rFonts w:ascii="Aptos Narrow" w:hAnsi="Aptos Narrow"/>
                <w:b/>
                <w:bCs/>
                <w:color w:val="000000"/>
                <w:sz w:val="22"/>
                <w:szCs w:val="22"/>
                <w:lang w:val="lt-LT"/>
              </w:rPr>
              <w:t>Reikalavimas</w:t>
            </w:r>
          </w:p>
        </w:tc>
        <w:tc>
          <w:tcPr>
            <w:tcW w:w="4430" w:type="dxa"/>
            <w:tcBorders>
              <w:top w:val="single" w:sz="4" w:space="0" w:color="auto"/>
              <w:left w:val="nil"/>
              <w:bottom w:val="single" w:sz="4" w:space="0" w:color="auto"/>
              <w:right w:val="single" w:sz="4" w:space="0" w:color="auto"/>
            </w:tcBorders>
            <w:vAlign w:val="center"/>
            <w:hideMark/>
          </w:tcPr>
          <w:p w14:paraId="0835CBA8" w14:textId="77777777" w:rsidR="00184C8E" w:rsidRPr="00CC4CE5" w:rsidRDefault="00184C8E">
            <w:pPr>
              <w:jc w:val="center"/>
              <w:rPr>
                <w:rFonts w:ascii="Aptos Narrow" w:hAnsi="Aptos Narrow"/>
                <w:b/>
                <w:bCs/>
                <w:color w:val="000000"/>
                <w:sz w:val="22"/>
                <w:szCs w:val="22"/>
                <w:lang w:val="lt-LT"/>
              </w:rPr>
            </w:pPr>
            <w:r w:rsidRPr="00CC4CE5">
              <w:rPr>
                <w:rFonts w:ascii="Aptos Narrow" w:hAnsi="Aptos Narrow"/>
                <w:b/>
                <w:bCs/>
                <w:color w:val="000000"/>
                <w:sz w:val="22"/>
                <w:szCs w:val="22"/>
                <w:lang w:val="lt-LT"/>
              </w:rPr>
              <w:t>Paslaugos apimtis</w:t>
            </w:r>
          </w:p>
        </w:tc>
        <w:tc>
          <w:tcPr>
            <w:tcW w:w="3361" w:type="dxa"/>
            <w:tcBorders>
              <w:top w:val="single" w:sz="4" w:space="0" w:color="auto"/>
              <w:left w:val="nil"/>
              <w:bottom w:val="single" w:sz="4" w:space="0" w:color="auto"/>
              <w:right w:val="single" w:sz="4" w:space="0" w:color="auto"/>
            </w:tcBorders>
            <w:vAlign w:val="center"/>
            <w:hideMark/>
          </w:tcPr>
          <w:p w14:paraId="12D29326" w14:textId="77777777" w:rsidR="00184C8E" w:rsidRPr="00CC4CE5" w:rsidRDefault="00184C8E">
            <w:pPr>
              <w:jc w:val="center"/>
              <w:rPr>
                <w:rFonts w:ascii="Aptos Narrow" w:hAnsi="Aptos Narrow"/>
                <w:b/>
                <w:bCs/>
                <w:color w:val="000000"/>
                <w:sz w:val="22"/>
                <w:szCs w:val="22"/>
                <w:lang w:val="lt-LT"/>
              </w:rPr>
            </w:pPr>
            <w:r w:rsidRPr="00CC4CE5">
              <w:rPr>
                <w:rFonts w:ascii="Aptos Narrow" w:hAnsi="Aptos Narrow"/>
                <w:b/>
                <w:bCs/>
                <w:color w:val="000000"/>
                <w:sz w:val="22"/>
                <w:szCs w:val="22"/>
                <w:lang w:val="lt-LT"/>
              </w:rPr>
              <w:t>Priėmimo kriterijus</w:t>
            </w:r>
          </w:p>
        </w:tc>
      </w:tr>
      <w:tr w:rsidR="00184C8E" w:rsidRPr="005A629B" w14:paraId="1655ECC3" w14:textId="77777777" w:rsidTr="00184C8E">
        <w:trPr>
          <w:trHeight w:val="2030"/>
        </w:trPr>
        <w:tc>
          <w:tcPr>
            <w:tcW w:w="610" w:type="dxa"/>
            <w:tcBorders>
              <w:top w:val="nil"/>
              <w:left w:val="single" w:sz="4" w:space="0" w:color="auto"/>
              <w:bottom w:val="single" w:sz="4" w:space="0" w:color="auto"/>
              <w:right w:val="single" w:sz="4" w:space="0" w:color="auto"/>
            </w:tcBorders>
            <w:vAlign w:val="center"/>
            <w:hideMark/>
          </w:tcPr>
          <w:p w14:paraId="159283FD" w14:textId="77777777" w:rsidR="00184C8E" w:rsidRPr="00CC4CE5" w:rsidRDefault="00184C8E">
            <w:pPr>
              <w:rPr>
                <w:rFonts w:ascii="Aptos Narrow" w:hAnsi="Aptos Narrow"/>
                <w:b/>
                <w:bCs/>
                <w:color w:val="000000"/>
                <w:sz w:val="22"/>
                <w:szCs w:val="22"/>
                <w:lang w:val="lt-LT"/>
              </w:rPr>
            </w:pPr>
            <w:r w:rsidRPr="00CC4CE5">
              <w:rPr>
                <w:rFonts w:ascii="Aptos Narrow" w:hAnsi="Aptos Narrow"/>
                <w:b/>
                <w:bCs/>
                <w:color w:val="000000"/>
                <w:sz w:val="22"/>
                <w:szCs w:val="22"/>
                <w:lang w:val="lt-LT"/>
              </w:rPr>
              <w:t>4.1</w:t>
            </w:r>
          </w:p>
        </w:tc>
        <w:tc>
          <w:tcPr>
            <w:tcW w:w="2194" w:type="dxa"/>
            <w:tcBorders>
              <w:top w:val="nil"/>
              <w:left w:val="nil"/>
              <w:bottom w:val="single" w:sz="4" w:space="0" w:color="auto"/>
              <w:right w:val="single" w:sz="4" w:space="0" w:color="auto"/>
            </w:tcBorders>
            <w:vAlign w:val="center"/>
            <w:hideMark/>
          </w:tcPr>
          <w:p w14:paraId="30DE37AF" w14:textId="77777777" w:rsidR="00184C8E" w:rsidRPr="00CC4CE5" w:rsidRDefault="00184C8E">
            <w:pPr>
              <w:rPr>
                <w:rFonts w:ascii="Aptos Narrow" w:hAnsi="Aptos Narrow"/>
                <w:b/>
                <w:bCs/>
                <w:color w:val="000000"/>
                <w:sz w:val="22"/>
                <w:szCs w:val="22"/>
                <w:lang w:val="lt-LT"/>
              </w:rPr>
            </w:pPr>
            <w:r w:rsidRPr="00CC4CE5">
              <w:rPr>
                <w:rFonts w:ascii="Aptos Narrow" w:hAnsi="Aptos Narrow"/>
                <w:b/>
                <w:bCs/>
                <w:color w:val="000000"/>
                <w:sz w:val="22"/>
                <w:szCs w:val="22"/>
                <w:lang w:val="lt-LT"/>
              </w:rPr>
              <w:t>Bendrieji mokymų reikalavimai</w:t>
            </w:r>
          </w:p>
        </w:tc>
        <w:tc>
          <w:tcPr>
            <w:tcW w:w="4709" w:type="dxa"/>
            <w:tcBorders>
              <w:top w:val="nil"/>
              <w:left w:val="nil"/>
              <w:bottom w:val="single" w:sz="4" w:space="0" w:color="auto"/>
              <w:right w:val="single" w:sz="4" w:space="0" w:color="auto"/>
            </w:tcBorders>
            <w:vAlign w:val="center"/>
            <w:hideMark/>
          </w:tcPr>
          <w:p w14:paraId="580B05F2" w14:textId="77777777" w:rsidR="00184C8E" w:rsidRPr="00CC4CE5" w:rsidRDefault="00184C8E">
            <w:pPr>
              <w:rPr>
                <w:rFonts w:ascii="Aptos Narrow" w:hAnsi="Aptos Narrow"/>
                <w:color w:val="000000"/>
                <w:sz w:val="22"/>
                <w:szCs w:val="22"/>
                <w:lang w:val="lt-LT"/>
              </w:rPr>
            </w:pPr>
            <w:r w:rsidRPr="00CC4CE5">
              <w:rPr>
                <w:rFonts w:ascii="Aptos Narrow" w:hAnsi="Aptos Narrow"/>
                <w:color w:val="000000"/>
                <w:sz w:val="22"/>
                <w:szCs w:val="22"/>
                <w:lang w:val="lt-LT"/>
              </w:rPr>
              <w:t>Tiekėjas turi apmokyti pagrindines CDE naudotojų grupes taip, kad po mokymų jos galėtų savarankiškai atlikti savo funkcijoms reikalingus veiksmus naujoje CDE. Mokymų turinys turi būti pritaikytas konkrečiai naudotojų grupei ir pagal 2 skyrių sukonfigūruotiems Užsakovo procesams.</w:t>
            </w:r>
          </w:p>
        </w:tc>
        <w:tc>
          <w:tcPr>
            <w:tcW w:w="4430" w:type="dxa"/>
            <w:tcBorders>
              <w:top w:val="nil"/>
              <w:left w:val="nil"/>
              <w:bottom w:val="single" w:sz="4" w:space="0" w:color="auto"/>
              <w:right w:val="single" w:sz="4" w:space="0" w:color="auto"/>
            </w:tcBorders>
            <w:vAlign w:val="center"/>
            <w:hideMark/>
          </w:tcPr>
          <w:p w14:paraId="39EFF8CB" w14:textId="77777777" w:rsidR="00184C8E" w:rsidRPr="00CC4CE5" w:rsidRDefault="00184C8E">
            <w:pPr>
              <w:rPr>
                <w:rFonts w:ascii="Aptos Narrow" w:hAnsi="Aptos Narrow"/>
                <w:color w:val="000000"/>
                <w:sz w:val="22"/>
                <w:szCs w:val="22"/>
                <w:lang w:val="lt-LT"/>
              </w:rPr>
            </w:pPr>
            <w:r w:rsidRPr="00CC4CE5">
              <w:rPr>
                <w:rFonts w:ascii="Aptos Narrow" w:hAnsi="Aptos Narrow"/>
                <w:color w:val="000000"/>
                <w:sz w:val="22"/>
                <w:szCs w:val="22"/>
                <w:lang w:val="lt-LT"/>
              </w:rPr>
              <w:t xml:space="preserve">Pradiniai mokymai CDE administratoriui / BIM vadovui, Užsakovo projektus derinančiai komandai, Užsakovo projektų vadovams, projektuotojams ir rangovams – </w:t>
            </w:r>
            <w:r w:rsidRPr="00CC4CE5">
              <w:rPr>
                <w:rFonts w:ascii="Aptos Narrow" w:hAnsi="Aptos Narrow"/>
                <w:b/>
                <w:bCs/>
                <w:color w:val="000000"/>
                <w:sz w:val="22"/>
                <w:szCs w:val="22"/>
                <w:lang w:val="lt-LT"/>
              </w:rPr>
              <w:t>iki 208 val.</w:t>
            </w:r>
            <w:r w:rsidRPr="00CC4CE5">
              <w:rPr>
                <w:rFonts w:ascii="Aptos Narrow" w:hAnsi="Aptos Narrow"/>
                <w:color w:val="000000"/>
                <w:sz w:val="22"/>
                <w:szCs w:val="22"/>
                <w:lang w:val="lt-LT"/>
              </w:rPr>
              <w:t xml:space="preserve"> Papildomi ir pakartotiniai mokymai Sutarties galiojimo laikotarpiu – </w:t>
            </w:r>
            <w:r w:rsidRPr="00CC4CE5">
              <w:rPr>
                <w:rFonts w:ascii="Aptos Narrow" w:hAnsi="Aptos Narrow"/>
                <w:b/>
                <w:bCs/>
                <w:color w:val="000000"/>
                <w:sz w:val="22"/>
                <w:szCs w:val="22"/>
                <w:lang w:val="lt-LT"/>
              </w:rPr>
              <w:t>iki 1 000 val.</w:t>
            </w:r>
            <w:r w:rsidRPr="00CC4CE5">
              <w:rPr>
                <w:rFonts w:ascii="Aptos Narrow" w:hAnsi="Aptos Narrow"/>
                <w:color w:val="000000"/>
                <w:sz w:val="22"/>
                <w:szCs w:val="22"/>
                <w:lang w:val="lt-LT"/>
              </w:rPr>
              <w:t xml:space="preserve"> Maksimali bendra mokymų apimtis – </w:t>
            </w:r>
            <w:r w:rsidRPr="00CC4CE5">
              <w:rPr>
                <w:rFonts w:ascii="Aptos Narrow" w:hAnsi="Aptos Narrow"/>
                <w:b/>
                <w:bCs/>
                <w:color w:val="000000"/>
                <w:sz w:val="22"/>
                <w:szCs w:val="22"/>
                <w:lang w:val="lt-LT"/>
              </w:rPr>
              <w:t>1 208 val.</w:t>
            </w:r>
            <w:r w:rsidRPr="00CC4CE5">
              <w:rPr>
                <w:rFonts w:ascii="Aptos Narrow" w:hAnsi="Aptos Narrow"/>
                <w:color w:val="000000"/>
                <w:sz w:val="22"/>
                <w:szCs w:val="22"/>
                <w:lang w:val="lt-LT"/>
              </w:rPr>
              <w:t xml:space="preserve"> Visa apimtis įtraukiama į pasiūlymo kainą.</w:t>
            </w:r>
          </w:p>
        </w:tc>
        <w:tc>
          <w:tcPr>
            <w:tcW w:w="3361" w:type="dxa"/>
            <w:tcBorders>
              <w:top w:val="nil"/>
              <w:left w:val="nil"/>
              <w:bottom w:val="single" w:sz="4" w:space="0" w:color="auto"/>
              <w:right w:val="single" w:sz="4" w:space="0" w:color="auto"/>
            </w:tcBorders>
            <w:vAlign w:val="center"/>
            <w:hideMark/>
          </w:tcPr>
          <w:p w14:paraId="46286275" w14:textId="77777777" w:rsidR="00184C8E" w:rsidRPr="00CC4CE5" w:rsidRDefault="00184C8E">
            <w:pPr>
              <w:rPr>
                <w:rFonts w:ascii="Aptos Narrow" w:hAnsi="Aptos Narrow"/>
                <w:color w:val="000000"/>
                <w:sz w:val="22"/>
                <w:szCs w:val="22"/>
                <w:lang w:val="lt-LT"/>
              </w:rPr>
            </w:pPr>
            <w:r w:rsidRPr="00CC4CE5">
              <w:rPr>
                <w:rFonts w:ascii="Aptos Narrow" w:hAnsi="Aptos Narrow"/>
                <w:color w:val="000000"/>
                <w:sz w:val="22"/>
                <w:szCs w:val="22"/>
                <w:lang w:val="lt-LT"/>
              </w:rPr>
              <w:t>Pradiniai mokymai suteikti pagal 4.3–4.7 punktuose nustatytą apimtį ir terminus, o papildomų / pakartotinių mokymų apimtis prieinama Užsakovui visą Sutarties galiojimo laikotarpį.</w:t>
            </w:r>
          </w:p>
        </w:tc>
      </w:tr>
      <w:tr w:rsidR="00184C8E" w:rsidRPr="00CC4CE5" w14:paraId="73685CEA" w14:textId="77777777" w:rsidTr="00184C8E">
        <w:trPr>
          <w:trHeight w:val="3480"/>
        </w:trPr>
        <w:tc>
          <w:tcPr>
            <w:tcW w:w="610" w:type="dxa"/>
            <w:tcBorders>
              <w:top w:val="nil"/>
              <w:left w:val="single" w:sz="4" w:space="0" w:color="auto"/>
              <w:bottom w:val="single" w:sz="4" w:space="0" w:color="auto"/>
              <w:right w:val="single" w:sz="4" w:space="0" w:color="auto"/>
            </w:tcBorders>
            <w:vAlign w:val="center"/>
            <w:hideMark/>
          </w:tcPr>
          <w:p w14:paraId="7968A88A" w14:textId="77777777" w:rsidR="00184C8E" w:rsidRPr="00CC4CE5" w:rsidRDefault="00184C8E">
            <w:pPr>
              <w:rPr>
                <w:rFonts w:ascii="Aptos Narrow" w:hAnsi="Aptos Narrow"/>
                <w:b/>
                <w:bCs/>
                <w:color w:val="000000"/>
                <w:sz w:val="22"/>
                <w:szCs w:val="22"/>
                <w:lang w:val="lt-LT"/>
              </w:rPr>
            </w:pPr>
            <w:r w:rsidRPr="00CC4CE5">
              <w:rPr>
                <w:rFonts w:ascii="Aptos Narrow" w:hAnsi="Aptos Narrow"/>
                <w:b/>
                <w:bCs/>
                <w:color w:val="000000"/>
                <w:sz w:val="22"/>
                <w:szCs w:val="22"/>
                <w:lang w:val="lt-LT"/>
              </w:rPr>
              <w:t>4.2</w:t>
            </w:r>
          </w:p>
        </w:tc>
        <w:tc>
          <w:tcPr>
            <w:tcW w:w="2194" w:type="dxa"/>
            <w:tcBorders>
              <w:top w:val="nil"/>
              <w:left w:val="nil"/>
              <w:bottom w:val="single" w:sz="4" w:space="0" w:color="auto"/>
              <w:right w:val="single" w:sz="4" w:space="0" w:color="auto"/>
            </w:tcBorders>
            <w:vAlign w:val="center"/>
            <w:hideMark/>
          </w:tcPr>
          <w:p w14:paraId="3F169CB6" w14:textId="77777777" w:rsidR="00184C8E" w:rsidRPr="00CC4CE5" w:rsidRDefault="00184C8E">
            <w:pPr>
              <w:rPr>
                <w:rFonts w:ascii="Aptos Narrow" w:hAnsi="Aptos Narrow"/>
                <w:b/>
                <w:bCs/>
                <w:color w:val="000000"/>
                <w:sz w:val="22"/>
                <w:szCs w:val="22"/>
                <w:lang w:val="lt-LT"/>
              </w:rPr>
            </w:pPr>
            <w:r w:rsidRPr="00CC4CE5">
              <w:rPr>
                <w:rFonts w:ascii="Aptos Narrow" w:hAnsi="Aptos Narrow"/>
                <w:b/>
                <w:bCs/>
                <w:color w:val="000000"/>
                <w:sz w:val="22"/>
                <w:szCs w:val="22"/>
                <w:lang w:val="lt-LT"/>
              </w:rPr>
              <w:t>Mokymų organizavimo reikalavimai</w:t>
            </w:r>
          </w:p>
        </w:tc>
        <w:tc>
          <w:tcPr>
            <w:tcW w:w="4709" w:type="dxa"/>
            <w:tcBorders>
              <w:top w:val="nil"/>
              <w:left w:val="nil"/>
              <w:bottom w:val="single" w:sz="4" w:space="0" w:color="auto"/>
              <w:right w:val="single" w:sz="4" w:space="0" w:color="auto"/>
            </w:tcBorders>
            <w:vAlign w:val="center"/>
            <w:hideMark/>
          </w:tcPr>
          <w:p w14:paraId="6186BF37" w14:textId="77777777" w:rsidR="00184C8E" w:rsidRPr="00CC4CE5" w:rsidRDefault="00184C8E">
            <w:pPr>
              <w:rPr>
                <w:rFonts w:ascii="Aptos Narrow" w:hAnsi="Aptos Narrow"/>
                <w:color w:val="000000"/>
                <w:sz w:val="22"/>
                <w:szCs w:val="22"/>
                <w:lang w:val="lt-LT"/>
              </w:rPr>
            </w:pPr>
            <w:r w:rsidRPr="00CC4CE5">
              <w:rPr>
                <w:rFonts w:ascii="Aptos Narrow" w:hAnsi="Aptos Narrow"/>
                <w:color w:val="000000"/>
                <w:sz w:val="22"/>
                <w:szCs w:val="22"/>
                <w:lang w:val="lt-LT"/>
              </w:rPr>
              <w:t>Mokymai turi būti vykdomi nuotoliniu būdu, naudojant vaizdo konferencijų priemones. Skirtingoms naudotojų grupėms mokymai turi būti organizuojami atskirai pagal jų atliekamas funkcijas. Mokymai turi būti vykdomi naujoje CDE arba mokymams parengtoje aplinkoje, atitinkančioje pagal 2 skyrių sukonfigūruotą CDE. Mokymai ir Užsakovui pritaikyta mokymų medžiaga turi būti teikiami lietuvių kalba. Jeigu mokymus vedantis specialistas mokymų negali vesti lietuvių kalba, Tiekėjas savo sąskaita turi užtikrinti vertimą į lietuvių kalbą.</w:t>
            </w:r>
          </w:p>
        </w:tc>
        <w:tc>
          <w:tcPr>
            <w:tcW w:w="4430" w:type="dxa"/>
            <w:tcBorders>
              <w:top w:val="nil"/>
              <w:left w:val="nil"/>
              <w:bottom w:val="single" w:sz="4" w:space="0" w:color="auto"/>
              <w:right w:val="single" w:sz="4" w:space="0" w:color="auto"/>
            </w:tcBorders>
            <w:vAlign w:val="center"/>
            <w:hideMark/>
          </w:tcPr>
          <w:p w14:paraId="09629DAA" w14:textId="77777777" w:rsidR="00184C8E" w:rsidRPr="00CC4CE5" w:rsidRDefault="00184C8E">
            <w:pPr>
              <w:rPr>
                <w:rFonts w:ascii="Aptos Narrow" w:hAnsi="Aptos Narrow"/>
                <w:color w:val="000000"/>
                <w:sz w:val="22"/>
                <w:szCs w:val="22"/>
                <w:lang w:val="lt-LT"/>
              </w:rPr>
            </w:pPr>
            <w:r w:rsidRPr="00CC4CE5">
              <w:rPr>
                <w:rFonts w:ascii="Aptos Narrow" w:hAnsi="Aptos Narrow"/>
                <w:color w:val="000000"/>
                <w:sz w:val="22"/>
                <w:szCs w:val="22"/>
                <w:lang w:val="lt-LT"/>
              </w:rPr>
              <w:t xml:space="preserve">Užsakovo projektus derinančios komandos ir projektų vadovų mokymai vykdomi grupėmis po ne daugiau kaip </w:t>
            </w:r>
            <w:r w:rsidRPr="00CC4CE5">
              <w:rPr>
                <w:rFonts w:ascii="Aptos Narrow" w:hAnsi="Aptos Narrow"/>
                <w:b/>
                <w:bCs/>
                <w:color w:val="000000"/>
                <w:sz w:val="22"/>
                <w:szCs w:val="22"/>
                <w:lang w:val="lt-LT"/>
              </w:rPr>
              <w:t>10 dalyvių</w:t>
            </w:r>
            <w:r w:rsidRPr="00CC4CE5">
              <w:rPr>
                <w:rFonts w:ascii="Aptos Narrow" w:hAnsi="Aptos Narrow"/>
                <w:color w:val="000000"/>
                <w:sz w:val="22"/>
                <w:szCs w:val="22"/>
                <w:lang w:val="lt-LT"/>
              </w:rPr>
              <w:t>. Projektuotojų ir rangovų mokymai vykdomi atskirai kiekvienai įmonei; vienos įmonės mokymų dalyvių skaičius neribojamas. Vienai grupei ar įmonei skirta mokymų apimtis gali būti išskaidyta į kelis atskirus teminius užsiėmimus.</w:t>
            </w:r>
          </w:p>
        </w:tc>
        <w:tc>
          <w:tcPr>
            <w:tcW w:w="3361" w:type="dxa"/>
            <w:tcBorders>
              <w:top w:val="nil"/>
              <w:left w:val="nil"/>
              <w:bottom w:val="single" w:sz="4" w:space="0" w:color="auto"/>
              <w:right w:val="single" w:sz="4" w:space="0" w:color="auto"/>
            </w:tcBorders>
            <w:vAlign w:val="center"/>
            <w:hideMark/>
          </w:tcPr>
          <w:p w14:paraId="27473FD4" w14:textId="77777777" w:rsidR="00184C8E" w:rsidRPr="00CC4CE5" w:rsidRDefault="00184C8E">
            <w:pPr>
              <w:rPr>
                <w:rFonts w:ascii="Aptos Narrow" w:hAnsi="Aptos Narrow"/>
                <w:color w:val="000000"/>
                <w:sz w:val="22"/>
                <w:szCs w:val="22"/>
                <w:lang w:val="lt-LT"/>
              </w:rPr>
            </w:pPr>
            <w:r w:rsidRPr="00CC4CE5">
              <w:rPr>
                <w:rFonts w:ascii="Aptos Narrow" w:hAnsi="Aptos Narrow"/>
                <w:color w:val="000000"/>
                <w:sz w:val="22"/>
                <w:szCs w:val="22"/>
                <w:lang w:val="lt-LT"/>
              </w:rPr>
              <w:t>Mokymai įvykdyti nuotoliniu būdu atskiroms tikslinėms naudotojų grupėms pagal nustatytą apimtį. Dalyviams sudaryta galimybė praktiškai dirbti CDE ir užduoti klausimus.</w:t>
            </w:r>
          </w:p>
        </w:tc>
      </w:tr>
      <w:tr w:rsidR="00184C8E" w:rsidRPr="00CC4CE5" w14:paraId="54FB71DA" w14:textId="77777777" w:rsidTr="00184C8E">
        <w:trPr>
          <w:trHeight w:val="2610"/>
        </w:trPr>
        <w:tc>
          <w:tcPr>
            <w:tcW w:w="610" w:type="dxa"/>
            <w:tcBorders>
              <w:top w:val="nil"/>
              <w:left w:val="single" w:sz="4" w:space="0" w:color="auto"/>
              <w:bottom w:val="single" w:sz="4" w:space="0" w:color="auto"/>
              <w:right w:val="single" w:sz="4" w:space="0" w:color="auto"/>
            </w:tcBorders>
            <w:vAlign w:val="center"/>
            <w:hideMark/>
          </w:tcPr>
          <w:p w14:paraId="05C15FFE" w14:textId="77777777" w:rsidR="00184C8E" w:rsidRPr="00CC4CE5" w:rsidRDefault="00184C8E">
            <w:pPr>
              <w:rPr>
                <w:rFonts w:ascii="Aptos Narrow" w:hAnsi="Aptos Narrow"/>
                <w:b/>
                <w:bCs/>
                <w:color w:val="000000"/>
                <w:sz w:val="22"/>
                <w:szCs w:val="22"/>
                <w:lang w:val="lt-LT"/>
              </w:rPr>
            </w:pPr>
            <w:r w:rsidRPr="00CC4CE5">
              <w:rPr>
                <w:rFonts w:ascii="Aptos Narrow" w:hAnsi="Aptos Narrow"/>
                <w:b/>
                <w:bCs/>
                <w:color w:val="000000"/>
                <w:sz w:val="22"/>
                <w:szCs w:val="22"/>
                <w:lang w:val="lt-LT"/>
              </w:rPr>
              <w:t>4.3</w:t>
            </w:r>
          </w:p>
        </w:tc>
        <w:tc>
          <w:tcPr>
            <w:tcW w:w="2194" w:type="dxa"/>
            <w:tcBorders>
              <w:top w:val="nil"/>
              <w:left w:val="nil"/>
              <w:bottom w:val="single" w:sz="4" w:space="0" w:color="auto"/>
              <w:right w:val="single" w:sz="4" w:space="0" w:color="auto"/>
            </w:tcBorders>
            <w:vAlign w:val="center"/>
            <w:hideMark/>
          </w:tcPr>
          <w:p w14:paraId="668C44CD" w14:textId="77777777" w:rsidR="00184C8E" w:rsidRPr="00CC4CE5" w:rsidRDefault="00184C8E">
            <w:pPr>
              <w:rPr>
                <w:rFonts w:ascii="Aptos Narrow" w:hAnsi="Aptos Narrow"/>
                <w:b/>
                <w:bCs/>
                <w:color w:val="000000"/>
                <w:sz w:val="22"/>
                <w:szCs w:val="22"/>
                <w:lang w:val="lt-LT"/>
              </w:rPr>
            </w:pPr>
            <w:r w:rsidRPr="00CC4CE5">
              <w:rPr>
                <w:rFonts w:ascii="Aptos Narrow" w:hAnsi="Aptos Narrow"/>
                <w:b/>
                <w:bCs/>
                <w:color w:val="000000"/>
                <w:sz w:val="22"/>
                <w:szCs w:val="22"/>
                <w:lang w:val="lt-LT"/>
              </w:rPr>
              <w:t>CDE administravimo mokymai Užsakovo BIM vadovui / CDE administratoriui</w:t>
            </w:r>
          </w:p>
        </w:tc>
        <w:tc>
          <w:tcPr>
            <w:tcW w:w="4709" w:type="dxa"/>
            <w:tcBorders>
              <w:top w:val="nil"/>
              <w:left w:val="nil"/>
              <w:bottom w:val="single" w:sz="4" w:space="0" w:color="auto"/>
              <w:right w:val="single" w:sz="4" w:space="0" w:color="auto"/>
            </w:tcBorders>
            <w:vAlign w:val="center"/>
            <w:hideMark/>
          </w:tcPr>
          <w:p w14:paraId="2E3848C9" w14:textId="77777777" w:rsidR="00184C8E" w:rsidRPr="00CC4CE5" w:rsidRDefault="00184C8E">
            <w:pPr>
              <w:rPr>
                <w:rFonts w:ascii="Aptos Narrow" w:hAnsi="Aptos Narrow"/>
                <w:color w:val="000000"/>
                <w:sz w:val="22"/>
                <w:szCs w:val="22"/>
                <w:lang w:val="lt-LT"/>
              </w:rPr>
            </w:pPr>
            <w:r w:rsidRPr="00CC4CE5">
              <w:rPr>
                <w:rFonts w:ascii="Aptos Narrow" w:hAnsi="Aptos Narrow"/>
                <w:color w:val="000000"/>
                <w:sz w:val="22"/>
                <w:szCs w:val="22"/>
                <w:lang w:val="lt-LT"/>
              </w:rPr>
              <w:t>Mokymai turi apimti CDE administravimą, projektų kūrimą ir administravimą, pakartotinai naudojamos projekto konfigūracijos taikymą ir keitimą, aplankų struktūrų, metaduomenų, naudotojų grupių ir teisių, dokumentų valdymo procesų, pastabų ir užduočių procesų, statybos procesų bei kitų pagal 2 skyrių sukurtų konfigūracijos elementų administravimą. Turi būti apmokyta savarankiškai keisti ir toliau vystyti sukurtą konfigūraciją.</w:t>
            </w:r>
          </w:p>
        </w:tc>
        <w:tc>
          <w:tcPr>
            <w:tcW w:w="4430" w:type="dxa"/>
            <w:tcBorders>
              <w:top w:val="nil"/>
              <w:left w:val="nil"/>
              <w:bottom w:val="single" w:sz="4" w:space="0" w:color="auto"/>
              <w:right w:val="single" w:sz="4" w:space="0" w:color="auto"/>
            </w:tcBorders>
            <w:vAlign w:val="center"/>
            <w:hideMark/>
          </w:tcPr>
          <w:p w14:paraId="404D1878" w14:textId="77777777" w:rsidR="00184C8E" w:rsidRPr="00CC4CE5" w:rsidRDefault="00184C8E">
            <w:pPr>
              <w:rPr>
                <w:rFonts w:ascii="Aptos Narrow" w:hAnsi="Aptos Narrow"/>
                <w:b/>
                <w:bCs/>
                <w:color w:val="000000"/>
                <w:sz w:val="22"/>
                <w:szCs w:val="22"/>
                <w:lang w:val="lt-LT"/>
              </w:rPr>
            </w:pPr>
            <w:r w:rsidRPr="00CC4CE5">
              <w:rPr>
                <w:rFonts w:ascii="Aptos Narrow" w:hAnsi="Aptos Narrow"/>
                <w:b/>
                <w:bCs/>
                <w:color w:val="000000"/>
                <w:sz w:val="22"/>
                <w:szCs w:val="22"/>
                <w:lang w:val="lt-LT"/>
              </w:rPr>
              <w:t xml:space="preserve">24 valandos pradinių mokymų. </w:t>
            </w:r>
            <w:r w:rsidRPr="00CC4CE5">
              <w:rPr>
                <w:rFonts w:ascii="Aptos Narrow" w:hAnsi="Aptos Narrow"/>
                <w:color w:val="000000"/>
                <w:sz w:val="22"/>
                <w:szCs w:val="22"/>
                <w:lang w:val="lt-LT"/>
              </w:rPr>
              <w:t>Mokymai gali būti suskaidyti į atskiras administravimo temas</w:t>
            </w:r>
            <w:r w:rsidRPr="00CC4CE5">
              <w:rPr>
                <w:rFonts w:ascii="Aptos Narrow" w:hAnsi="Aptos Narrow"/>
                <w:b/>
                <w:bCs/>
                <w:color w:val="000000"/>
                <w:sz w:val="22"/>
                <w:szCs w:val="22"/>
                <w:lang w:val="lt-LT"/>
              </w:rPr>
              <w:t>.</w:t>
            </w:r>
          </w:p>
        </w:tc>
        <w:tc>
          <w:tcPr>
            <w:tcW w:w="3361" w:type="dxa"/>
            <w:tcBorders>
              <w:top w:val="nil"/>
              <w:left w:val="nil"/>
              <w:bottom w:val="single" w:sz="4" w:space="0" w:color="auto"/>
              <w:right w:val="single" w:sz="4" w:space="0" w:color="auto"/>
            </w:tcBorders>
            <w:vAlign w:val="center"/>
            <w:hideMark/>
          </w:tcPr>
          <w:p w14:paraId="68B07813" w14:textId="77777777" w:rsidR="00184C8E" w:rsidRPr="00CC4CE5" w:rsidRDefault="00184C8E">
            <w:pPr>
              <w:rPr>
                <w:rFonts w:ascii="Aptos Narrow" w:hAnsi="Aptos Narrow"/>
                <w:color w:val="000000"/>
                <w:sz w:val="22"/>
                <w:szCs w:val="22"/>
                <w:lang w:val="lt-LT"/>
              </w:rPr>
            </w:pPr>
            <w:r w:rsidRPr="00CC4CE5">
              <w:rPr>
                <w:rFonts w:ascii="Aptos Narrow" w:hAnsi="Aptos Narrow"/>
                <w:color w:val="000000"/>
                <w:sz w:val="22"/>
                <w:szCs w:val="22"/>
                <w:lang w:val="lt-LT"/>
              </w:rPr>
              <w:t>BIM vadovas / CDE administratorius praktiškai atlieka pagrindinius CDE ir pagal 2 skyrių sukurtos konfigūracijos administravimo bei keitimo veiksmus.</w:t>
            </w:r>
          </w:p>
        </w:tc>
      </w:tr>
      <w:tr w:rsidR="00184C8E" w:rsidRPr="005A629B" w14:paraId="5A1D856D" w14:textId="77777777" w:rsidTr="00184C8E">
        <w:trPr>
          <w:trHeight w:val="2320"/>
        </w:trPr>
        <w:tc>
          <w:tcPr>
            <w:tcW w:w="610" w:type="dxa"/>
            <w:tcBorders>
              <w:top w:val="nil"/>
              <w:left w:val="single" w:sz="4" w:space="0" w:color="auto"/>
              <w:bottom w:val="single" w:sz="4" w:space="0" w:color="auto"/>
              <w:right w:val="single" w:sz="4" w:space="0" w:color="auto"/>
            </w:tcBorders>
            <w:vAlign w:val="center"/>
            <w:hideMark/>
          </w:tcPr>
          <w:p w14:paraId="4D4BA930" w14:textId="77777777" w:rsidR="00184C8E" w:rsidRPr="00CC4CE5" w:rsidRDefault="00184C8E">
            <w:pPr>
              <w:rPr>
                <w:rFonts w:ascii="Aptos Narrow" w:hAnsi="Aptos Narrow"/>
                <w:b/>
                <w:bCs/>
                <w:color w:val="000000"/>
                <w:sz w:val="22"/>
                <w:szCs w:val="22"/>
                <w:lang w:val="lt-LT"/>
              </w:rPr>
            </w:pPr>
            <w:r w:rsidRPr="00CC4CE5">
              <w:rPr>
                <w:rFonts w:ascii="Aptos Narrow" w:hAnsi="Aptos Narrow"/>
                <w:b/>
                <w:bCs/>
                <w:color w:val="000000"/>
                <w:sz w:val="22"/>
                <w:szCs w:val="22"/>
                <w:lang w:val="lt-LT"/>
              </w:rPr>
              <w:lastRenderedPageBreak/>
              <w:t>4.4</w:t>
            </w:r>
          </w:p>
        </w:tc>
        <w:tc>
          <w:tcPr>
            <w:tcW w:w="2194" w:type="dxa"/>
            <w:tcBorders>
              <w:top w:val="nil"/>
              <w:left w:val="nil"/>
              <w:bottom w:val="single" w:sz="4" w:space="0" w:color="auto"/>
              <w:right w:val="single" w:sz="4" w:space="0" w:color="auto"/>
            </w:tcBorders>
            <w:vAlign w:val="center"/>
            <w:hideMark/>
          </w:tcPr>
          <w:p w14:paraId="6AA66CFA" w14:textId="77777777" w:rsidR="00184C8E" w:rsidRPr="00CC4CE5" w:rsidRDefault="00184C8E">
            <w:pPr>
              <w:rPr>
                <w:rFonts w:ascii="Aptos Narrow" w:hAnsi="Aptos Narrow"/>
                <w:b/>
                <w:bCs/>
                <w:color w:val="000000"/>
                <w:sz w:val="22"/>
                <w:szCs w:val="22"/>
                <w:lang w:val="lt-LT"/>
              </w:rPr>
            </w:pPr>
            <w:r w:rsidRPr="00CC4CE5">
              <w:rPr>
                <w:rFonts w:ascii="Aptos Narrow" w:hAnsi="Aptos Narrow"/>
                <w:b/>
                <w:bCs/>
                <w:color w:val="000000"/>
                <w:sz w:val="22"/>
                <w:szCs w:val="22"/>
                <w:lang w:val="lt-LT"/>
              </w:rPr>
              <w:t>Užsakovo projektus derinančios komandos mokymai</w:t>
            </w:r>
          </w:p>
        </w:tc>
        <w:tc>
          <w:tcPr>
            <w:tcW w:w="4709" w:type="dxa"/>
            <w:tcBorders>
              <w:top w:val="nil"/>
              <w:left w:val="nil"/>
              <w:bottom w:val="single" w:sz="4" w:space="0" w:color="auto"/>
              <w:right w:val="single" w:sz="4" w:space="0" w:color="auto"/>
            </w:tcBorders>
            <w:vAlign w:val="center"/>
            <w:hideMark/>
          </w:tcPr>
          <w:p w14:paraId="0DAFAB29" w14:textId="77777777" w:rsidR="00184C8E" w:rsidRPr="00CC4CE5" w:rsidRDefault="00184C8E">
            <w:pPr>
              <w:rPr>
                <w:rFonts w:ascii="Aptos Narrow" w:hAnsi="Aptos Narrow"/>
                <w:color w:val="000000"/>
                <w:sz w:val="22"/>
                <w:szCs w:val="22"/>
                <w:lang w:val="lt-LT"/>
              </w:rPr>
            </w:pPr>
            <w:r w:rsidRPr="00CC4CE5">
              <w:rPr>
                <w:rFonts w:ascii="Aptos Narrow" w:hAnsi="Aptos Narrow"/>
                <w:color w:val="000000"/>
                <w:sz w:val="22"/>
                <w:szCs w:val="22"/>
                <w:lang w:val="lt-LT"/>
              </w:rPr>
              <w:t>Mokymai turi apimti bendrą darbą CDE, dokumentų paiešką ir peržiūrą, aktualios versijos nustatymą, dokumentų tikrinimą, pastabų kūrimą ir žymėjimą dokumente, pastabų būsenų ir atsakymų valdymą, pataisytų dokumentų ir pakeitimų tikrinimą, dokumentų derinimą / tvirtinimą bei 3D modelių paiešką, peržiūrą ir naudojimą projektinei informacijai tikrinti.</w:t>
            </w:r>
          </w:p>
        </w:tc>
        <w:tc>
          <w:tcPr>
            <w:tcW w:w="4430" w:type="dxa"/>
            <w:tcBorders>
              <w:top w:val="nil"/>
              <w:left w:val="nil"/>
              <w:bottom w:val="single" w:sz="4" w:space="0" w:color="auto"/>
              <w:right w:val="single" w:sz="4" w:space="0" w:color="auto"/>
            </w:tcBorders>
            <w:vAlign w:val="center"/>
            <w:hideMark/>
          </w:tcPr>
          <w:p w14:paraId="2745EC6F" w14:textId="77777777" w:rsidR="00184C8E" w:rsidRPr="00CC4CE5" w:rsidRDefault="00184C8E">
            <w:pPr>
              <w:rPr>
                <w:rFonts w:ascii="Aptos Narrow" w:hAnsi="Aptos Narrow"/>
                <w:color w:val="000000"/>
                <w:sz w:val="22"/>
                <w:szCs w:val="22"/>
                <w:lang w:val="lt-LT"/>
              </w:rPr>
            </w:pPr>
            <w:r w:rsidRPr="00CC4CE5">
              <w:rPr>
                <w:rFonts w:ascii="Aptos Narrow" w:hAnsi="Aptos Narrow"/>
                <w:color w:val="000000"/>
                <w:sz w:val="22"/>
                <w:szCs w:val="22"/>
                <w:lang w:val="lt-LT"/>
              </w:rPr>
              <w:t xml:space="preserve">Iki </w:t>
            </w:r>
            <w:r w:rsidRPr="00CC4CE5">
              <w:rPr>
                <w:rFonts w:ascii="Aptos Narrow" w:hAnsi="Aptos Narrow"/>
                <w:b/>
                <w:bCs/>
                <w:color w:val="000000"/>
                <w:sz w:val="22"/>
                <w:szCs w:val="22"/>
                <w:lang w:val="lt-LT"/>
              </w:rPr>
              <w:t>100 dalyvių</w:t>
            </w:r>
            <w:r w:rsidRPr="00CC4CE5">
              <w:rPr>
                <w:rFonts w:ascii="Aptos Narrow" w:hAnsi="Aptos Narrow"/>
                <w:color w:val="000000"/>
                <w:sz w:val="22"/>
                <w:szCs w:val="22"/>
                <w:lang w:val="lt-LT"/>
              </w:rPr>
              <w:t xml:space="preserve">, grupėmis po ne daugiau kaip 10 dalyvių, t. y. iki 10 grupių. Kiekvienai grupei – 10 valandų pradinių mokymų. </w:t>
            </w:r>
            <w:r w:rsidRPr="00CC4CE5">
              <w:rPr>
                <w:rFonts w:ascii="Aptos Narrow" w:hAnsi="Aptos Narrow"/>
                <w:b/>
                <w:bCs/>
                <w:color w:val="000000"/>
                <w:sz w:val="22"/>
                <w:szCs w:val="22"/>
                <w:lang w:val="lt-LT"/>
              </w:rPr>
              <w:t>Maksimali pradinė apimtis – 100 val.</w:t>
            </w:r>
          </w:p>
        </w:tc>
        <w:tc>
          <w:tcPr>
            <w:tcW w:w="3361" w:type="dxa"/>
            <w:tcBorders>
              <w:top w:val="nil"/>
              <w:left w:val="nil"/>
              <w:bottom w:val="single" w:sz="4" w:space="0" w:color="auto"/>
              <w:right w:val="single" w:sz="4" w:space="0" w:color="auto"/>
            </w:tcBorders>
            <w:vAlign w:val="center"/>
            <w:hideMark/>
          </w:tcPr>
          <w:p w14:paraId="408C1C11" w14:textId="77777777" w:rsidR="00184C8E" w:rsidRPr="00CC4CE5" w:rsidRDefault="00184C8E">
            <w:pPr>
              <w:rPr>
                <w:rFonts w:ascii="Aptos Narrow" w:hAnsi="Aptos Narrow"/>
                <w:color w:val="000000"/>
                <w:sz w:val="22"/>
                <w:szCs w:val="22"/>
                <w:lang w:val="lt-LT"/>
              </w:rPr>
            </w:pPr>
            <w:r w:rsidRPr="00CC4CE5">
              <w:rPr>
                <w:rFonts w:ascii="Aptos Narrow" w:hAnsi="Aptos Narrow"/>
                <w:color w:val="000000"/>
                <w:sz w:val="22"/>
                <w:szCs w:val="22"/>
                <w:lang w:val="lt-LT"/>
              </w:rPr>
              <w:t>Praktinėje dalyje dalyviai randa ir patikrina dokumentą, sukuria pastabą konkrečioje dokumento vietoje, valdo atsakymą ir pastabos būseną, patikrina naują dokumento versiją, atlieka derinimo / tvirtinimo veiksmą ir peržiūri 3D modelio informaciją.</w:t>
            </w:r>
          </w:p>
        </w:tc>
      </w:tr>
      <w:tr w:rsidR="00184C8E" w:rsidRPr="005A629B" w14:paraId="45CF70B0" w14:textId="77777777" w:rsidTr="00184C8E">
        <w:trPr>
          <w:trHeight w:val="2030"/>
        </w:trPr>
        <w:tc>
          <w:tcPr>
            <w:tcW w:w="610" w:type="dxa"/>
            <w:tcBorders>
              <w:top w:val="nil"/>
              <w:left w:val="single" w:sz="4" w:space="0" w:color="auto"/>
              <w:bottom w:val="single" w:sz="4" w:space="0" w:color="auto"/>
              <w:right w:val="single" w:sz="4" w:space="0" w:color="auto"/>
            </w:tcBorders>
            <w:vAlign w:val="center"/>
            <w:hideMark/>
          </w:tcPr>
          <w:p w14:paraId="39948ADA" w14:textId="77777777" w:rsidR="00184C8E" w:rsidRPr="00CC4CE5" w:rsidRDefault="00184C8E">
            <w:pPr>
              <w:rPr>
                <w:rFonts w:ascii="Aptos Narrow" w:hAnsi="Aptos Narrow"/>
                <w:b/>
                <w:bCs/>
                <w:color w:val="000000"/>
                <w:sz w:val="22"/>
                <w:szCs w:val="22"/>
                <w:lang w:val="lt-LT"/>
              </w:rPr>
            </w:pPr>
            <w:r w:rsidRPr="00CC4CE5">
              <w:rPr>
                <w:rFonts w:ascii="Aptos Narrow" w:hAnsi="Aptos Narrow"/>
                <w:b/>
                <w:bCs/>
                <w:color w:val="000000"/>
                <w:sz w:val="22"/>
                <w:szCs w:val="22"/>
                <w:lang w:val="lt-LT"/>
              </w:rPr>
              <w:t>4.5</w:t>
            </w:r>
          </w:p>
        </w:tc>
        <w:tc>
          <w:tcPr>
            <w:tcW w:w="2194" w:type="dxa"/>
            <w:tcBorders>
              <w:top w:val="nil"/>
              <w:left w:val="nil"/>
              <w:bottom w:val="single" w:sz="4" w:space="0" w:color="auto"/>
              <w:right w:val="single" w:sz="4" w:space="0" w:color="auto"/>
            </w:tcBorders>
            <w:vAlign w:val="center"/>
            <w:hideMark/>
          </w:tcPr>
          <w:p w14:paraId="129FA863" w14:textId="77777777" w:rsidR="00184C8E" w:rsidRPr="00CC4CE5" w:rsidRDefault="00184C8E">
            <w:pPr>
              <w:rPr>
                <w:rFonts w:ascii="Aptos Narrow" w:hAnsi="Aptos Narrow"/>
                <w:b/>
                <w:bCs/>
                <w:color w:val="000000"/>
                <w:sz w:val="22"/>
                <w:szCs w:val="22"/>
                <w:lang w:val="lt-LT"/>
              </w:rPr>
            </w:pPr>
            <w:r w:rsidRPr="00CC4CE5">
              <w:rPr>
                <w:rFonts w:ascii="Aptos Narrow" w:hAnsi="Aptos Narrow"/>
                <w:b/>
                <w:bCs/>
                <w:color w:val="000000"/>
                <w:sz w:val="22"/>
                <w:szCs w:val="22"/>
                <w:lang w:val="lt-LT"/>
              </w:rPr>
              <w:t>Užsakovo projektų vadovų mokymai</w:t>
            </w:r>
          </w:p>
        </w:tc>
        <w:tc>
          <w:tcPr>
            <w:tcW w:w="4709" w:type="dxa"/>
            <w:tcBorders>
              <w:top w:val="nil"/>
              <w:left w:val="nil"/>
              <w:bottom w:val="single" w:sz="4" w:space="0" w:color="auto"/>
              <w:right w:val="single" w:sz="4" w:space="0" w:color="auto"/>
            </w:tcBorders>
            <w:vAlign w:val="center"/>
            <w:hideMark/>
          </w:tcPr>
          <w:p w14:paraId="120B939E" w14:textId="77777777" w:rsidR="00184C8E" w:rsidRPr="00CC4CE5" w:rsidRDefault="00184C8E">
            <w:pPr>
              <w:rPr>
                <w:rFonts w:ascii="Aptos Narrow" w:hAnsi="Aptos Narrow"/>
                <w:color w:val="000000"/>
                <w:sz w:val="22"/>
                <w:szCs w:val="22"/>
                <w:lang w:val="lt-LT"/>
              </w:rPr>
            </w:pPr>
            <w:r w:rsidRPr="00CC4CE5">
              <w:rPr>
                <w:rFonts w:ascii="Aptos Narrow" w:hAnsi="Aptos Narrow"/>
                <w:color w:val="000000"/>
                <w:sz w:val="22"/>
                <w:szCs w:val="22"/>
                <w:lang w:val="lt-LT"/>
              </w:rPr>
              <w:t>Mokymai turi apimti projekto administravimą CDE, projekto dalyvių ir jų prieigų valdymą pagal suteiktas teises, dokumentų ir jų būsenų stebėseną, užduočių ir pastabų kūrimą bei paskirstymą, vykdomų procesų stebėseną, dokumentų derinimo organizavimą, projekto informacijos paiešką bei suvestinių / ataskaitų naudojimą.</w:t>
            </w:r>
          </w:p>
        </w:tc>
        <w:tc>
          <w:tcPr>
            <w:tcW w:w="4430" w:type="dxa"/>
            <w:tcBorders>
              <w:top w:val="nil"/>
              <w:left w:val="nil"/>
              <w:bottom w:val="single" w:sz="4" w:space="0" w:color="auto"/>
              <w:right w:val="single" w:sz="4" w:space="0" w:color="auto"/>
            </w:tcBorders>
            <w:vAlign w:val="center"/>
            <w:hideMark/>
          </w:tcPr>
          <w:p w14:paraId="612AC9F8" w14:textId="77777777" w:rsidR="00184C8E" w:rsidRPr="00CC4CE5" w:rsidRDefault="00184C8E">
            <w:pPr>
              <w:rPr>
                <w:rFonts w:ascii="Aptos Narrow" w:hAnsi="Aptos Narrow"/>
                <w:color w:val="000000"/>
                <w:sz w:val="22"/>
                <w:szCs w:val="22"/>
                <w:lang w:val="lt-LT"/>
              </w:rPr>
            </w:pPr>
            <w:r w:rsidRPr="00CC4CE5">
              <w:rPr>
                <w:rFonts w:ascii="Aptos Narrow" w:hAnsi="Aptos Narrow"/>
                <w:color w:val="000000"/>
                <w:sz w:val="22"/>
                <w:szCs w:val="22"/>
                <w:lang w:val="lt-LT"/>
              </w:rPr>
              <w:t xml:space="preserve">Iki </w:t>
            </w:r>
            <w:r w:rsidRPr="00CC4CE5">
              <w:rPr>
                <w:rFonts w:ascii="Aptos Narrow" w:hAnsi="Aptos Narrow"/>
                <w:b/>
                <w:bCs/>
                <w:color w:val="000000"/>
                <w:sz w:val="22"/>
                <w:szCs w:val="22"/>
                <w:lang w:val="lt-LT"/>
              </w:rPr>
              <w:t>20 dalyvių</w:t>
            </w:r>
            <w:r w:rsidRPr="00CC4CE5">
              <w:rPr>
                <w:rFonts w:ascii="Aptos Narrow" w:hAnsi="Aptos Narrow"/>
                <w:color w:val="000000"/>
                <w:sz w:val="22"/>
                <w:szCs w:val="22"/>
                <w:lang w:val="lt-LT"/>
              </w:rPr>
              <w:t xml:space="preserve">, grupėmis po ne daugiau kaip 10 dalyvių, t. y. iki </w:t>
            </w:r>
            <w:r w:rsidRPr="00CC4CE5">
              <w:rPr>
                <w:rFonts w:ascii="Aptos Narrow" w:hAnsi="Aptos Narrow"/>
                <w:b/>
                <w:bCs/>
                <w:color w:val="000000"/>
                <w:sz w:val="22"/>
                <w:szCs w:val="22"/>
                <w:lang w:val="lt-LT"/>
              </w:rPr>
              <w:t>2 grupių</w:t>
            </w:r>
            <w:r w:rsidRPr="00CC4CE5">
              <w:rPr>
                <w:rFonts w:ascii="Aptos Narrow" w:hAnsi="Aptos Narrow"/>
                <w:color w:val="000000"/>
                <w:sz w:val="22"/>
                <w:szCs w:val="22"/>
                <w:lang w:val="lt-LT"/>
              </w:rPr>
              <w:t xml:space="preserve">. Kiekvienai grupei – </w:t>
            </w:r>
            <w:r w:rsidRPr="00CC4CE5">
              <w:rPr>
                <w:rFonts w:ascii="Aptos Narrow" w:hAnsi="Aptos Narrow"/>
                <w:b/>
                <w:bCs/>
                <w:color w:val="000000"/>
                <w:sz w:val="22"/>
                <w:szCs w:val="22"/>
                <w:lang w:val="lt-LT"/>
              </w:rPr>
              <w:t>12 valandų pradinių mokymų. Maksimali pradinė apimtis – 24 val.</w:t>
            </w:r>
          </w:p>
        </w:tc>
        <w:tc>
          <w:tcPr>
            <w:tcW w:w="3361" w:type="dxa"/>
            <w:tcBorders>
              <w:top w:val="nil"/>
              <w:left w:val="nil"/>
              <w:bottom w:val="single" w:sz="4" w:space="0" w:color="auto"/>
              <w:right w:val="single" w:sz="4" w:space="0" w:color="auto"/>
            </w:tcBorders>
            <w:vAlign w:val="center"/>
            <w:hideMark/>
          </w:tcPr>
          <w:p w14:paraId="41932A6D" w14:textId="77777777" w:rsidR="00184C8E" w:rsidRPr="00CC4CE5" w:rsidRDefault="00184C8E">
            <w:pPr>
              <w:rPr>
                <w:rFonts w:ascii="Aptos Narrow" w:hAnsi="Aptos Narrow"/>
                <w:color w:val="000000"/>
                <w:sz w:val="22"/>
                <w:szCs w:val="22"/>
                <w:lang w:val="lt-LT"/>
              </w:rPr>
            </w:pPr>
            <w:r w:rsidRPr="00CC4CE5">
              <w:rPr>
                <w:rFonts w:ascii="Aptos Narrow" w:hAnsi="Aptos Narrow"/>
                <w:color w:val="000000"/>
                <w:sz w:val="22"/>
                <w:szCs w:val="22"/>
                <w:lang w:val="lt-LT"/>
              </w:rPr>
              <w:t>Praktinėje dalyje projekto vadovas atlieka pagrindinius projekto administravimo, dalyvių / prieigų valdymo, užduočių paskirstymo ir procesų stebėsenos veiksmus.</w:t>
            </w:r>
          </w:p>
        </w:tc>
      </w:tr>
      <w:tr w:rsidR="00184C8E" w:rsidRPr="005A629B" w14:paraId="69A09AA3" w14:textId="77777777" w:rsidTr="00184C8E">
        <w:trPr>
          <w:trHeight w:val="2320"/>
        </w:trPr>
        <w:tc>
          <w:tcPr>
            <w:tcW w:w="610" w:type="dxa"/>
            <w:tcBorders>
              <w:top w:val="nil"/>
              <w:left w:val="single" w:sz="4" w:space="0" w:color="auto"/>
              <w:bottom w:val="single" w:sz="4" w:space="0" w:color="auto"/>
              <w:right w:val="single" w:sz="4" w:space="0" w:color="auto"/>
            </w:tcBorders>
            <w:vAlign w:val="center"/>
            <w:hideMark/>
          </w:tcPr>
          <w:p w14:paraId="4222E8A7" w14:textId="77777777" w:rsidR="00184C8E" w:rsidRPr="00CC4CE5" w:rsidRDefault="00184C8E">
            <w:pPr>
              <w:rPr>
                <w:rFonts w:ascii="Aptos Narrow" w:hAnsi="Aptos Narrow"/>
                <w:b/>
                <w:bCs/>
                <w:color w:val="000000"/>
                <w:sz w:val="22"/>
                <w:szCs w:val="22"/>
                <w:lang w:val="lt-LT"/>
              </w:rPr>
            </w:pPr>
            <w:r w:rsidRPr="00CC4CE5">
              <w:rPr>
                <w:rFonts w:ascii="Aptos Narrow" w:hAnsi="Aptos Narrow"/>
                <w:b/>
                <w:bCs/>
                <w:color w:val="000000"/>
                <w:sz w:val="22"/>
                <w:szCs w:val="22"/>
                <w:lang w:val="lt-LT"/>
              </w:rPr>
              <w:t>4.6</w:t>
            </w:r>
          </w:p>
        </w:tc>
        <w:tc>
          <w:tcPr>
            <w:tcW w:w="2194" w:type="dxa"/>
            <w:tcBorders>
              <w:top w:val="nil"/>
              <w:left w:val="nil"/>
              <w:bottom w:val="single" w:sz="4" w:space="0" w:color="auto"/>
              <w:right w:val="single" w:sz="4" w:space="0" w:color="auto"/>
            </w:tcBorders>
            <w:vAlign w:val="center"/>
            <w:hideMark/>
          </w:tcPr>
          <w:p w14:paraId="50442AE7" w14:textId="77777777" w:rsidR="00184C8E" w:rsidRPr="00CC4CE5" w:rsidRDefault="00184C8E">
            <w:pPr>
              <w:rPr>
                <w:rFonts w:ascii="Aptos Narrow" w:hAnsi="Aptos Narrow"/>
                <w:b/>
                <w:bCs/>
                <w:color w:val="000000"/>
                <w:sz w:val="22"/>
                <w:szCs w:val="22"/>
                <w:lang w:val="lt-LT"/>
              </w:rPr>
            </w:pPr>
            <w:r w:rsidRPr="00CC4CE5">
              <w:rPr>
                <w:rFonts w:ascii="Aptos Narrow" w:hAnsi="Aptos Narrow"/>
                <w:b/>
                <w:bCs/>
                <w:color w:val="000000"/>
                <w:sz w:val="22"/>
                <w:szCs w:val="22"/>
                <w:lang w:val="lt-LT"/>
              </w:rPr>
              <w:t>Projektuotojų mokymai</w:t>
            </w:r>
          </w:p>
        </w:tc>
        <w:tc>
          <w:tcPr>
            <w:tcW w:w="4709" w:type="dxa"/>
            <w:tcBorders>
              <w:top w:val="nil"/>
              <w:left w:val="nil"/>
              <w:bottom w:val="single" w:sz="4" w:space="0" w:color="auto"/>
              <w:right w:val="single" w:sz="4" w:space="0" w:color="auto"/>
            </w:tcBorders>
            <w:vAlign w:val="center"/>
            <w:hideMark/>
          </w:tcPr>
          <w:p w14:paraId="622ED0C2" w14:textId="77777777" w:rsidR="00184C8E" w:rsidRPr="00CC4CE5" w:rsidRDefault="00184C8E">
            <w:pPr>
              <w:rPr>
                <w:rFonts w:ascii="Aptos Narrow" w:hAnsi="Aptos Narrow"/>
                <w:color w:val="000000"/>
                <w:sz w:val="22"/>
                <w:szCs w:val="22"/>
                <w:lang w:val="lt-LT"/>
              </w:rPr>
            </w:pPr>
            <w:r w:rsidRPr="00CC4CE5">
              <w:rPr>
                <w:rFonts w:ascii="Aptos Narrow" w:hAnsi="Aptos Narrow"/>
                <w:color w:val="000000"/>
                <w:sz w:val="22"/>
                <w:szCs w:val="22"/>
                <w:lang w:val="lt-LT"/>
              </w:rPr>
              <w:t>Mokymai turi apimti darbą Užsakovo CDE, dokumentų ir modelių įkėlimą į nustatytas informacijos struktūros vietas, metaduomenų pildymą, failų pavadinimų ir versijų valdymo taisyklių taikymą, dokumentų ir modelių pateikimą derinimui, jų tarpusavio susiejimą, gautų pastabų peržiūrą, atsakymų pateikimą bei pataisytų dokumentų / modelių pateikimą.</w:t>
            </w:r>
          </w:p>
        </w:tc>
        <w:tc>
          <w:tcPr>
            <w:tcW w:w="4430" w:type="dxa"/>
            <w:tcBorders>
              <w:top w:val="nil"/>
              <w:left w:val="nil"/>
              <w:bottom w:val="single" w:sz="4" w:space="0" w:color="auto"/>
              <w:right w:val="single" w:sz="4" w:space="0" w:color="auto"/>
            </w:tcBorders>
            <w:vAlign w:val="center"/>
            <w:hideMark/>
          </w:tcPr>
          <w:p w14:paraId="390B9172" w14:textId="77777777" w:rsidR="00184C8E" w:rsidRPr="00CC4CE5" w:rsidRDefault="00184C8E">
            <w:pPr>
              <w:rPr>
                <w:rFonts w:ascii="Aptos Narrow" w:hAnsi="Aptos Narrow"/>
                <w:color w:val="000000"/>
                <w:sz w:val="22"/>
                <w:szCs w:val="22"/>
                <w:lang w:val="lt-LT"/>
              </w:rPr>
            </w:pPr>
            <w:r w:rsidRPr="00CC4CE5">
              <w:rPr>
                <w:rFonts w:ascii="Aptos Narrow" w:hAnsi="Aptos Narrow"/>
                <w:color w:val="000000"/>
                <w:sz w:val="22"/>
                <w:szCs w:val="22"/>
                <w:lang w:val="lt-LT"/>
              </w:rPr>
              <w:t xml:space="preserve">Iki </w:t>
            </w:r>
            <w:r w:rsidRPr="00CC4CE5">
              <w:rPr>
                <w:rFonts w:ascii="Aptos Narrow" w:hAnsi="Aptos Narrow"/>
                <w:b/>
                <w:bCs/>
                <w:color w:val="000000"/>
                <w:sz w:val="22"/>
                <w:szCs w:val="22"/>
                <w:lang w:val="lt-LT"/>
              </w:rPr>
              <w:t>5 projektuotojų įmonių</w:t>
            </w:r>
            <w:r w:rsidRPr="00CC4CE5">
              <w:rPr>
                <w:rFonts w:ascii="Aptos Narrow" w:hAnsi="Aptos Narrow"/>
                <w:color w:val="000000"/>
                <w:sz w:val="22"/>
                <w:szCs w:val="22"/>
                <w:lang w:val="lt-LT"/>
              </w:rPr>
              <w:t xml:space="preserve">. Kiekvienai įmonei – </w:t>
            </w:r>
            <w:r w:rsidRPr="00CC4CE5">
              <w:rPr>
                <w:rFonts w:ascii="Aptos Narrow" w:hAnsi="Aptos Narrow"/>
                <w:b/>
                <w:bCs/>
                <w:color w:val="000000"/>
                <w:sz w:val="22"/>
                <w:szCs w:val="22"/>
                <w:lang w:val="lt-LT"/>
              </w:rPr>
              <w:t xml:space="preserve">6 valandos pradinių mokymų. Maksimali pradinė apimtis – 30 val. </w:t>
            </w:r>
            <w:r w:rsidRPr="00CC4CE5">
              <w:rPr>
                <w:rFonts w:ascii="Aptos Narrow" w:hAnsi="Aptos Narrow"/>
                <w:color w:val="000000"/>
                <w:sz w:val="22"/>
                <w:szCs w:val="22"/>
                <w:lang w:val="lt-LT"/>
              </w:rPr>
              <w:t>Dalyvių skaičius vienos įmonės mokymuose neribojamas.</w:t>
            </w:r>
          </w:p>
        </w:tc>
        <w:tc>
          <w:tcPr>
            <w:tcW w:w="3361" w:type="dxa"/>
            <w:tcBorders>
              <w:top w:val="nil"/>
              <w:left w:val="nil"/>
              <w:bottom w:val="single" w:sz="4" w:space="0" w:color="auto"/>
              <w:right w:val="single" w:sz="4" w:space="0" w:color="auto"/>
            </w:tcBorders>
            <w:vAlign w:val="center"/>
            <w:hideMark/>
          </w:tcPr>
          <w:p w14:paraId="0BD79CA2" w14:textId="77777777" w:rsidR="00184C8E" w:rsidRPr="00CC4CE5" w:rsidRDefault="00184C8E">
            <w:pPr>
              <w:rPr>
                <w:rFonts w:ascii="Aptos Narrow" w:hAnsi="Aptos Narrow"/>
                <w:color w:val="000000"/>
                <w:sz w:val="22"/>
                <w:szCs w:val="22"/>
                <w:lang w:val="lt-LT"/>
              </w:rPr>
            </w:pPr>
            <w:r w:rsidRPr="00CC4CE5">
              <w:rPr>
                <w:rFonts w:ascii="Aptos Narrow" w:hAnsi="Aptos Narrow"/>
                <w:color w:val="000000"/>
                <w:sz w:val="22"/>
                <w:szCs w:val="22"/>
                <w:lang w:val="lt-LT"/>
              </w:rPr>
              <w:t>Praktinėje dalyje atliekamas dokumento ir modelio įkėlimas, reikiamos informacijos užpildymas, pateikimas nustatytam procesui, gautos pastabos peržiūra, atsakymo ir pataisytos informacijos pateikimas.</w:t>
            </w:r>
          </w:p>
        </w:tc>
      </w:tr>
      <w:tr w:rsidR="00184C8E" w:rsidRPr="005A629B" w14:paraId="5CA94E39" w14:textId="77777777" w:rsidTr="00184C8E">
        <w:trPr>
          <w:trHeight w:val="2610"/>
        </w:trPr>
        <w:tc>
          <w:tcPr>
            <w:tcW w:w="610" w:type="dxa"/>
            <w:tcBorders>
              <w:top w:val="nil"/>
              <w:left w:val="single" w:sz="4" w:space="0" w:color="auto"/>
              <w:bottom w:val="single" w:sz="4" w:space="0" w:color="auto"/>
              <w:right w:val="single" w:sz="4" w:space="0" w:color="auto"/>
            </w:tcBorders>
            <w:vAlign w:val="center"/>
            <w:hideMark/>
          </w:tcPr>
          <w:p w14:paraId="51594A5D" w14:textId="77777777" w:rsidR="00184C8E" w:rsidRPr="00CC4CE5" w:rsidRDefault="00184C8E">
            <w:pPr>
              <w:rPr>
                <w:rFonts w:ascii="Aptos Narrow" w:hAnsi="Aptos Narrow"/>
                <w:b/>
                <w:bCs/>
                <w:color w:val="000000"/>
                <w:sz w:val="22"/>
                <w:szCs w:val="22"/>
                <w:lang w:val="lt-LT"/>
              </w:rPr>
            </w:pPr>
            <w:r w:rsidRPr="00CC4CE5">
              <w:rPr>
                <w:rFonts w:ascii="Aptos Narrow" w:hAnsi="Aptos Narrow"/>
                <w:b/>
                <w:bCs/>
                <w:color w:val="000000"/>
                <w:sz w:val="22"/>
                <w:szCs w:val="22"/>
                <w:lang w:val="lt-LT"/>
              </w:rPr>
              <w:t>4.7</w:t>
            </w:r>
          </w:p>
        </w:tc>
        <w:tc>
          <w:tcPr>
            <w:tcW w:w="2194" w:type="dxa"/>
            <w:tcBorders>
              <w:top w:val="nil"/>
              <w:left w:val="nil"/>
              <w:bottom w:val="single" w:sz="4" w:space="0" w:color="auto"/>
              <w:right w:val="single" w:sz="4" w:space="0" w:color="auto"/>
            </w:tcBorders>
            <w:vAlign w:val="center"/>
            <w:hideMark/>
          </w:tcPr>
          <w:p w14:paraId="6986A1E2" w14:textId="77777777" w:rsidR="00184C8E" w:rsidRPr="00CC4CE5" w:rsidRDefault="00184C8E">
            <w:pPr>
              <w:rPr>
                <w:rFonts w:ascii="Aptos Narrow" w:hAnsi="Aptos Narrow"/>
                <w:b/>
                <w:bCs/>
                <w:color w:val="000000"/>
                <w:sz w:val="22"/>
                <w:szCs w:val="22"/>
                <w:lang w:val="lt-LT"/>
              </w:rPr>
            </w:pPr>
            <w:r w:rsidRPr="00CC4CE5">
              <w:rPr>
                <w:rFonts w:ascii="Aptos Narrow" w:hAnsi="Aptos Narrow"/>
                <w:b/>
                <w:bCs/>
                <w:color w:val="000000"/>
                <w:sz w:val="22"/>
                <w:szCs w:val="22"/>
                <w:lang w:val="lt-LT"/>
              </w:rPr>
              <w:t>Rangovų mokymai</w:t>
            </w:r>
          </w:p>
        </w:tc>
        <w:tc>
          <w:tcPr>
            <w:tcW w:w="4709" w:type="dxa"/>
            <w:tcBorders>
              <w:top w:val="nil"/>
              <w:left w:val="nil"/>
              <w:bottom w:val="single" w:sz="4" w:space="0" w:color="auto"/>
              <w:right w:val="single" w:sz="4" w:space="0" w:color="auto"/>
            </w:tcBorders>
            <w:vAlign w:val="center"/>
            <w:hideMark/>
          </w:tcPr>
          <w:p w14:paraId="6CFD3B9B" w14:textId="77777777" w:rsidR="00184C8E" w:rsidRPr="00CC4CE5" w:rsidRDefault="00184C8E">
            <w:pPr>
              <w:rPr>
                <w:rFonts w:ascii="Aptos Narrow" w:hAnsi="Aptos Narrow"/>
                <w:color w:val="000000"/>
                <w:sz w:val="22"/>
                <w:szCs w:val="22"/>
                <w:lang w:val="lt-LT"/>
              </w:rPr>
            </w:pPr>
            <w:r w:rsidRPr="00CC4CE5">
              <w:rPr>
                <w:rFonts w:ascii="Aptos Narrow" w:hAnsi="Aptos Narrow"/>
                <w:color w:val="000000"/>
                <w:sz w:val="22"/>
                <w:szCs w:val="22"/>
                <w:lang w:val="lt-LT"/>
              </w:rPr>
              <w:t>Mokymai turi apimti darbą Užsakovo CDE, rangovui skirtos projekto informacijos paiešką ir naudojimą, dokumentų ir vykdymo dokumentacijos pateikimą, statybos užduočių, pastabų, defektų ar lygiaverčių registracijų gavimą ir peržiūrą, atsakymų pateikimą, priedų / įrodymų pridėjimą bei jam priskirto proceso veiksmo užbaigimą. Kai pagal Užsakovo procesus rangovas teikia modelius, mokymai turi apimti jų įkėlimą ir susiejimą su projekto informacija.</w:t>
            </w:r>
          </w:p>
        </w:tc>
        <w:tc>
          <w:tcPr>
            <w:tcW w:w="4430" w:type="dxa"/>
            <w:tcBorders>
              <w:top w:val="nil"/>
              <w:left w:val="nil"/>
              <w:bottom w:val="single" w:sz="4" w:space="0" w:color="auto"/>
              <w:right w:val="single" w:sz="4" w:space="0" w:color="auto"/>
            </w:tcBorders>
            <w:vAlign w:val="center"/>
            <w:hideMark/>
          </w:tcPr>
          <w:p w14:paraId="49E4A7B6" w14:textId="77777777" w:rsidR="00184C8E" w:rsidRPr="00CC4CE5" w:rsidRDefault="00184C8E">
            <w:pPr>
              <w:rPr>
                <w:rFonts w:ascii="Aptos Narrow" w:hAnsi="Aptos Narrow"/>
                <w:color w:val="000000"/>
                <w:sz w:val="22"/>
                <w:szCs w:val="22"/>
                <w:lang w:val="lt-LT"/>
              </w:rPr>
            </w:pPr>
            <w:r w:rsidRPr="00CC4CE5">
              <w:rPr>
                <w:rFonts w:ascii="Aptos Narrow" w:hAnsi="Aptos Narrow"/>
                <w:color w:val="000000"/>
                <w:sz w:val="22"/>
                <w:szCs w:val="22"/>
                <w:lang w:val="lt-LT"/>
              </w:rPr>
              <w:t xml:space="preserve">Iki </w:t>
            </w:r>
            <w:r w:rsidRPr="00CC4CE5">
              <w:rPr>
                <w:rFonts w:ascii="Aptos Narrow" w:hAnsi="Aptos Narrow"/>
                <w:b/>
                <w:bCs/>
                <w:color w:val="000000"/>
                <w:sz w:val="22"/>
                <w:szCs w:val="22"/>
                <w:lang w:val="lt-LT"/>
              </w:rPr>
              <w:t>5 rangovų įmonių.</w:t>
            </w:r>
            <w:r w:rsidRPr="00CC4CE5">
              <w:rPr>
                <w:rFonts w:ascii="Aptos Narrow" w:hAnsi="Aptos Narrow"/>
                <w:color w:val="000000"/>
                <w:sz w:val="22"/>
                <w:szCs w:val="22"/>
                <w:lang w:val="lt-LT"/>
              </w:rPr>
              <w:t xml:space="preserve"> Kiekvienai įmonei – </w:t>
            </w:r>
            <w:r w:rsidRPr="00CC4CE5">
              <w:rPr>
                <w:rFonts w:ascii="Aptos Narrow" w:hAnsi="Aptos Narrow"/>
                <w:b/>
                <w:bCs/>
                <w:color w:val="000000"/>
                <w:sz w:val="22"/>
                <w:szCs w:val="22"/>
                <w:lang w:val="lt-LT"/>
              </w:rPr>
              <w:t xml:space="preserve">6 valandos pradinių mokymų. Maksimali pradinė apimtis – 30 val. </w:t>
            </w:r>
            <w:r w:rsidRPr="00CC4CE5">
              <w:rPr>
                <w:rFonts w:ascii="Aptos Narrow" w:hAnsi="Aptos Narrow"/>
                <w:color w:val="000000"/>
                <w:sz w:val="22"/>
                <w:szCs w:val="22"/>
                <w:lang w:val="lt-LT"/>
              </w:rPr>
              <w:t>Dalyvių skaičius vienos įmonės mokymuose neribojamas.</w:t>
            </w:r>
          </w:p>
        </w:tc>
        <w:tc>
          <w:tcPr>
            <w:tcW w:w="3361" w:type="dxa"/>
            <w:tcBorders>
              <w:top w:val="nil"/>
              <w:left w:val="nil"/>
              <w:bottom w:val="single" w:sz="4" w:space="0" w:color="auto"/>
              <w:right w:val="single" w:sz="4" w:space="0" w:color="auto"/>
            </w:tcBorders>
            <w:vAlign w:val="center"/>
            <w:hideMark/>
          </w:tcPr>
          <w:p w14:paraId="6402DB70" w14:textId="77777777" w:rsidR="00184C8E" w:rsidRPr="00CC4CE5" w:rsidRDefault="00184C8E">
            <w:pPr>
              <w:rPr>
                <w:rFonts w:ascii="Aptos Narrow" w:hAnsi="Aptos Narrow"/>
                <w:color w:val="000000"/>
                <w:sz w:val="22"/>
                <w:szCs w:val="22"/>
                <w:lang w:val="lt-LT"/>
              </w:rPr>
            </w:pPr>
            <w:r w:rsidRPr="00CC4CE5">
              <w:rPr>
                <w:rFonts w:ascii="Aptos Narrow" w:hAnsi="Aptos Narrow"/>
                <w:color w:val="000000"/>
                <w:sz w:val="22"/>
                <w:szCs w:val="22"/>
                <w:lang w:val="lt-LT"/>
              </w:rPr>
              <w:t>Praktinėje dalyje atliekama rangovui skirtos informacijos paieška, priskirtos užduoties / defekto peržiūra, atsakymo ir priedų pateikimas bei jam priskirto proceso veiksmo užbaigimas.</w:t>
            </w:r>
          </w:p>
        </w:tc>
      </w:tr>
      <w:tr w:rsidR="00184C8E" w:rsidRPr="005A629B" w14:paraId="23C50997" w14:textId="77777777" w:rsidTr="00184C8E">
        <w:trPr>
          <w:trHeight w:val="1450"/>
        </w:trPr>
        <w:tc>
          <w:tcPr>
            <w:tcW w:w="610" w:type="dxa"/>
            <w:tcBorders>
              <w:top w:val="nil"/>
              <w:left w:val="single" w:sz="4" w:space="0" w:color="auto"/>
              <w:bottom w:val="single" w:sz="4" w:space="0" w:color="auto"/>
              <w:right w:val="single" w:sz="4" w:space="0" w:color="auto"/>
            </w:tcBorders>
            <w:vAlign w:val="center"/>
            <w:hideMark/>
          </w:tcPr>
          <w:p w14:paraId="662AC82E" w14:textId="77777777" w:rsidR="00184C8E" w:rsidRPr="00CC4CE5" w:rsidRDefault="00184C8E">
            <w:pPr>
              <w:rPr>
                <w:rFonts w:ascii="Aptos Narrow" w:hAnsi="Aptos Narrow"/>
                <w:b/>
                <w:bCs/>
                <w:color w:val="000000"/>
                <w:sz w:val="22"/>
                <w:szCs w:val="22"/>
                <w:lang w:val="lt-LT"/>
              </w:rPr>
            </w:pPr>
            <w:r w:rsidRPr="00CC4CE5">
              <w:rPr>
                <w:rFonts w:ascii="Aptos Narrow" w:hAnsi="Aptos Narrow"/>
                <w:b/>
                <w:bCs/>
                <w:color w:val="000000"/>
                <w:sz w:val="22"/>
                <w:szCs w:val="22"/>
                <w:lang w:val="lt-LT"/>
              </w:rPr>
              <w:lastRenderedPageBreak/>
              <w:t>4.8</w:t>
            </w:r>
          </w:p>
        </w:tc>
        <w:tc>
          <w:tcPr>
            <w:tcW w:w="2194" w:type="dxa"/>
            <w:tcBorders>
              <w:top w:val="nil"/>
              <w:left w:val="nil"/>
              <w:bottom w:val="single" w:sz="4" w:space="0" w:color="auto"/>
              <w:right w:val="single" w:sz="4" w:space="0" w:color="auto"/>
            </w:tcBorders>
            <w:vAlign w:val="center"/>
            <w:hideMark/>
          </w:tcPr>
          <w:p w14:paraId="124E86FF" w14:textId="77777777" w:rsidR="00184C8E" w:rsidRPr="00CC4CE5" w:rsidRDefault="00184C8E">
            <w:pPr>
              <w:rPr>
                <w:rFonts w:ascii="Aptos Narrow" w:hAnsi="Aptos Narrow"/>
                <w:b/>
                <w:bCs/>
                <w:color w:val="000000"/>
                <w:sz w:val="22"/>
                <w:szCs w:val="22"/>
                <w:lang w:val="lt-LT"/>
              </w:rPr>
            </w:pPr>
            <w:r w:rsidRPr="00CC4CE5">
              <w:rPr>
                <w:rFonts w:ascii="Aptos Narrow" w:hAnsi="Aptos Narrow"/>
                <w:b/>
                <w:bCs/>
                <w:color w:val="000000"/>
                <w:sz w:val="22"/>
                <w:szCs w:val="22"/>
                <w:lang w:val="lt-LT"/>
              </w:rPr>
              <w:t>Praktinė mokymų dalis</w:t>
            </w:r>
          </w:p>
        </w:tc>
        <w:tc>
          <w:tcPr>
            <w:tcW w:w="4709" w:type="dxa"/>
            <w:tcBorders>
              <w:top w:val="nil"/>
              <w:left w:val="nil"/>
              <w:bottom w:val="single" w:sz="4" w:space="0" w:color="auto"/>
              <w:right w:val="single" w:sz="4" w:space="0" w:color="auto"/>
            </w:tcBorders>
            <w:vAlign w:val="center"/>
            <w:hideMark/>
          </w:tcPr>
          <w:p w14:paraId="699DA8E5" w14:textId="77777777" w:rsidR="00184C8E" w:rsidRPr="00CC4CE5" w:rsidRDefault="00184C8E">
            <w:pPr>
              <w:rPr>
                <w:rFonts w:ascii="Aptos Narrow" w:hAnsi="Aptos Narrow"/>
                <w:color w:val="000000"/>
                <w:sz w:val="22"/>
                <w:szCs w:val="22"/>
                <w:lang w:val="lt-LT"/>
              </w:rPr>
            </w:pPr>
            <w:r w:rsidRPr="00CC4CE5">
              <w:rPr>
                <w:rFonts w:ascii="Aptos Narrow" w:hAnsi="Aptos Narrow"/>
                <w:color w:val="000000"/>
                <w:sz w:val="22"/>
                <w:szCs w:val="22"/>
                <w:lang w:val="lt-LT"/>
              </w:rPr>
              <w:t>Kiekvienos naudotojų grupės mokymuose turi būti vykdomos praktinės užduotys, atitinkančios realius Užsakovo darbo scenarijus. Vien Tiekėjo atliekamas sistemos funkcijų demonstravimas nelaikomas praktine mokymų dalimi.</w:t>
            </w:r>
          </w:p>
        </w:tc>
        <w:tc>
          <w:tcPr>
            <w:tcW w:w="4430" w:type="dxa"/>
            <w:tcBorders>
              <w:top w:val="nil"/>
              <w:left w:val="nil"/>
              <w:bottom w:val="single" w:sz="4" w:space="0" w:color="auto"/>
              <w:right w:val="single" w:sz="4" w:space="0" w:color="auto"/>
            </w:tcBorders>
            <w:vAlign w:val="center"/>
            <w:hideMark/>
          </w:tcPr>
          <w:p w14:paraId="6065453D" w14:textId="77777777" w:rsidR="00184C8E" w:rsidRPr="00CC4CE5" w:rsidRDefault="00184C8E">
            <w:pPr>
              <w:rPr>
                <w:rFonts w:ascii="Aptos Narrow" w:hAnsi="Aptos Narrow"/>
                <w:color w:val="000000"/>
                <w:sz w:val="22"/>
                <w:szCs w:val="22"/>
                <w:lang w:val="lt-LT"/>
              </w:rPr>
            </w:pPr>
            <w:r w:rsidRPr="00CC4CE5">
              <w:rPr>
                <w:rFonts w:ascii="Aptos Narrow" w:hAnsi="Aptos Narrow"/>
                <w:color w:val="000000"/>
                <w:sz w:val="22"/>
                <w:szCs w:val="22"/>
                <w:lang w:val="lt-LT"/>
              </w:rPr>
              <w:t xml:space="preserve">Ne mažiau kaip </w:t>
            </w:r>
            <w:r w:rsidRPr="00CC4CE5">
              <w:rPr>
                <w:rFonts w:ascii="Aptos Narrow" w:hAnsi="Aptos Narrow"/>
                <w:b/>
                <w:bCs/>
                <w:color w:val="000000"/>
                <w:sz w:val="22"/>
                <w:szCs w:val="22"/>
                <w:lang w:val="lt-LT"/>
              </w:rPr>
              <w:t>50 % pradinių mokymų trukmės</w:t>
            </w:r>
            <w:r w:rsidRPr="00CC4CE5">
              <w:rPr>
                <w:rFonts w:ascii="Aptos Narrow" w:hAnsi="Aptos Narrow"/>
                <w:color w:val="000000"/>
                <w:sz w:val="22"/>
                <w:szCs w:val="22"/>
                <w:lang w:val="lt-LT"/>
              </w:rPr>
              <w:t xml:space="preserve"> turi būti skirta praktiniam darbui CDE. Praktinės užduotys gali būti paskirstytos per kelis teminius užsiėmimus.</w:t>
            </w:r>
          </w:p>
        </w:tc>
        <w:tc>
          <w:tcPr>
            <w:tcW w:w="3361" w:type="dxa"/>
            <w:tcBorders>
              <w:top w:val="nil"/>
              <w:left w:val="nil"/>
              <w:bottom w:val="single" w:sz="4" w:space="0" w:color="auto"/>
              <w:right w:val="single" w:sz="4" w:space="0" w:color="auto"/>
            </w:tcBorders>
            <w:vAlign w:val="center"/>
            <w:hideMark/>
          </w:tcPr>
          <w:p w14:paraId="281E0C27" w14:textId="77777777" w:rsidR="00184C8E" w:rsidRPr="00CC4CE5" w:rsidRDefault="00184C8E">
            <w:pPr>
              <w:rPr>
                <w:rFonts w:ascii="Aptos Narrow" w:hAnsi="Aptos Narrow"/>
                <w:color w:val="000000"/>
                <w:sz w:val="22"/>
                <w:szCs w:val="22"/>
                <w:lang w:val="lt-LT"/>
              </w:rPr>
            </w:pPr>
            <w:r w:rsidRPr="00CC4CE5">
              <w:rPr>
                <w:rFonts w:ascii="Aptos Narrow" w:hAnsi="Aptos Narrow"/>
                <w:color w:val="000000"/>
                <w:sz w:val="22"/>
                <w:szCs w:val="22"/>
                <w:lang w:val="lt-LT"/>
              </w:rPr>
              <w:t>Mokymų dalyviams sudaryta galimybė savarankiškai atlikti jų funkcijoms numatytas praktines užduotis CDE.</w:t>
            </w:r>
          </w:p>
        </w:tc>
      </w:tr>
      <w:tr w:rsidR="00184C8E" w:rsidRPr="005A629B" w14:paraId="34FB2738" w14:textId="77777777" w:rsidTr="00184C8E">
        <w:trPr>
          <w:trHeight w:val="2320"/>
        </w:trPr>
        <w:tc>
          <w:tcPr>
            <w:tcW w:w="610" w:type="dxa"/>
            <w:tcBorders>
              <w:top w:val="nil"/>
              <w:left w:val="single" w:sz="4" w:space="0" w:color="auto"/>
              <w:bottom w:val="single" w:sz="4" w:space="0" w:color="auto"/>
              <w:right w:val="single" w:sz="4" w:space="0" w:color="auto"/>
            </w:tcBorders>
            <w:vAlign w:val="center"/>
            <w:hideMark/>
          </w:tcPr>
          <w:p w14:paraId="590D9C07" w14:textId="77777777" w:rsidR="00184C8E" w:rsidRPr="00CC4CE5" w:rsidRDefault="00184C8E">
            <w:pPr>
              <w:rPr>
                <w:rFonts w:ascii="Aptos Narrow" w:hAnsi="Aptos Narrow"/>
                <w:b/>
                <w:bCs/>
                <w:color w:val="000000"/>
                <w:sz w:val="22"/>
                <w:szCs w:val="22"/>
                <w:lang w:val="lt-LT"/>
              </w:rPr>
            </w:pPr>
            <w:r w:rsidRPr="00CC4CE5">
              <w:rPr>
                <w:rFonts w:ascii="Aptos Narrow" w:hAnsi="Aptos Narrow"/>
                <w:b/>
                <w:bCs/>
                <w:color w:val="000000"/>
                <w:sz w:val="22"/>
                <w:szCs w:val="22"/>
                <w:lang w:val="lt-LT"/>
              </w:rPr>
              <w:t>4.9</w:t>
            </w:r>
          </w:p>
        </w:tc>
        <w:tc>
          <w:tcPr>
            <w:tcW w:w="2194" w:type="dxa"/>
            <w:tcBorders>
              <w:top w:val="nil"/>
              <w:left w:val="nil"/>
              <w:bottom w:val="single" w:sz="4" w:space="0" w:color="auto"/>
              <w:right w:val="single" w:sz="4" w:space="0" w:color="auto"/>
            </w:tcBorders>
            <w:vAlign w:val="center"/>
            <w:hideMark/>
          </w:tcPr>
          <w:p w14:paraId="7A279EE4" w14:textId="77777777" w:rsidR="00184C8E" w:rsidRPr="00CC4CE5" w:rsidRDefault="00184C8E">
            <w:pPr>
              <w:rPr>
                <w:rFonts w:ascii="Aptos Narrow" w:hAnsi="Aptos Narrow"/>
                <w:b/>
                <w:bCs/>
                <w:color w:val="000000"/>
                <w:sz w:val="22"/>
                <w:szCs w:val="22"/>
                <w:lang w:val="lt-LT"/>
              </w:rPr>
            </w:pPr>
            <w:r w:rsidRPr="00CC4CE5">
              <w:rPr>
                <w:rFonts w:ascii="Aptos Narrow" w:hAnsi="Aptos Narrow"/>
                <w:b/>
                <w:bCs/>
                <w:color w:val="000000"/>
                <w:sz w:val="22"/>
                <w:szCs w:val="22"/>
                <w:lang w:val="lt-LT"/>
              </w:rPr>
              <w:t>Mokymų medžiagos parengimas ir perdavimas</w:t>
            </w:r>
          </w:p>
        </w:tc>
        <w:tc>
          <w:tcPr>
            <w:tcW w:w="4709" w:type="dxa"/>
            <w:tcBorders>
              <w:top w:val="nil"/>
              <w:left w:val="nil"/>
              <w:bottom w:val="single" w:sz="4" w:space="0" w:color="auto"/>
              <w:right w:val="single" w:sz="4" w:space="0" w:color="auto"/>
            </w:tcBorders>
            <w:vAlign w:val="center"/>
            <w:hideMark/>
          </w:tcPr>
          <w:p w14:paraId="5D0795AD" w14:textId="77777777" w:rsidR="00184C8E" w:rsidRPr="00CC4CE5" w:rsidRDefault="00184C8E">
            <w:pPr>
              <w:rPr>
                <w:rFonts w:ascii="Aptos Narrow" w:hAnsi="Aptos Narrow"/>
                <w:color w:val="000000"/>
                <w:sz w:val="22"/>
                <w:szCs w:val="22"/>
                <w:lang w:val="lt-LT"/>
              </w:rPr>
            </w:pPr>
            <w:r w:rsidRPr="00CC4CE5">
              <w:rPr>
                <w:rFonts w:ascii="Aptos Narrow" w:hAnsi="Aptos Narrow"/>
                <w:color w:val="000000"/>
                <w:sz w:val="22"/>
                <w:szCs w:val="22"/>
                <w:lang w:val="lt-LT"/>
              </w:rPr>
              <w:t>Tiekėjas turi parengti ir perduoti kiekvienai pagrindinei naudotojų grupei pritaikytą mokymų medžiagą, apimančią pagrindinius kasdieniam darbui reikalingus veiksmus pagal Užsakovo sukonfigūruotus procesus. Bendroji CDE gamintojo dokumentacija gali būti pateikiama papildomai, tačiau negali pakeisti Užsakovo procesams pritaikytos medžiagos.</w:t>
            </w:r>
          </w:p>
        </w:tc>
        <w:tc>
          <w:tcPr>
            <w:tcW w:w="4430" w:type="dxa"/>
            <w:tcBorders>
              <w:top w:val="nil"/>
              <w:left w:val="nil"/>
              <w:bottom w:val="single" w:sz="4" w:space="0" w:color="auto"/>
              <w:right w:val="single" w:sz="4" w:space="0" w:color="auto"/>
            </w:tcBorders>
            <w:vAlign w:val="center"/>
            <w:hideMark/>
          </w:tcPr>
          <w:p w14:paraId="0705E9A3" w14:textId="77777777" w:rsidR="00184C8E" w:rsidRPr="00CC4CE5" w:rsidRDefault="00184C8E">
            <w:pPr>
              <w:rPr>
                <w:rFonts w:ascii="Aptos Narrow" w:hAnsi="Aptos Narrow"/>
                <w:color w:val="000000"/>
                <w:sz w:val="22"/>
                <w:szCs w:val="22"/>
                <w:lang w:val="lt-LT"/>
              </w:rPr>
            </w:pPr>
            <w:r w:rsidRPr="00CC4CE5">
              <w:rPr>
                <w:rFonts w:ascii="Aptos Narrow" w:hAnsi="Aptos Narrow"/>
                <w:color w:val="000000"/>
                <w:sz w:val="22"/>
                <w:szCs w:val="22"/>
                <w:lang w:val="lt-LT"/>
              </w:rPr>
              <w:t xml:space="preserve">Ne mažiau kaip </w:t>
            </w:r>
            <w:r w:rsidRPr="00CC4CE5">
              <w:rPr>
                <w:rFonts w:ascii="Aptos Narrow" w:hAnsi="Aptos Narrow"/>
                <w:b/>
                <w:bCs/>
                <w:color w:val="000000"/>
                <w:sz w:val="22"/>
                <w:szCs w:val="22"/>
                <w:lang w:val="lt-LT"/>
              </w:rPr>
              <w:t>5 mokymų medžiagos rinkiniai</w:t>
            </w:r>
            <w:r w:rsidRPr="00CC4CE5">
              <w:rPr>
                <w:rFonts w:ascii="Aptos Narrow" w:hAnsi="Aptos Narrow"/>
                <w:color w:val="000000"/>
                <w:sz w:val="22"/>
                <w:szCs w:val="22"/>
                <w:lang w:val="lt-LT"/>
              </w:rPr>
              <w:t>: CDE administratoriui / BIM vadovui, projektus derinančiai komandai, projektų vadovams, projektuotojams ir rangovams.</w:t>
            </w:r>
          </w:p>
        </w:tc>
        <w:tc>
          <w:tcPr>
            <w:tcW w:w="3361" w:type="dxa"/>
            <w:tcBorders>
              <w:top w:val="nil"/>
              <w:left w:val="nil"/>
              <w:bottom w:val="single" w:sz="4" w:space="0" w:color="auto"/>
              <w:right w:val="single" w:sz="4" w:space="0" w:color="auto"/>
            </w:tcBorders>
            <w:vAlign w:val="center"/>
            <w:hideMark/>
          </w:tcPr>
          <w:p w14:paraId="08E0D940" w14:textId="77777777" w:rsidR="00184C8E" w:rsidRPr="00CC4CE5" w:rsidRDefault="00184C8E">
            <w:pPr>
              <w:rPr>
                <w:rFonts w:ascii="Aptos Narrow" w:hAnsi="Aptos Narrow"/>
                <w:color w:val="000000"/>
                <w:sz w:val="22"/>
                <w:szCs w:val="22"/>
                <w:lang w:val="lt-LT"/>
              </w:rPr>
            </w:pPr>
            <w:r w:rsidRPr="00CC4CE5">
              <w:rPr>
                <w:rFonts w:ascii="Aptos Narrow" w:hAnsi="Aptos Narrow"/>
                <w:color w:val="000000"/>
                <w:sz w:val="22"/>
                <w:szCs w:val="22"/>
                <w:lang w:val="lt-LT"/>
              </w:rPr>
              <w:t>Mokymų medžiaga perduota Užsakovui elektroniniu formatu, atitinka faktiškai sukonfigūruotą CDE ir mokymuose nagrinėtus procesus.</w:t>
            </w:r>
          </w:p>
        </w:tc>
      </w:tr>
      <w:tr w:rsidR="00184C8E" w:rsidRPr="005A629B" w14:paraId="29DD50DB" w14:textId="77777777" w:rsidTr="00184C8E">
        <w:trPr>
          <w:trHeight w:val="2610"/>
        </w:trPr>
        <w:tc>
          <w:tcPr>
            <w:tcW w:w="610" w:type="dxa"/>
            <w:tcBorders>
              <w:top w:val="nil"/>
              <w:left w:val="single" w:sz="4" w:space="0" w:color="auto"/>
              <w:bottom w:val="single" w:sz="4" w:space="0" w:color="auto"/>
              <w:right w:val="single" w:sz="4" w:space="0" w:color="auto"/>
            </w:tcBorders>
            <w:vAlign w:val="center"/>
            <w:hideMark/>
          </w:tcPr>
          <w:p w14:paraId="221C6750" w14:textId="77777777" w:rsidR="00184C8E" w:rsidRPr="00CC4CE5" w:rsidRDefault="00184C8E">
            <w:pPr>
              <w:rPr>
                <w:rFonts w:ascii="Aptos Narrow" w:hAnsi="Aptos Narrow"/>
                <w:b/>
                <w:bCs/>
                <w:color w:val="000000"/>
                <w:sz w:val="22"/>
                <w:szCs w:val="22"/>
                <w:lang w:val="lt-LT"/>
              </w:rPr>
            </w:pPr>
            <w:r w:rsidRPr="00CC4CE5">
              <w:rPr>
                <w:rFonts w:ascii="Aptos Narrow" w:hAnsi="Aptos Narrow"/>
                <w:b/>
                <w:bCs/>
                <w:color w:val="000000"/>
                <w:sz w:val="22"/>
                <w:szCs w:val="22"/>
                <w:lang w:val="lt-LT"/>
              </w:rPr>
              <w:t>4.10</w:t>
            </w:r>
          </w:p>
        </w:tc>
        <w:tc>
          <w:tcPr>
            <w:tcW w:w="2194" w:type="dxa"/>
            <w:tcBorders>
              <w:top w:val="nil"/>
              <w:left w:val="nil"/>
              <w:bottom w:val="single" w:sz="4" w:space="0" w:color="auto"/>
              <w:right w:val="single" w:sz="4" w:space="0" w:color="auto"/>
            </w:tcBorders>
            <w:vAlign w:val="center"/>
            <w:hideMark/>
          </w:tcPr>
          <w:p w14:paraId="36B424FB" w14:textId="77777777" w:rsidR="00184C8E" w:rsidRPr="00CC4CE5" w:rsidRDefault="00184C8E">
            <w:pPr>
              <w:rPr>
                <w:rFonts w:ascii="Aptos Narrow" w:hAnsi="Aptos Narrow"/>
                <w:b/>
                <w:bCs/>
                <w:color w:val="000000"/>
                <w:sz w:val="22"/>
                <w:szCs w:val="22"/>
                <w:lang w:val="lt-LT"/>
              </w:rPr>
            </w:pPr>
            <w:r w:rsidRPr="00CC4CE5">
              <w:rPr>
                <w:rFonts w:ascii="Aptos Narrow" w:hAnsi="Aptos Narrow"/>
                <w:b/>
                <w:bCs/>
                <w:color w:val="000000"/>
                <w:sz w:val="22"/>
                <w:szCs w:val="22"/>
                <w:lang w:val="lt-LT"/>
              </w:rPr>
              <w:t>Papildomi ir pakartotiniai mokymai Sutarties galiojimo laikotarpiu</w:t>
            </w:r>
          </w:p>
        </w:tc>
        <w:tc>
          <w:tcPr>
            <w:tcW w:w="4709" w:type="dxa"/>
            <w:tcBorders>
              <w:top w:val="nil"/>
              <w:left w:val="nil"/>
              <w:bottom w:val="single" w:sz="4" w:space="0" w:color="auto"/>
              <w:right w:val="single" w:sz="4" w:space="0" w:color="auto"/>
            </w:tcBorders>
            <w:vAlign w:val="center"/>
            <w:hideMark/>
          </w:tcPr>
          <w:p w14:paraId="37FB7E83" w14:textId="77777777" w:rsidR="00184C8E" w:rsidRPr="00CC4CE5" w:rsidRDefault="00184C8E">
            <w:pPr>
              <w:rPr>
                <w:rFonts w:ascii="Aptos Narrow" w:hAnsi="Aptos Narrow"/>
                <w:color w:val="000000"/>
                <w:sz w:val="22"/>
                <w:szCs w:val="22"/>
                <w:lang w:val="lt-LT"/>
              </w:rPr>
            </w:pPr>
            <w:r w:rsidRPr="00CC4CE5">
              <w:rPr>
                <w:rFonts w:ascii="Aptos Narrow" w:hAnsi="Aptos Narrow"/>
                <w:color w:val="000000"/>
                <w:sz w:val="22"/>
                <w:szCs w:val="22"/>
                <w:lang w:val="lt-LT"/>
              </w:rPr>
              <w:t>Tiekėjas visą Sutarties galiojimo laikotarpį turi teikti papildomus ir pakartotinius CDE mokymus pagal Užsakovo poreikį. Mokymai gali būti skirti naujiems naudotojams ar projekto dalyviams, anksčiau nagrinėtų temų pakartojimui, atskiroms CDE funkcijoms ar procesams išsamiau nagrinėti ir praktiniams teminiams užsiėmimams. Apimtis nėra iš anksto paskirstoma konkrečioms naudotojų grupėms.</w:t>
            </w:r>
          </w:p>
        </w:tc>
        <w:tc>
          <w:tcPr>
            <w:tcW w:w="4430" w:type="dxa"/>
            <w:tcBorders>
              <w:top w:val="nil"/>
              <w:left w:val="nil"/>
              <w:bottom w:val="single" w:sz="4" w:space="0" w:color="auto"/>
              <w:right w:val="single" w:sz="4" w:space="0" w:color="auto"/>
            </w:tcBorders>
            <w:vAlign w:val="center"/>
            <w:hideMark/>
          </w:tcPr>
          <w:p w14:paraId="46312C73" w14:textId="77777777" w:rsidR="00184C8E" w:rsidRPr="00CC4CE5" w:rsidRDefault="00184C8E">
            <w:pPr>
              <w:rPr>
                <w:rFonts w:ascii="Aptos Narrow" w:hAnsi="Aptos Narrow"/>
                <w:color w:val="000000"/>
                <w:sz w:val="22"/>
                <w:szCs w:val="22"/>
                <w:lang w:val="lt-LT"/>
              </w:rPr>
            </w:pPr>
            <w:r w:rsidRPr="00CC4CE5">
              <w:rPr>
                <w:rFonts w:ascii="Aptos Narrow" w:hAnsi="Aptos Narrow"/>
                <w:b/>
                <w:bCs/>
                <w:color w:val="000000"/>
                <w:sz w:val="22"/>
                <w:szCs w:val="22"/>
                <w:lang w:val="lt-LT"/>
              </w:rPr>
              <w:t>Iki 1 000 valandų per visą Sutarties galiojimo laikotarpį.</w:t>
            </w:r>
            <w:r w:rsidRPr="00CC4CE5">
              <w:rPr>
                <w:rFonts w:ascii="Aptos Narrow" w:hAnsi="Aptos Narrow"/>
                <w:color w:val="000000"/>
                <w:sz w:val="22"/>
                <w:szCs w:val="22"/>
                <w:lang w:val="lt-LT"/>
              </w:rPr>
              <w:t xml:space="preserve"> Visa apimtis įtraukiama į bendrą pasiūlymo ir Sutarties kainą. Užsakovas neprivalo panaudoti visos nustatytos apimties, o jos nepanaudojimas nesudaro pagrindo mažinti Sutarties kainos.</w:t>
            </w:r>
          </w:p>
        </w:tc>
        <w:tc>
          <w:tcPr>
            <w:tcW w:w="3361" w:type="dxa"/>
            <w:tcBorders>
              <w:top w:val="nil"/>
              <w:left w:val="nil"/>
              <w:bottom w:val="single" w:sz="4" w:space="0" w:color="auto"/>
              <w:right w:val="single" w:sz="4" w:space="0" w:color="auto"/>
            </w:tcBorders>
            <w:vAlign w:val="center"/>
            <w:hideMark/>
          </w:tcPr>
          <w:p w14:paraId="67830ED8" w14:textId="77777777" w:rsidR="00184C8E" w:rsidRPr="00CC4CE5" w:rsidRDefault="00184C8E">
            <w:pPr>
              <w:rPr>
                <w:rFonts w:ascii="Aptos Narrow" w:hAnsi="Aptos Narrow"/>
                <w:color w:val="000000"/>
                <w:sz w:val="22"/>
                <w:szCs w:val="22"/>
                <w:lang w:val="lt-LT"/>
              </w:rPr>
            </w:pPr>
            <w:r w:rsidRPr="00CC4CE5">
              <w:rPr>
                <w:rFonts w:ascii="Aptos Narrow" w:hAnsi="Aptos Narrow"/>
                <w:color w:val="000000"/>
                <w:sz w:val="22"/>
                <w:szCs w:val="22"/>
                <w:lang w:val="lt-LT"/>
              </w:rPr>
              <w:t>Užsakovo užsakyti papildomi / pakartotiniai mokymai suteikti pagal suderintą temą, naudotojų grupę ir apimtį.</w:t>
            </w:r>
          </w:p>
        </w:tc>
      </w:tr>
      <w:tr w:rsidR="00184C8E" w:rsidRPr="005A629B" w14:paraId="0DDC6337" w14:textId="77777777" w:rsidTr="00184C8E">
        <w:trPr>
          <w:trHeight w:val="2610"/>
        </w:trPr>
        <w:tc>
          <w:tcPr>
            <w:tcW w:w="610" w:type="dxa"/>
            <w:tcBorders>
              <w:top w:val="nil"/>
              <w:left w:val="single" w:sz="4" w:space="0" w:color="auto"/>
              <w:bottom w:val="single" w:sz="4" w:space="0" w:color="auto"/>
              <w:right w:val="single" w:sz="4" w:space="0" w:color="auto"/>
            </w:tcBorders>
            <w:vAlign w:val="center"/>
            <w:hideMark/>
          </w:tcPr>
          <w:p w14:paraId="2A73B9FA" w14:textId="77777777" w:rsidR="00184C8E" w:rsidRPr="00CC4CE5" w:rsidRDefault="00184C8E">
            <w:pPr>
              <w:rPr>
                <w:rFonts w:ascii="Aptos Narrow" w:hAnsi="Aptos Narrow"/>
                <w:b/>
                <w:bCs/>
                <w:color w:val="000000"/>
                <w:sz w:val="22"/>
                <w:szCs w:val="22"/>
                <w:lang w:val="lt-LT"/>
              </w:rPr>
            </w:pPr>
            <w:r w:rsidRPr="00CC4CE5">
              <w:rPr>
                <w:rFonts w:ascii="Aptos Narrow" w:hAnsi="Aptos Narrow"/>
                <w:b/>
                <w:bCs/>
                <w:color w:val="000000"/>
                <w:sz w:val="22"/>
                <w:szCs w:val="22"/>
                <w:lang w:val="lt-LT"/>
              </w:rPr>
              <w:t>4.11</w:t>
            </w:r>
          </w:p>
        </w:tc>
        <w:tc>
          <w:tcPr>
            <w:tcW w:w="2194" w:type="dxa"/>
            <w:tcBorders>
              <w:top w:val="nil"/>
              <w:left w:val="nil"/>
              <w:bottom w:val="single" w:sz="4" w:space="0" w:color="auto"/>
              <w:right w:val="single" w:sz="4" w:space="0" w:color="auto"/>
            </w:tcBorders>
            <w:vAlign w:val="center"/>
            <w:hideMark/>
          </w:tcPr>
          <w:p w14:paraId="34B26C2F" w14:textId="77777777" w:rsidR="00184C8E" w:rsidRPr="00CC4CE5" w:rsidRDefault="00184C8E">
            <w:pPr>
              <w:rPr>
                <w:rFonts w:ascii="Aptos Narrow" w:hAnsi="Aptos Narrow"/>
                <w:b/>
                <w:bCs/>
                <w:color w:val="000000"/>
                <w:sz w:val="22"/>
                <w:szCs w:val="22"/>
                <w:lang w:val="lt-LT"/>
              </w:rPr>
            </w:pPr>
            <w:r w:rsidRPr="00CC4CE5">
              <w:rPr>
                <w:rFonts w:ascii="Aptos Narrow" w:hAnsi="Aptos Narrow"/>
                <w:b/>
                <w:bCs/>
                <w:color w:val="000000"/>
                <w:sz w:val="22"/>
                <w:szCs w:val="22"/>
                <w:lang w:val="lt-LT"/>
              </w:rPr>
              <w:t>Pradinių mokymų vykdymo terminas ir papildomų mokymų užsakymas</w:t>
            </w:r>
          </w:p>
        </w:tc>
        <w:tc>
          <w:tcPr>
            <w:tcW w:w="4709" w:type="dxa"/>
            <w:tcBorders>
              <w:top w:val="nil"/>
              <w:left w:val="nil"/>
              <w:bottom w:val="single" w:sz="4" w:space="0" w:color="auto"/>
              <w:right w:val="single" w:sz="4" w:space="0" w:color="auto"/>
            </w:tcBorders>
            <w:vAlign w:val="center"/>
            <w:hideMark/>
          </w:tcPr>
          <w:p w14:paraId="3BED220A" w14:textId="77777777" w:rsidR="00184C8E" w:rsidRPr="00CC4CE5" w:rsidRDefault="00184C8E">
            <w:pPr>
              <w:rPr>
                <w:rFonts w:ascii="Aptos Narrow" w:hAnsi="Aptos Narrow"/>
                <w:color w:val="000000"/>
                <w:sz w:val="22"/>
                <w:szCs w:val="22"/>
                <w:lang w:val="lt-LT"/>
              </w:rPr>
            </w:pPr>
            <w:r w:rsidRPr="00CC4CE5">
              <w:rPr>
                <w:rFonts w:ascii="Aptos Narrow" w:hAnsi="Aptos Narrow"/>
                <w:color w:val="000000"/>
                <w:sz w:val="22"/>
                <w:szCs w:val="22"/>
                <w:lang w:val="lt-LT"/>
              </w:rPr>
              <w:t>4.3–4.7 punktuose nustatyti pradiniai mokymai turi būti vykdomi po 2 skyriuje numatytos CDE konfigūracijos priėmimo, lygiagrečiai su 3 skyriuje numatyta projektų duomenų migracija. Tiekėjas turi skirti pakankamus žmogiškuosius ir organizacinius išteklius, kad visi pradiniai mokymai būtų įvykdyti per nustatytą terminą. Papildomi ir pakartotiniai mokymai pagal 4.10 punktą teikiami visą Sutarties galiojimo laikotarpį pagal Užsakovo poreikį.</w:t>
            </w:r>
          </w:p>
        </w:tc>
        <w:tc>
          <w:tcPr>
            <w:tcW w:w="4430" w:type="dxa"/>
            <w:tcBorders>
              <w:top w:val="nil"/>
              <w:left w:val="nil"/>
              <w:bottom w:val="single" w:sz="4" w:space="0" w:color="auto"/>
              <w:right w:val="single" w:sz="4" w:space="0" w:color="auto"/>
            </w:tcBorders>
            <w:vAlign w:val="center"/>
            <w:hideMark/>
          </w:tcPr>
          <w:p w14:paraId="133FA0BE" w14:textId="09EC2189" w:rsidR="00184C8E" w:rsidRPr="00CC4CE5" w:rsidRDefault="00184C8E">
            <w:pPr>
              <w:rPr>
                <w:rFonts w:ascii="Aptos Narrow" w:hAnsi="Aptos Narrow"/>
                <w:b/>
                <w:bCs/>
                <w:color w:val="000000"/>
                <w:sz w:val="22"/>
                <w:szCs w:val="22"/>
                <w:lang w:val="lt-LT"/>
              </w:rPr>
            </w:pPr>
            <w:r w:rsidRPr="00CC4CE5">
              <w:rPr>
                <w:rFonts w:ascii="Aptos Narrow" w:hAnsi="Aptos Narrow"/>
                <w:b/>
                <w:bCs/>
                <w:color w:val="000000"/>
                <w:sz w:val="22"/>
                <w:szCs w:val="22"/>
                <w:lang w:val="lt-LT"/>
              </w:rPr>
              <w:t xml:space="preserve">Visi 4.3–4.7 punktuose nustatyti pradiniai mokymai turi būti įvykdyti ne vėliau kaip per 10 darbo dienų nuo 2 skyriuje numatytos CDE konfigūracijos priėmimo dienos. </w:t>
            </w:r>
            <w:r w:rsidRPr="00CC4CE5">
              <w:rPr>
                <w:rFonts w:ascii="Aptos Narrow" w:hAnsi="Aptos Narrow"/>
                <w:color w:val="000000"/>
                <w:sz w:val="22"/>
                <w:szCs w:val="22"/>
                <w:lang w:val="lt-LT"/>
              </w:rPr>
              <w:t>Užsakovui pateikus prašymą dėl papildomų / pakartotinių mokymų, Tiekėjas juos turi</w:t>
            </w:r>
            <w:r w:rsidR="005C2AB5" w:rsidRPr="00CC4CE5">
              <w:rPr>
                <w:rFonts w:ascii="Aptos Narrow" w:hAnsi="Aptos Narrow"/>
                <w:color w:val="000000"/>
                <w:sz w:val="22"/>
                <w:szCs w:val="22"/>
                <w:lang w:val="lt-LT"/>
              </w:rPr>
              <w:t xml:space="preserve"> suteikti</w:t>
            </w:r>
            <w:r w:rsidR="00CC703C" w:rsidRPr="00CC4CE5">
              <w:rPr>
                <w:rFonts w:ascii="Aptos Narrow" w:hAnsi="Aptos Narrow"/>
                <w:color w:val="000000"/>
                <w:sz w:val="22"/>
                <w:szCs w:val="22"/>
                <w:lang w:val="lt-LT"/>
              </w:rPr>
              <w:t>,</w:t>
            </w:r>
            <w:r w:rsidRPr="00CC4CE5">
              <w:rPr>
                <w:rFonts w:ascii="Aptos Narrow" w:hAnsi="Aptos Narrow"/>
                <w:color w:val="000000"/>
                <w:sz w:val="22"/>
                <w:szCs w:val="22"/>
                <w:lang w:val="lt-LT"/>
              </w:rPr>
              <w:t xml:space="preserve"> su Užsakovu suderintu laiku, bet ne vėliau kaip per 5 darbo dienas nuo prašymo pateikimo, jeigu Šalys nesusitaria kitaip.</w:t>
            </w:r>
          </w:p>
        </w:tc>
        <w:tc>
          <w:tcPr>
            <w:tcW w:w="3361" w:type="dxa"/>
            <w:tcBorders>
              <w:top w:val="nil"/>
              <w:left w:val="nil"/>
              <w:bottom w:val="single" w:sz="4" w:space="0" w:color="auto"/>
              <w:right w:val="single" w:sz="4" w:space="0" w:color="auto"/>
            </w:tcBorders>
            <w:vAlign w:val="center"/>
            <w:hideMark/>
          </w:tcPr>
          <w:p w14:paraId="0B065AF7" w14:textId="77777777" w:rsidR="00184C8E" w:rsidRPr="00CC4CE5" w:rsidRDefault="00184C8E">
            <w:pPr>
              <w:rPr>
                <w:rFonts w:ascii="Aptos Narrow" w:hAnsi="Aptos Narrow"/>
                <w:color w:val="000000"/>
                <w:sz w:val="22"/>
                <w:szCs w:val="22"/>
                <w:lang w:val="lt-LT"/>
              </w:rPr>
            </w:pPr>
            <w:r w:rsidRPr="00CC4CE5">
              <w:rPr>
                <w:rFonts w:ascii="Aptos Narrow" w:hAnsi="Aptos Narrow"/>
                <w:color w:val="000000"/>
                <w:sz w:val="22"/>
                <w:szCs w:val="22"/>
                <w:lang w:val="lt-LT"/>
              </w:rPr>
              <w:t>Per 10 darbo dienų nuo 2 skyriaus konfigūracijos priėmimo suteikta visa numatyta pradinių mokymų apimtis esamiems pereinantiems į naują CDE naudotojams ir įmonėms. Papildomi / pakartotiniai mokymai teikiami visą Sutarties galiojimo laikotarpį nustatyta tvarka.</w:t>
            </w:r>
          </w:p>
        </w:tc>
      </w:tr>
    </w:tbl>
    <w:p w14:paraId="4C102AE2" w14:textId="77777777" w:rsidR="00686A91" w:rsidRPr="00CC4CE5" w:rsidRDefault="00686A91" w:rsidP="00212625">
      <w:pPr>
        <w:spacing w:line="276" w:lineRule="auto"/>
        <w:jc w:val="both"/>
        <w:rPr>
          <w:rFonts w:ascii="Trebuchet MS" w:hAnsi="Trebuchet MS"/>
          <w:sz w:val="22"/>
          <w:szCs w:val="22"/>
          <w:lang w:val="lt-LT"/>
        </w:rPr>
      </w:pPr>
    </w:p>
    <w:sectPr w:rsidR="00686A91" w:rsidRPr="00CC4CE5" w:rsidSect="003012AE">
      <w:pgSz w:w="16838" w:h="11906" w:orient="landscape"/>
      <w:pgMar w:top="1134" w:right="1134" w:bottom="1106"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1271FE" w14:textId="77777777" w:rsidR="00024A07" w:rsidRDefault="00024A07">
      <w:r>
        <w:separator/>
      </w:r>
    </w:p>
  </w:endnote>
  <w:endnote w:type="continuationSeparator" w:id="0">
    <w:p w14:paraId="3094C769" w14:textId="77777777" w:rsidR="00024A07" w:rsidRDefault="00024A07">
      <w:r>
        <w:continuationSeparator/>
      </w:r>
    </w:p>
  </w:endnote>
  <w:endnote w:type="continuationNotice" w:id="1">
    <w:p w14:paraId="26D59C13" w14:textId="77777777" w:rsidR="00024A07" w:rsidRDefault="00024A0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Times">
    <w:panose1 w:val="02020603050405020304"/>
    <w:charset w:val="BA"/>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Helvetica">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Aptos Narrow">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C7FCE3" w14:textId="77777777" w:rsidR="009A1C77" w:rsidRDefault="00312066">
    <w:pPr>
      <w:pStyle w:val="Footer"/>
      <w:framePr w:wrap="around" w:vAnchor="text" w:hAnchor="margin" w:xAlign="right" w:y="1"/>
      <w:rPr>
        <w:rStyle w:val="PageNumber"/>
      </w:rPr>
    </w:pPr>
    <w:r>
      <w:rPr>
        <w:rStyle w:val="PageNumber"/>
      </w:rPr>
      <w:fldChar w:fldCharType="begin"/>
    </w:r>
    <w:r w:rsidR="009A1C77">
      <w:rPr>
        <w:rStyle w:val="PageNumber"/>
      </w:rPr>
      <w:instrText xml:space="preserve">PAGE  </w:instrText>
    </w:r>
    <w:r>
      <w:rPr>
        <w:rStyle w:val="PageNumber"/>
      </w:rPr>
      <w:fldChar w:fldCharType="end"/>
    </w:r>
  </w:p>
  <w:p w14:paraId="303D70C0" w14:textId="77777777" w:rsidR="009A1C77" w:rsidRDefault="009A1C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622CB6" w14:textId="77777777" w:rsidR="009A1C77" w:rsidRDefault="00312066">
    <w:pPr>
      <w:pStyle w:val="Footer"/>
      <w:framePr w:wrap="around" w:vAnchor="text" w:hAnchor="margin" w:xAlign="right" w:y="1"/>
      <w:rPr>
        <w:rStyle w:val="PageNumber"/>
      </w:rPr>
    </w:pPr>
    <w:r>
      <w:rPr>
        <w:rStyle w:val="PageNumber"/>
      </w:rPr>
      <w:fldChar w:fldCharType="begin"/>
    </w:r>
    <w:r w:rsidR="009A1C77">
      <w:rPr>
        <w:rStyle w:val="PageNumber"/>
      </w:rPr>
      <w:instrText xml:space="preserve">PAGE  </w:instrText>
    </w:r>
    <w:r>
      <w:rPr>
        <w:rStyle w:val="PageNumber"/>
      </w:rPr>
      <w:fldChar w:fldCharType="separate"/>
    </w:r>
    <w:r w:rsidR="00ED78EF">
      <w:rPr>
        <w:rStyle w:val="PageNumber"/>
        <w:noProof/>
      </w:rPr>
      <w:t>2</w:t>
    </w:r>
    <w:r>
      <w:rPr>
        <w:rStyle w:val="PageNumber"/>
      </w:rPr>
      <w:fldChar w:fldCharType="end"/>
    </w:r>
  </w:p>
  <w:p w14:paraId="245A3090" w14:textId="77777777" w:rsidR="009A1C77" w:rsidRDefault="009A1C77">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A3AE30" w14:textId="77777777" w:rsidR="00024A07" w:rsidRDefault="00024A07">
      <w:r>
        <w:separator/>
      </w:r>
    </w:p>
  </w:footnote>
  <w:footnote w:type="continuationSeparator" w:id="0">
    <w:p w14:paraId="0DD2A8C5" w14:textId="77777777" w:rsidR="00024A07" w:rsidRDefault="00024A07">
      <w:r>
        <w:continuationSeparator/>
      </w:r>
    </w:p>
  </w:footnote>
  <w:footnote w:type="continuationNotice" w:id="1">
    <w:p w14:paraId="75E75910" w14:textId="77777777" w:rsidR="00024A07" w:rsidRDefault="00024A0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C8AFE7" w14:textId="77777777" w:rsidR="009A1C77" w:rsidRDefault="00312066" w:rsidP="009419EC">
    <w:pPr>
      <w:pStyle w:val="Header"/>
      <w:framePr w:wrap="around" w:vAnchor="text" w:hAnchor="margin" w:xAlign="right" w:y="1"/>
      <w:rPr>
        <w:rStyle w:val="PageNumber"/>
      </w:rPr>
    </w:pPr>
    <w:r>
      <w:rPr>
        <w:rStyle w:val="PageNumber"/>
      </w:rPr>
      <w:fldChar w:fldCharType="begin"/>
    </w:r>
    <w:r w:rsidR="009A1C77">
      <w:rPr>
        <w:rStyle w:val="PageNumber"/>
      </w:rPr>
      <w:instrText xml:space="preserve">PAGE  </w:instrText>
    </w:r>
    <w:r>
      <w:rPr>
        <w:rStyle w:val="PageNumber"/>
      </w:rPr>
      <w:fldChar w:fldCharType="end"/>
    </w:r>
  </w:p>
  <w:p w14:paraId="4E10FB79" w14:textId="77777777" w:rsidR="009A1C77" w:rsidRDefault="009A1C77" w:rsidP="00985630">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F11BC8" w14:textId="77777777" w:rsidR="00613628" w:rsidRDefault="0061362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A369F"/>
    <w:multiLevelType w:val="multilevel"/>
    <w:tmpl w:val="5374E95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 w15:restartNumberingAfterBreak="0">
    <w:nsid w:val="0C4E48D3"/>
    <w:multiLevelType w:val="multilevel"/>
    <w:tmpl w:val="D3E8F7D8"/>
    <w:lvl w:ilvl="0">
      <w:start w:val="1"/>
      <w:numFmt w:val="decimal"/>
      <w:lvlText w:val="%1."/>
      <w:lvlJc w:val="left"/>
      <w:pPr>
        <w:tabs>
          <w:tab w:val="num" w:pos="720"/>
        </w:tabs>
        <w:ind w:left="720" w:hanging="360"/>
      </w:pPr>
      <w:rPr>
        <w:b w:val="0"/>
        <w:sz w:val="20"/>
        <w:szCs w:val="20"/>
      </w:rPr>
    </w:lvl>
    <w:lvl w:ilvl="1">
      <w:start w:val="1"/>
      <w:numFmt w:val="decimal"/>
      <w:lvlText w:val="%2."/>
      <w:lvlJc w:val="left"/>
      <w:pPr>
        <w:ind w:left="786" w:hanging="360"/>
      </w:pPr>
    </w:lvl>
    <w:lvl w:ilvl="2">
      <w:start w:val="1"/>
      <w:numFmt w:val="decimal"/>
      <w:isLgl/>
      <w:lvlText w:val="%1.%2.%3."/>
      <w:lvlJc w:val="left"/>
      <w:pPr>
        <w:tabs>
          <w:tab w:val="num" w:pos="1855"/>
        </w:tabs>
        <w:ind w:left="1855" w:hanging="720"/>
      </w:pPr>
      <w:rPr>
        <w:rFonts w:hint="default"/>
        <w:b w:val="0"/>
        <w:sz w:val="22"/>
        <w:szCs w:val="22"/>
      </w:rPr>
    </w:lvl>
    <w:lvl w:ilvl="3">
      <w:start w:val="1"/>
      <w:numFmt w:val="decimal"/>
      <w:isLgl/>
      <w:lvlText w:val="%1.%2.%3.%4."/>
      <w:lvlJc w:val="left"/>
      <w:pPr>
        <w:tabs>
          <w:tab w:val="num" w:pos="1080"/>
        </w:tabs>
        <w:ind w:left="1080" w:hanging="720"/>
      </w:pPr>
      <w:rPr>
        <w:rFonts w:hint="default"/>
        <w:b/>
        <w:sz w:val="20"/>
      </w:rPr>
    </w:lvl>
    <w:lvl w:ilvl="4">
      <w:start w:val="1"/>
      <w:numFmt w:val="decimal"/>
      <w:isLgl/>
      <w:lvlText w:val="%1.%2.%3.%4.%5."/>
      <w:lvlJc w:val="left"/>
      <w:pPr>
        <w:tabs>
          <w:tab w:val="num" w:pos="1440"/>
        </w:tabs>
        <w:ind w:left="1440" w:hanging="1080"/>
      </w:pPr>
      <w:rPr>
        <w:rFonts w:hint="default"/>
        <w:b/>
        <w:sz w:val="20"/>
      </w:rPr>
    </w:lvl>
    <w:lvl w:ilvl="5">
      <w:start w:val="1"/>
      <w:numFmt w:val="decimal"/>
      <w:isLgl/>
      <w:lvlText w:val="%1.%2.%3.%4.%5.%6."/>
      <w:lvlJc w:val="left"/>
      <w:pPr>
        <w:tabs>
          <w:tab w:val="num" w:pos="1440"/>
        </w:tabs>
        <w:ind w:left="1440" w:hanging="1080"/>
      </w:pPr>
      <w:rPr>
        <w:rFonts w:hint="default"/>
        <w:b/>
        <w:sz w:val="20"/>
      </w:rPr>
    </w:lvl>
    <w:lvl w:ilvl="6">
      <w:start w:val="1"/>
      <w:numFmt w:val="decimal"/>
      <w:isLgl/>
      <w:lvlText w:val="%1.%2.%3.%4.%5.%6.%7."/>
      <w:lvlJc w:val="left"/>
      <w:pPr>
        <w:tabs>
          <w:tab w:val="num" w:pos="1800"/>
        </w:tabs>
        <w:ind w:left="1800" w:hanging="1440"/>
      </w:pPr>
      <w:rPr>
        <w:rFonts w:hint="default"/>
        <w:b/>
        <w:sz w:val="20"/>
      </w:rPr>
    </w:lvl>
    <w:lvl w:ilvl="7">
      <w:start w:val="1"/>
      <w:numFmt w:val="decimal"/>
      <w:isLgl/>
      <w:lvlText w:val="%1.%2.%3.%4.%5.%6.%7.%8."/>
      <w:lvlJc w:val="left"/>
      <w:pPr>
        <w:tabs>
          <w:tab w:val="num" w:pos="1800"/>
        </w:tabs>
        <w:ind w:left="1800" w:hanging="1440"/>
      </w:pPr>
      <w:rPr>
        <w:rFonts w:hint="default"/>
        <w:b/>
        <w:sz w:val="20"/>
      </w:rPr>
    </w:lvl>
    <w:lvl w:ilvl="8">
      <w:start w:val="1"/>
      <w:numFmt w:val="decimal"/>
      <w:isLgl/>
      <w:lvlText w:val="%1.%2.%3.%4.%5.%6.%7.%8.%9."/>
      <w:lvlJc w:val="left"/>
      <w:pPr>
        <w:tabs>
          <w:tab w:val="num" w:pos="2160"/>
        </w:tabs>
        <w:ind w:left="2160" w:hanging="1800"/>
      </w:pPr>
      <w:rPr>
        <w:rFonts w:hint="default"/>
        <w:b/>
        <w:sz w:val="20"/>
      </w:rPr>
    </w:lvl>
  </w:abstractNum>
  <w:abstractNum w:abstractNumId="2" w15:restartNumberingAfterBreak="0">
    <w:nsid w:val="0E3F2DC6"/>
    <w:multiLevelType w:val="hybridMultilevel"/>
    <w:tmpl w:val="676C2D1C"/>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0EC37F9D"/>
    <w:multiLevelType w:val="multilevel"/>
    <w:tmpl w:val="FAF403AC"/>
    <w:lvl w:ilvl="0">
      <w:start w:val="3"/>
      <w:numFmt w:val="decimal"/>
      <w:lvlText w:val="2.%1."/>
      <w:lvlJc w:val="left"/>
      <w:pPr>
        <w:ind w:left="786" w:hanging="360"/>
      </w:pPr>
      <w:rPr>
        <w:rFonts w:hint="default"/>
      </w:rPr>
    </w:lvl>
    <w:lvl w:ilvl="1">
      <w:start w:val="1"/>
      <w:numFmt w:val="decimal"/>
      <w:lvlText w:val="2.3.%2."/>
      <w:lvlJc w:val="left"/>
      <w:pPr>
        <w:ind w:left="858" w:hanging="432"/>
      </w:pPr>
      <w:rPr>
        <w:rFonts w:hint="default"/>
      </w:rPr>
    </w:lvl>
    <w:lvl w:ilvl="2">
      <w:start w:val="1"/>
      <w:numFmt w:val="decimal"/>
      <w:lvlText w:val="%1.%2.%3."/>
      <w:lvlJc w:val="left"/>
      <w:pPr>
        <w:ind w:left="1650" w:hanging="504"/>
      </w:pPr>
      <w:rPr>
        <w:rFonts w:hint="default"/>
      </w:rPr>
    </w:lvl>
    <w:lvl w:ilvl="3">
      <w:start w:val="1"/>
      <w:numFmt w:val="decimal"/>
      <w:lvlText w:val="%1.%2.%3.%4."/>
      <w:lvlJc w:val="left"/>
      <w:pPr>
        <w:ind w:left="2154" w:hanging="648"/>
      </w:pPr>
      <w:rPr>
        <w:rFonts w:hint="default"/>
      </w:rPr>
    </w:lvl>
    <w:lvl w:ilvl="4">
      <w:start w:val="1"/>
      <w:numFmt w:val="decimal"/>
      <w:lvlText w:val="%1.%2.%3.%4.%5."/>
      <w:lvlJc w:val="left"/>
      <w:pPr>
        <w:ind w:left="2658" w:hanging="792"/>
      </w:pPr>
      <w:rPr>
        <w:rFonts w:hint="default"/>
      </w:rPr>
    </w:lvl>
    <w:lvl w:ilvl="5">
      <w:start w:val="1"/>
      <w:numFmt w:val="decimal"/>
      <w:lvlText w:val="%1.%2.%3.%4.%5.%6."/>
      <w:lvlJc w:val="left"/>
      <w:pPr>
        <w:ind w:left="3162" w:hanging="936"/>
      </w:pPr>
      <w:rPr>
        <w:rFonts w:hint="default"/>
      </w:rPr>
    </w:lvl>
    <w:lvl w:ilvl="6">
      <w:start w:val="1"/>
      <w:numFmt w:val="decimal"/>
      <w:lvlText w:val="%1.%2.%3.%4.%5.%6.%7."/>
      <w:lvlJc w:val="left"/>
      <w:pPr>
        <w:ind w:left="3666" w:hanging="1080"/>
      </w:pPr>
      <w:rPr>
        <w:rFonts w:hint="default"/>
      </w:rPr>
    </w:lvl>
    <w:lvl w:ilvl="7">
      <w:start w:val="1"/>
      <w:numFmt w:val="decimal"/>
      <w:lvlText w:val="%1.%2.%3.%4.%5.%6.%7.%8."/>
      <w:lvlJc w:val="left"/>
      <w:pPr>
        <w:ind w:left="4170" w:hanging="1224"/>
      </w:pPr>
      <w:rPr>
        <w:rFonts w:hint="default"/>
      </w:rPr>
    </w:lvl>
    <w:lvl w:ilvl="8">
      <w:start w:val="1"/>
      <w:numFmt w:val="decimal"/>
      <w:lvlText w:val="%1.%2.%3.%4.%5.%6.%7.%8.%9."/>
      <w:lvlJc w:val="left"/>
      <w:pPr>
        <w:ind w:left="4746" w:hanging="1440"/>
      </w:pPr>
      <w:rPr>
        <w:rFonts w:hint="default"/>
      </w:rPr>
    </w:lvl>
  </w:abstractNum>
  <w:abstractNum w:abstractNumId="4" w15:restartNumberingAfterBreak="0">
    <w:nsid w:val="10327A99"/>
    <w:multiLevelType w:val="multilevel"/>
    <w:tmpl w:val="41AE3498"/>
    <w:lvl w:ilvl="0">
      <w:start w:val="3"/>
      <w:numFmt w:val="decimal"/>
      <w:lvlText w:val="2.%1."/>
      <w:lvlJc w:val="left"/>
      <w:pPr>
        <w:ind w:left="644" w:hanging="360"/>
      </w:pPr>
      <w:rPr>
        <w:rFonts w:hint="default"/>
      </w:rPr>
    </w:lvl>
    <w:lvl w:ilvl="1">
      <w:start w:val="3"/>
      <w:numFmt w:val="decimal"/>
      <w:lvlText w:val="2.3.%2."/>
      <w:lvlJc w:val="left"/>
      <w:pPr>
        <w:ind w:left="999" w:hanging="432"/>
      </w:pPr>
      <w:rPr>
        <w:rFonts w:hint="default"/>
      </w:rPr>
    </w:lvl>
    <w:lvl w:ilvl="2">
      <w:start w:val="1"/>
      <w:numFmt w:val="decimal"/>
      <w:lvlText w:val="%1.%2.%3."/>
      <w:lvlJc w:val="left"/>
      <w:pPr>
        <w:ind w:left="1508" w:hanging="504"/>
      </w:pPr>
      <w:rPr>
        <w:rFonts w:hint="default"/>
      </w:rPr>
    </w:lvl>
    <w:lvl w:ilvl="3">
      <w:start w:val="1"/>
      <w:numFmt w:val="decimal"/>
      <w:lvlText w:val="%1.%2.%3.%4."/>
      <w:lvlJc w:val="left"/>
      <w:pPr>
        <w:ind w:left="2012" w:hanging="648"/>
      </w:pPr>
      <w:rPr>
        <w:rFonts w:hint="default"/>
      </w:rPr>
    </w:lvl>
    <w:lvl w:ilvl="4">
      <w:start w:val="1"/>
      <w:numFmt w:val="decimal"/>
      <w:lvlText w:val="%1.%2.%3.%4.%5."/>
      <w:lvlJc w:val="left"/>
      <w:pPr>
        <w:ind w:left="2516" w:hanging="792"/>
      </w:pPr>
      <w:rPr>
        <w:rFonts w:hint="default"/>
      </w:rPr>
    </w:lvl>
    <w:lvl w:ilvl="5">
      <w:start w:val="1"/>
      <w:numFmt w:val="decimal"/>
      <w:lvlText w:val="%1.%2.%3.%4.%5.%6."/>
      <w:lvlJc w:val="left"/>
      <w:pPr>
        <w:ind w:left="3020" w:hanging="936"/>
      </w:pPr>
      <w:rPr>
        <w:rFonts w:hint="default"/>
      </w:rPr>
    </w:lvl>
    <w:lvl w:ilvl="6">
      <w:start w:val="1"/>
      <w:numFmt w:val="decimal"/>
      <w:lvlText w:val="%1.%2.%3.%4.%5.%6.%7."/>
      <w:lvlJc w:val="left"/>
      <w:pPr>
        <w:ind w:left="3524" w:hanging="1080"/>
      </w:pPr>
      <w:rPr>
        <w:rFonts w:hint="default"/>
      </w:rPr>
    </w:lvl>
    <w:lvl w:ilvl="7">
      <w:start w:val="1"/>
      <w:numFmt w:val="decimal"/>
      <w:lvlText w:val="%1.%2.%3.%4.%5.%6.%7.%8."/>
      <w:lvlJc w:val="left"/>
      <w:pPr>
        <w:ind w:left="4028" w:hanging="1224"/>
      </w:pPr>
      <w:rPr>
        <w:rFonts w:hint="default"/>
      </w:rPr>
    </w:lvl>
    <w:lvl w:ilvl="8">
      <w:start w:val="1"/>
      <w:numFmt w:val="decimal"/>
      <w:lvlText w:val="%1.%2.%3.%4.%5.%6.%7.%8.%9."/>
      <w:lvlJc w:val="left"/>
      <w:pPr>
        <w:ind w:left="4604" w:hanging="1440"/>
      </w:pPr>
      <w:rPr>
        <w:rFonts w:hint="default"/>
      </w:rPr>
    </w:lvl>
  </w:abstractNum>
  <w:abstractNum w:abstractNumId="5" w15:restartNumberingAfterBreak="0">
    <w:nsid w:val="122E2843"/>
    <w:multiLevelType w:val="hybridMultilevel"/>
    <w:tmpl w:val="A07E9C16"/>
    <w:lvl w:ilvl="0" w:tplc="30045028">
      <w:start w:val="1"/>
      <w:numFmt w:val="bullet"/>
      <w:lvlText w:val="-"/>
      <w:lvlJc w:val="left"/>
      <w:pPr>
        <w:ind w:left="4104" w:hanging="360"/>
      </w:pPr>
      <w:rPr>
        <w:rFonts w:ascii="Calibri" w:eastAsia="Calibri" w:hAnsi="Calibri" w:cs="Calibri" w:hint="default"/>
      </w:rPr>
    </w:lvl>
    <w:lvl w:ilvl="1" w:tplc="04270003">
      <w:start w:val="1"/>
      <w:numFmt w:val="bullet"/>
      <w:lvlText w:val="o"/>
      <w:lvlJc w:val="left"/>
      <w:pPr>
        <w:ind w:left="4824" w:hanging="360"/>
      </w:pPr>
      <w:rPr>
        <w:rFonts w:ascii="Courier New" w:hAnsi="Courier New" w:cs="Courier New" w:hint="default"/>
      </w:rPr>
    </w:lvl>
    <w:lvl w:ilvl="2" w:tplc="04270005">
      <w:start w:val="1"/>
      <w:numFmt w:val="bullet"/>
      <w:lvlText w:val=""/>
      <w:lvlJc w:val="left"/>
      <w:pPr>
        <w:ind w:left="5544" w:hanging="360"/>
      </w:pPr>
      <w:rPr>
        <w:rFonts w:ascii="Wingdings" w:hAnsi="Wingdings" w:hint="default"/>
      </w:rPr>
    </w:lvl>
    <w:lvl w:ilvl="3" w:tplc="04270001">
      <w:start w:val="1"/>
      <w:numFmt w:val="bullet"/>
      <w:lvlText w:val=""/>
      <w:lvlJc w:val="left"/>
      <w:pPr>
        <w:ind w:left="6264" w:hanging="360"/>
      </w:pPr>
      <w:rPr>
        <w:rFonts w:ascii="Symbol" w:hAnsi="Symbol" w:hint="default"/>
      </w:rPr>
    </w:lvl>
    <w:lvl w:ilvl="4" w:tplc="04270003">
      <w:start w:val="1"/>
      <w:numFmt w:val="bullet"/>
      <w:lvlText w:val="o"/>
      <w:lvlJc w:val="left"/>
      <w:pPr>
        <w:ind w:left="6984" w:hanging="360"/>
      </w:pPr>
      <w:rPr>
        <w:rFonts w:ascii="Courier New" w:hAnsi="Courier New" w:cs="Courier New" w:hint="default"/>
      </w:rPr>
    </w:lvl>
    <w:lvl w:ilvl="5" w:tplc="04270005">
      <w:start w:val="1"/>
      <w:numFmt w:val="bullet"/>
      <w:lvlText w:val=""/>
      <w:lvlJc w:val="left"/>
      <w:pPr>
        <w:ind w:left="7704" w:hanging="360"/>
      </w:pPr>
      <w:rPr>
        <w:rFonts w:ascii="Wingdings" w:hAnsi="Wingdings" w:hint="default"/>
      </w:rPr>
    </w:lvl>
    <w:lvl w:ilvl="6" w:tplc="04270001">
      <w:start w:val="1"/>
      <w:numFmt w:val="bullet"/>
      <w:lvlText w:val=""/>
      <w:lvlJc w:val="left"/>
      <w:pPr>
        <w:ind w:left="8424" w:hanging="360"/>
      </w:pPr>
      <w:rPr>
        <w:rFonts w:ascii="Symbol" w:hAnsi="Symbol" w:hint="default"/>
      </w:rPr>
    </w:lvl>
    <w:lvl w:ilvl="7" w:tplc="04270003">
      <w:start w:val="1"/>
      <w:numFmt w:val="bullet"/>
      <w:lvlText w:val="o"/>
      <w:lvlJc w:val="left"/>
      <w:pPr>
        <w:ind w:left="9144" w:hanging="360"/>
      </w:pPr>
      <w:rPr>
        <w:rFonts w:ascii="Courier New" w:hAnsi="Courier New" w:cs="Courier New" w:hint="default"/>
      </w:rPr>
    </w:lvl>
    <w:lvl w:ilvl="8" w:tplc="04270005">
      <w:start w:val="1"/>
      <w:numFmt w:val="bullet"/>
      <w:lvlText w:val=""/>
      <w:lvlJc w:val="left"/>
      <w:pPr>
        <w:ind w:left="9864" w:hanging="360"/>
      </w:pPr>
      <w:rPr>
        <w:rFonts w:ascii="Wingdings" w:hAnsi="Wingdings" w:hint="default"/>
      </w:rPr>
    </w:lvl>
  </w:abstractNum>
  <w:abstractNum w:abstractNumId="6" w15:restartNumberingAfterBreak="0">
    <w:nsid w:val="14425613"/>
    <w:multiLevelType w:val="hybridMultilevel"/>
    <w:tmpl w:val="B5EA7A80"/>
    <w:lvl w:ilvl="0" w:tplc="DF30F9F8">
      <w:start w:val="1"/>
      <w:numFmt w:val="decimal"/>
      <w:lvlText w:val="%1."/>
      <w:lvlJc w:val="left"/>
      <w:pPr>
        <w:tabs>
          <w:tab w:val="num" w:pos="720"/>
        </w:tabs>
        <w:ind w:left="720" w:hanging="360"/>
      </w:pPr>
      <w:rPr>
        <w:rFonts w:cs="Times" w:hint="default"/>
      </w:rPr>
    </w:lvl>
    <w:lvl w:ilvl="1" w:tplc="04090001">
      <w:start w:val="1"/>
      <w:numFmt w:val="bullet"/>
      <w:lvlText w:val=""/>
      <w:lvlJc w:val="left"/>
      <w:pPr>
        <w:tabs>
          <w:tab w:val="num" w:pos="1440"/>
        </w:tabs>
        <w:ind w:left="1440" w:hanging="360"/>
      </w:pPr>
      <w:rPr>
        <w:rFonts w:ascii="Symbol" w:hAnsi="Symbol" w:hint="default"/>
      </w:r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7" w15:restartNumberingAfterBreak="0">
    <w:nsid w:val="150105E0"/>
    <w:multiLevelType w:val="multilevel"/>
    <w:tmpl w:val="426EFC02"/>
    <w:lvl w:ilvl="0">
      <w:start w:val="2"/>
      <w:numFmt w:val="decimal"/>
      <w:lvlText w:val="%1."/>
      <w:lvlJc w:val="left"/>
      <w:pPr>
        <w:ind w:left="540" w:hanging="540"/>
      </w:pPr>
      <w:rPr>
        <w:rFonts w:hint="default"/>
      </w:rPr>
    </w:lvl>
    <w:lvl w:ilvl="1">
      <w:start w:val="3"/>
      <w:numFmt w:val="decimal"/>
      <w:lvlText w:val="%1.%2."/>
      <w:lvlJc w:val="left"/>
      <w:pPr>
        <w:ind w:left="1177" w:hanging="540"/>
      </w:pPr>
      <w:rPr>
        <w:rFonts w:hint="default"/>
      </w:rPr>
    </w:lvl>
    <w:lvl w:ilvl="2">
      <w:start w:val="1"/>
      <w:numFmt w:val="decimal"/>
      <w:lvlText w:val="%1.%2.%3."/>
      <w:lvlJc w:val="left"/>
      <w:pPr>
        <w:ind w:left="1994" w:hanging="720"/>
      </w:pPr>
      <w:rPr>
        <w:rFonts w:hint="default"/>
      </w:rPr>
    </w:lvl>
    <w:lvl w:ilvl="3">
      <w:start w:val="1"/>
      <w:numFmt w:val="decimal"/>
      <w:lvlText w:val="%1.%2.%3.%4."/>
      <w:lvlJc w:val="left"/>
      <w:pPr>
        <w:ind w:left="2631" w:hanging="720"/>
      </w:pPr>
      <w:rPr>
        <w:rFonts w:hint="default"/>
      </w:rPr>
    </w:lvl>
    <w:lvl w:ilvl="4">
      <w:start w:val="1"/>
      <w:numFmt w:val="decimal"/>
      <w:lvlText w:val="%1.%2.%3.%4.%5."/>
      <w:lvlJc w:val="left"/>
      <w:pPr>
        <w:ind w:left="3628" w:hanging="1080"/>
      </w:pPr>
      <w:rPr>
        <w:rFonts w:hint="default"/>
      </w:rPr>
    </w:lvl>
    <w:lvl w:ilvl="5">
      <w:start w:val="1"/>
      <w:numFmt w:val="decimal"/>
      <w:lvlText w:val="%1.%2.%3.%4.%5.%6."/>
      <w:lvlJc w:val="left"/>
      <w:pPr>
        <w:ind w:left="4265" w:hanging="1080"/>
      </w:pPr>
      <w:rPr>
        <w:rFonts w:hint="default"/>
      </w:rPr>
    </w:lvl>
    <w:lvl w:ilvl="6">
      <w:start w:val="1"/>
      <w:numFmt w:val="decimal"/>
      <w:lvlText w:val="%1.%2.%3.%4.%5.%6.%7."/>
      <w:lvlJc w:val="left"/>
      <w:pPr>
        <w:ind w:left="5262" w:hanging="1440"/>
      </w:pPr>
      <w:rPr>
        <w:rFonts w:hint="default"/>
      </w:rPr>
    </w:lvl>
    <w:lvl w:ilvl="7">
      <w:start w:val="1"/>
      <w:numFmt w:val="decimal"/>
      <w:lvlText w:val="%1.%2.%3.%4.%5.%6.%7.%8."/>
      <w:lvlJc w:val="left"/>
      <w:pPr>
        <w:ind w:left="5899" w:hanging="1440"/>
      </w:pPr>
      <w:rPr>
        <w:rFonts w:hint="default"/>
      </w:rPr>
    </w:lvl>
    <w:lvl w:ilvl="8">
      <w:start w:val="1"/>
      <w:numFmt w:val="decimal"/>
      <w:lvlText w:val="%1.%2.%3.%4.%5.%6.%7.%8.%9."/>
      <w:lvlJc w:val="left"/>
      <w:pPr>
        <w:ind w:left="6896" w:hanging="1800"/>
      </w:pPr>
      <w:rPr>
        <w:rFonts w:hint="default"/>
      </w:rPr>
    </w:lvl>
  </w:abstractNum>
  <w:abstractNum w:abstractNumId="8" w15:restartNumberingAfterBreak="0">
    <w:nsid w:val="16C773FB"/>
    <w:multiLevelType w:val="multilevel"/>
    <w:tmpl w:val="FE2CA4BE"/>
    <w:lvl w:ilvl="0">
      <w:start w:val="1"/>
      <w:numFmt w:val="decimal"/>
      <w:lvlText w:val="%1."/>
      <w:lvlJc w:val="left"/>
      <w:pPr>
        <w:ind w:left="360" w:hanging="360"/>
      </w:pPr>
    </w:lvl>
    <w:lvl w:ilvl="1">
      <w:start w:val="1"/>
      <w:numFmt w:val="bullet"/>
      <w:lvlText w:val=""/>
      <w:lvlJc w:val="left"/>
      <w:pPr>
        <w:ind w:left="720" w:hanging="360"/>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17211502"/>
    <w:multiLevelType w:val="multilevel"/>
    <w:tmpl w:val="BD9CBC6C"/>
    <w:lvl w:ilvl="0">
      <w:start w:val="3"/>
      <w:numFmt w:val="decimal"/>
      <w:lvlText w:val="2.%1."/>
      <w:lvlJc w:val="left"/>
      <w:pPr>
        <w:ind w:left="644" w:hanging="360"/>
      </w:pPr>
      <w:rPr>
        <w:rFonts w:hint="default"/>
      </w:rPr>
    </w:lvl>
    <w:lvl w:ilvl="1">
      <w:start w:val="1"/>
      <w:numFmt w:val="decimal"/>
      <w:lvlText w:val="2.3.%2."/>
      <w:lvlJc w:val="left"/>
      <w:pPr>
        <w:ind w:left="999" w:hanging="432"/>
      </w:pPr>
      <w:rPr>
        <w:rFonts w:hint="default"/>
      </w:rPr>
    </w:lvl>
    <w:lvl w:ilvl="2">
      <w:start w:val="1"/>
      <w:numFmt w:val="decimal"/>
      <w:lvlText w:val="%1.%2.%3."/>
      <w:lvlJc w:val="left"/>
      <w:pPr>
        <w:ind w:left="1508" w:hanging="504"/>
      </w:pPr>
      <w:rPr>
        <w:rFonts w:hint="default"/>
      </w:rPr>
    </w:lvl>
    <w:lvl w:ilvl="3">
      <w:start w:val="1"/>
      <w:numFmt w:val="decimal"/>
      <w:lvlText w:val="%1.%2.%3.%4."/>
      <w:lvlJc w:val="left"/>
      <w:pPr>
        <w:ind w:left="2012" w:hanging="648"/>
      </w:pPr>
      <w:rPr>
        <w:rFonts w:hint="default"/>
      </w:rPr>
    </w:lvl>
    <w:lvl w:ilvl="4">
      <w:start w:val="1"/>
      <w:numFmt w:val="decimal"/>
      <w:lvlText w:val="%1.%2.%3.%4.%5."/>
      <w:lvlJc w:val="left"/>
      <w:pPr>
        <w:ind w:left="2516" w:hanging="792"/>
      </w:pPr>
      <w:rPr>
        <w:rFonts w:hint="default"/>
      </w:rPr>
    </w:lvl>
    <w:lvl w:ilvl="5">
      <w:start w:val="1"/>
      <w:numFmt w:val="decimal"/>
      <w:lvlText w:val="%1.%2.%3.%4.%5.%6."/>
      <w:lvlJc w:val="left"/>
      <w:pPr>
        <w:ind w:left="3020" w:hanging="936"/>
      </w:pPr>
      <w:rPr>
        <w:rFonts w:hint="default"/>
      </w:rPr>
    </w:lvl>
    <w:lvl w:ilvl="6">
      <w:start w:val="1"/>
      <w:numFmt w:val="decimal"/>
      <w:lvlText w:val="%1.%2.%3.%4.%5.%6.%7."/>
      <w:lvlJc w:val="left"/>
      <w:pPr>
        <w:ind w:left="3524" w:hanging="1080"/>
      </w:pPr>
      <w:rPr>
        <w:rFonts w:hint="default"/>
      </w:rPr>
    </w:lvl>
    <w:lvl w:ilvl="7">
      <w:start w:val="1"/>
      <w:numFmt w:val="decimal"/>
      <w:lvlText w:val="%1.%2.%3.%4.%5.%6.%7.%8."/>
      <w:lvlJc w:val="left"/>
      <w:pPr>
        <w:ind w:left="4028" w:hanging="1224"/>
      </w:pPr>
      <w:rPr>
        <w:rFonts w:hint="default"/>
      </w:rPr>
    </w:lvl>
    <w:lvl w:ilvl="8">
      <w:start w:val="1"/>
      <w:numFmt w:val="decimal"/>
      <w:lvlText w:val="%1.%2.%3.%4.%5.%6.%7.%8.%9."/>
      <w:lvlJc w:val="left"/>
      <w:pPr>
        <w:ind w:left="4604" w:hanging="1440"/>
      </w:pPr>
      <w:rPr>
        <w:rFonts w:hint="default"/>
      </w:rPr>
    </w:lvl>
  </w:abstractNum>
  <w:abstractNum w:abstractNumId="10" w15:restartNumberingAfterBreak="0">
    <w:nsid w:val="1A8B6C66"/>
    <w:multiLevelType w:val="hybridMultilevel"/>
    <w:tmpl w:val="827C3936"/>
    <w:lvl w:ilvl="0" w:tplc="0D024F6E">
      <w:start w:val="1"/>
      <w:numFmt w:val="decimal"/>
      <w:lvlText w:val="2.1.2.%1."/>
      <w:lvlJc w:val="left"/>
      <w:pPr>
        <w:ind w:left="1353" w:hanging="360"/>
      </w:pPr>
      <w:rPr>
        <w:rFonts w:cs="Times" w:hint="default"/>
      </w:rPr>
    </w:lvl>
    <w:lvl w:ilvl="1" w:tplc="04270019" w:tentative="1">
      <w:start w:val="1"/>
      <w:numFmt w:val="lowerLetter"/>
      <w:lvlText w:val="%2."/>
      <w:lvlJc w:val="left"/>
      <w:pPr>
        <w:ind w:left="2073" w:hanging="360"/>
      </w:pPr>
    </w:lvl>
    <w:lvl w:ilvl="2" w:tplc="0427001B" w:tentative="1">
      <w:start w:val="1"/>
      <w:numFmt w:val="lowerRoman"/>
      <w:lvlText w:val="%3."/>
      <w:lvlJc w:val="right"/>
      <w:pPr>
        <w:ind w:left="2793" w:hanging="180"/>
      </w:pPr>
    </w:lvl>
    <w:lvl w:ilvl="3" w:tplc="0427000F" w:tentative="1">
      <w:start w:val="1"/>
      <w:numFmt w:val="decimal"/>
      <w:lvlText w:val="%4."/>
      <w:lvlJc w:val="left"/>
      <w:pPr>
        <w:ind w:left="3513" w:hanging="360"/>
      </w:pPr>
    </w:lvl>
    <w:lvl w:ilvl="4" w:tplc="04270019" w:tentative="1">
      <w:start w:val="1"/>
      <w:numFmt w:val="lowerLetter"/>
      <w:lvlText w:val="%5."/>
      <w:lvlJc w:val="left"/>
      <w:pPr>
        <w:ind w:left="4233" w:hanging="360"/>
      </w:pPr>
    </w:lvl>
    <w:lvl w:ilvl="5" w:tplc="0427001B" w:tentative="1">
      <w:start w:val="1"/>
      <w:numFmt w:val="lowerRoman"/>
      <w:lvlText w:val="%6."/>
      <w:lvlJc w:val="right"/>
      <w:pPr>
        <w:ind w:left="4953" w:hanging="180"/>
      </w:pPr>
    </w:lvl>
    <w:lvl w:ilvl="6" w:tplc="0427000F" w:tentative="1">
      <w:start w:val="1"/>
      <w:numFmt w:val="decimal"/>
      <w:lvlText w:val="%7."/>
      <w:lvlJc w:val="left"/>
      <w:pPr>
        <w:ind w:left="5673" w:hanging="360"/>
      </w:pPr>
    </w:lvl>
    <w:lvl w:ilvl="7" w:tplc="04270019" w:tentative="1">
      <w:start w:val="1"/>
      <w:numFmt w:val="lowerLetter"/>
      <w:lvlText w:val="%8."/>
      <w:lvlJc w:val="left"/>
      <w:pPr>
        <w:ind w:left="6393" w:hanging="360"/>
      </w:pPr>
    </w:lvl>
    <w:lvl w:ilvl="8" w:tplc="0427001B" w:tentative="1">
      <w:start w:val="1"/>
      <w:numFmt w:val="lowerRoman"/>
      <w:lvlText w:val="%9."/>
      <w:lvlJc w:val="right"/>
      <w:pPr>
        <w:ind w:left="7113" w:hanging="180"/>
      </w:pPr>
    </w:lvl>
  </w:abstractNum>
  <w:abstractNum w:abstractNumId="11" w15:restartNumberingAfterBreak="0">
    <w:nsid w:val="1DEE728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ED515E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4785422"/>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2780094B"/>
    <w:multiLevelType w:val="hybridMultilevel"/>
    <w:tmpl w:val="47BC8922"/>
    <w:lvl w:ilvl="0" w:tplc="1504AECC">
      <w:start w:val="1"/>
      <w:numFmt w:val="decimal"/>
      <w:lvlText w:val="2.1.3.%1."/>
      <w:lvlJc w:val="left"/>
      <w:pPr>
        <w:ind w:left="1571" w:hanging="360"/>
      </w:pPr>
      <w:rPr>
        <w:rFonts w:hint="default"/>
      </w:rPr>
    </w:lvl>
    <w:lvl w:ilvl="1" w:tplc="3ADA3EE4">
      <w:start w:val="1"/>
      <w:numFmt w:val="decimal"/>
      <w:lvlText w:val="2.1.3.%2."/>
      <w:lvlJc w:val="left"/>
      <w:pPr>
        <w:ind w:left="1440" w:hanging="360"/>
      </w:pPr>
      <w:rPr>
        <w:rFonts w:hint="default"/>
      </w:rPr>
    </w:lvl>
    <w:lvl w:ilvl="2" w:tplc="B3C4118E">
      <w:start w:val="1"/>
      <w:numFmt w:val="decimal"/>
      <w:lvlText w:val="2.1.3.2.%3."/>
      <w:lvlJc w:val="right"/>
      <w:pPr>
        <w:ind w:left="2448" w:hanging="180"/>
      </w:pPr>
      <w:rPr>
        <w:rFonts w:hint="default"/>
      </w:rPr>
    </w:lvl>
    <w:lvl w:ilvl="3" w:tplc="81A07682">
      <w:start w:val="1"/>
      <w:numFmt w:val="decimal"/>
      <w:lvlText w:val="%4."/>
      <w:lvlJc w:val="left"/>
      <w:pPr>
        <w:ind w:left="2880" w:hanging="360"/>
      </w:pPr>
      <w:rPr>
        <w:rFonts w:hint="default"/>
      </w:r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2C015A70"/>
    <w:multiLevelType w:val="multilevel"/>
    <w:tmpl w:val="3032359E"/>
    <w:lvl w:ilvl="0">
      <w:start w:val="1"/>
      <w:numFmt w:val="decimal"/>
      <w:lvlText w:val="2.%1."/>
      <w:lvlJc w:val="left"/>
      <w:pPr>
        <w:ind w:left="360" w:hanging="360"/>
      </w:pPr>
      <w:rPr>
        <w:rFonts w:hint="default"/>
      </w:rPr>
    </w:lvl>
    <w:lvl w:ilvl="1">
      <w:start w:val="1"/>
      <w:numFmt w:val="decimal"/>
      <w:lvlText w:val="2.2.%2."/>
      <w:lvlJc w:val="left"/>
      <w:pPr>
        <w:ind w:left="999" w:hanging="432"/>
      </w:pPr>
      <w:rPr>
        <w:rFonts w:hint="default"/>
      </w:rPr>
    </w:lvl>
    <w:lvl w:ilvl="2">
      <w:start w:val="1"/>
      <w:numFmt w:val="decimal"/>
      <w:lvlText w:val="2.2.8.%3."/>
      <w:lvlJc w:val="left"/>
      <w:pPr>
        <w:ind w:left="1224" w:hanging="504"/>
      </w:pPr>
      <w:rPr>
        <w:rFonts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EEB29EF"/>
    <w:multiLevelType w:val="hybridMultilevel"/>
    <w:tmpl w:val="9B524A12"/>
    <w:lvl w:ilvl="0" w:tplc="1FB6E2E8">
      <w:start w:val="1"/>
      <w:numFmt w:val="decimal"/>
      <w:lvlText w:val="2.1.3.%1."/>
      <w:lvlJc w:val="left"/>
      <w:pPr>
        <w:ind w:left="1353" w:hanging="360"/>
      </w:pPr>
      <w:rPr>
        <w:rFonts w:cs="Times" w:hint="default"/>
      </w:rPr>
    </w:lvl>
    <w:lvl w:ilvl="1" w:tplc="04270003" w:tentative="1">
      <w:start w:val="1"/>
      <w:numFmt w:val="bullet"/>
      <w:lvlText w:val="o"/>
      <w:lvlJc w:val="left"/>
      <w:pPr>
        <w:ind w:left="2073" w:hanging="360"/>
      </w:pPr>
      <w:rPr>
        <w:rFonts w:ascii="Courier New" w:hAnsi="Courier New" w:cs="Courier New" w:hint="default"/>
      </w:rPr>
    </w:lvl>
    <w:lvl w:ilvl="2" w:tplc="04270005" w:tentative="1">
      <w:start w:val="1"/>
      <w:numFmt w:val="bullet"/>
      <w:lvlText w:val=""/>
      <w:lvlJc w:val="left"/>
      <w:pPr>
        <w:ind w:left="2793" w:hanging="360"/>
      </w:pPr>
      <w:rPr>
        <w:rFonts w:ascii="Wingdings" w:hAnsi="Wingdings" w:hint="default"/>
      </w:rPr>
    </w:lvl>
    <w:lvl w:ilvl="3" w:tplc="04270001" w:tentative="1">
      <w:start w:val="1"/>
      <w:numFmt w:val="bullet"/>
      <w:lvlText w:val=""/>
      <w:lvlJc w:val="left"/>
      <w:pPr>
        <w:ind w:left="3513" w:hanging="360"/>
      </w:pPr>
      <w:rPr>
        <w:rFonts w:ascii="Symbol" w:hAnsi="Symbol" w:hint="default"/>
      </w:rPr>
    </w:lvl>
    <w:lvl w:ilvl="4" w:tplc="04270003" w:tentative="1">
      <w:start w:val="1"/>
      <w:numFmt w:val="bullet"/>
      <w:lvlText w:val="o"/>
      <w:lvlJc w:val="left"/>
      <w:pPr>
        <w:ind w:left="4233" w:hanging="360"/>
      </w:pPr>
      <w:rPr>
        <w:rFonts w:ascii="Courier New" w:hAnsi="Courier New" w:cs="Courier New" w:hint="default"/>
      </w:rPr>
    </w:lvl>
    <w:lvl w:ilvl="5" w:tplc="04270005" w:tentative="1">
      <w:start w:val="1"/>
      <w:numFmt w:val="bullet"/>
      <w:lvlText w:val=""/>
      <w:lvlJc w:val="left"/>
      <w:pPr>
        <w:ind w:left="4953" w:hanging="360"/>
      </w:pPr>
      <w:rPr>
        <w:rFonts w:ascii="Wingdings" w:hAnsi="Wingdings" w:hint="default"/>
      </w:rPr>
    </w:lvl>
    <w:lvl w:ilvl="6" w:tplc="04270001" w:tentative="1">
      <w:start w:val="1"/>
      <w:numFmt w:val="bullet"/>
      <w:lvlText w:val=""/>
      <w:lvlJc w:val="left"/>
      <w:pPr>
        <w:ind w:left="5673" w:hanging="360"/>
      </w:pPr>
      <w:rPr>
        <w:rFonts w:ascii="Symbol" w:hAnsi="Symbol" w:hint="default"/>
      </w:rPr>
    </w:lvl>
    <w:lvl w:ilvl="7" w:tplc="04270003" w:tentative="1">
      <w:start w:val="1"/>
      <w:numFmt w:val="bullet"/>
      <w:lvlText w:val="o"/>
      <w:lvlJc w:val="left"/>
      <w:pPr>
        <w:ind w:left="6393" w:hanging="360"/>
      </w:pPr>
      <w:rPr>
        <w:rFonts w:ascii="Courier New" w:hAnsi="Courier New" w:cs="Courier New" w:hint="default"/>
      </w:rPr>
    </w:lvl>
    <w:lvl w:ilvl="8" w:tplc="04270005" w:tentative="1">
      <w:start w:val="1"/>
      <w:numFmt w:val="bullet"/>
      <w:lvlText w:val=""/>
      <w:lvlJc w:val="left"/>
      <w:pPr>
        <w:ind w:left="7113" w:hanging="360"/>
      </w:pPr>
      <w:rPr>
        <w:rFonts w:ascii="Wingdings" w:hAnsi="Wingdings" w:hint="default"/>
      </w:rPr>
    </w:lvl>
  </w:abstractNum>
  <w:abstractNum w:abstractNumId="17" w15:restartNumberingAfterBreak="0">
    <w:nsid w:val="30F96F70"/>
    <w:multiLevelType w:val="multilevel"/>
    <w:tmpl w:val="00FE5B60"/>
    <w:lvl w:ilvl="0">
      <w:start w:val="1"/>
      <w:numFmt w:val="decimal"/>
      <w:lvlText w:val="%1."/>
      <w:lvlJc w:val="left"/>
      <w:pPr>
        <w:ind w:left="360" w:hanging="360"/>
      </w:pPr>
    </w:lvl>
    <w:lvl w:ilvl="1">
      <w:start w:val="1"/>
      <w:numFmt w:val="bullet"/>
      <w:lvlText w:val="-"/>
      <w:lvlJc w:val="left"/>
      <w:pPr>
        <w:ind w:left="720" w:hanging="360"/>
      </w:pPr>
      <w:rPr>
        <w:rFonts w:ascii="Calibri" w:eastAsia="Calibri" w:hAnsi="Calibri" w:cs="Calibri"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19B39E3"/>
    <w:multiLevelType w:val="multilevel"/>
    <w:tmpl w:val="93FA775E"/>
    <w:lvl w:ilvl="0">
      <w:start w:val="1"/>
      <w:numFmt w:val="decimal"/>
      <w:lvlText w:val="%1."/>
      <w:lvlJc w:val="left"/>
      <w:pPr>
        <w:tabs>
          <w:tab w:val="num" w:pos="720"/>
        </w:tabs>
        <w:ind w:left="720" w:hanging="360"/>
      </w:pPr>
      <w:rPr>
        <w:b w:val="0"/>
        <w:sz w:val="20"/>
        <w:szCs w:val="20"/>
      </w:rPr>
    </w:lvl>
    <w:lvl w:ilvl="1">
      <w:start w:val="1"/>
      <w:numFmt w:val="decimal"/>
      <w:isLgl/>
      <w:lvlText w:val="%1.%2."/>
      <w:lvlJc w:val="left"/>
      <w:pPr>
        <w:tabs>
          <w:tab w:val="num" w:pos="786"/>
        </w:tabs>
        <w:ind w:left="786" w:hanging="360"/>
      </w:pPr>
      <w:rPr>
        <w:rFonts w:ascii="Trebuchet MS" w:hAnsi="Trebuchet MS" w:hint="default"/>
        <w:b w:val="0"/>
        <w:sz w:val="20"/>
        <w:szCs w:val="20"/>
      </w:rPr>
    </w:lvl>
    <w:lvl w:ilvl="2">
      <w:start w:val="1"/>
      <w:numFmt w:val="decimal"/>
      <w:isLgl/>
      <w:lvlText w:val="%1.%2.%3."/>
      <w:lvlJc w:val="left"/>
      <w:pPr>
        <w:tabs>
          <w:tab w:val="num" w:pos="1855"/>
        </w:tabs>
        <w:ind w:left="1855" w:hanging="720"/>
      </w:pPr>
      <w:rPr>
        <w:rFonts w:hint="default"/>
        <w:b w:val="0"/>
        <w:sz w:val="20"/>
        <w:szCs w:val="20"/>
      </w:rPr>
    </w:lvl>
    <w:lvl w:ilvl="3">
      <w:start w:val="1"/>
      <w:numFmt w:val="decimal"/>
      <w:isLgl/>
      <w:lvlText w:val="%1.%2.%3.%4."/>
      <w:lvlJc w:val="left"/>
      <w:pPr>
        <w:tabs>
          <w:tab w:val="num" w:pos="1080"/>
        </w:tabs>
        <w:ind w:left="1080" w:hanging="720"/>
      </w:pPr>
      <w:rPr>
        <w:rFonts w:hint="default"/>
        <w:b/>
        <w:sz w:val="20"/>
      </w:rPr>
    </w:lvl>
    <w:lvl w:ilvl="4">
      <w:start w:val="1"/>
      <w:numFmt w:val="decimal"/>
      <w:isLgl/>
      <w:lvlText w:val="%1.%2.%3.%4.%5."/>
      <w:lvlJc w:val="left"/>
      <w:pPr>
        <w:tabs>
          <w:tab w:val="num" w:pos="1440"/>
        </w:tabs>
        <w:ind w:left="1440" w:hanging="1080"/>
      </w:pPr>
      <w:rPr>
        <w:rFonts w:hint="default"/>
        <w:b/>
        <w:sz w:val="20"/>
      </w:rPr>
    </w:lvl>
    <w:lvl w:ilvl="5">
      <w:start w:val="1"/>
      <w:numFmt w:val="decimal"/>
      <w:isLgl/>
      <w:lvlText w:val="%1.%2.%3.%4.%5.%6."/>
      <w:lvlJc w:val="left"/>
      <w:pPr>
        <w:tabs>
          <w:tab w:val="num" w:pos="1440"/>
        </w:tabs>
        <w:ind w:left="1440" w:hanging="1080"/>
      </w:pPr>
      <w:rPr>
        <w:rFonts w:hint="default"/>
        <w:b/>
        <w:sz w:val="20"/>
      </w:rPr>
    </w:lvl>
    <w:lvl w:ilvl="6">
      <w:start w:val="1"/>
      <w:numFmt w:val="decimal"/>
      <w:isLgl/>
      <w:lvlText w:val="%1.%2.%3.%4.%5.%6.%7."/>
      <w:lvlJc w:val="left"/>
      <w:pPr>
        <w:tabs>
          <w:tab w:val="num" w:pos="1800"/>
        </w:tabs>
        <w:ind w:left="1800" w:hanging="1440"/>
      </w:pPr>
      <w:rPr>
        <w:rFonts w:hint="default"/>
        <w:b/>
        <w:sz w:val="20"/>
      </w:rPr>
    </w:lvl>
    <w:lvl w:ilvl="7">
      <w:start w:val="1"/>
      <w:numFmt w:val="decimal"/>
      <w:isLgl/>
      <w:lvlText w:val="%1.%2.%3.%4.%5.%6.%7.%8."/>
      <w:lvlJc w:val="left"/>
      <w:pPr>
        <w:tabs>
          <w:tab w:val="num" w:pos="1800"/>
        </w:tabs>
        <w:ind w:left="1800" w:hanging="1440"/>
      </w:pPr>
      <w:rPr>
        <w:rFonts w:hint="default"/>
        <w:b/>
        <w:sz w:val="20"/>
      </w:rPr>
    </w:lvl>
    <w:lvl w:ilvl="8">
      <w:start w:val="1"/>
      <w:numFmt w:val="decimal"/>
      <w:isLgl/>
      <w:lvlText w:val="%1.%2.%3.%4.%5.%6.%7.%8.%9."/>
      <w:lvlJc w:val="left"/>
      <w:pPr>
        <w:tabs>
          <w:tab w:val="num" w:pos="2160"/>
        </w:tabs>
        <w:ind w:left="2160" w:hanging="1800"/>
      </w:pPr>
      <w:rPr>
        <w:rFonts w:hint="default"/>
        <w:b/>
        <w:sz w:val="20"/>
      </w:rPr>
    </w:lvl>
  </w:abstractNum>
  <w:abstractNum w:abstractNumId="19" w15:restartNumberingAfterBreak="0">
    <w:nsid w:val="352E5AB6"/>
    <w:multiLevelType w:val="hybridMultilevel"/>
    <w:tmpl w:val="EFCADD5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0" w15:restartNumberingAfterBreak="0">
    <w:nsid w:val="35A836B2"/>
    <w:multiLevelType w:val="hybridMultilevel"/>
    <w:tmpl w:val="2E0ABDFC"/>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1" w15:restartNumberingAfterBreak="0">
    <w:nsid w:val="363255FD"/>
    <w:multiLevelType w:val="multilevel"/>
    <w:tmpl w:val="18A26498"/>
    <w:lvl w:ilvl="0">
      <w:start w:val="1"/>
      <w:numFmt w:val="decimal"/>
      <w:lvlText w:val="%1"/>
      <w:lvlJc w:val="left"/>
      <w:pPr>
        <w:ind w:left="360" w:hanging="360"/>
      </w:pPr>
      <w:rPr>
        <w:rFonts w:hint="default"/>
        <w:color w:val="auto"/>
      </w:rPr>
    </w:lvl>
    <w:lvl w:ilvl="1">
      <w:start w:val="1"/>
      <w:numFmt w:val="decimal"/>
      <w:lvlText w:val="1.2.%2."/>
      <w:lvlJc w:val="left"/>
      <w:pPr>
        <w:ind w:left="786" w:hanging="360"/>
      </w:pPr>
      <w:rPr>
        <w:rFonts w:cs="Times" w:hint="default"/>
        <w:color w:val="auto"/>
      </w:rPr>
    </w:lvl>
    <w:lvl w:ilvl="2">
      <w:start w:val="1"/>
      <w:numFmt w:val="decimal"/>
      <w:lvlText w:val="%1.%2.%3"/>
      <w:lvlJc w:val="left"/>
      <w:pPr>
        <w:ind w:left="1572" w:hanging="720"/>
      </w:pPr>
      <w:rPr>
        <w:rFonts w:hint="default"/>
        <w:color w:val="auto"/>
      </w:rPr>
    </w:lvl>
    <w:lvl w:ilvl="3">
      <w:start w:val="1"/>
      <w:numFmt w:val="decimal"/>
      <w:lvlText w:val="1.2.1.%4."/>
      <w:lvlJc w:val="left"/>
      <w:pPr>
        <w:ind w:left="1571" w:hanging="720"/>
      </w:pPr>
      <w:rPr>
        <w:rFonts w:cs="Times" w:hint="default"/>
        <w:color w:val="auto"/>
      </w:rPr>
    </w:lvl>
    <w:lvl w:ilvl="4">
      <w:start w:val="1"/>
      <w:numFmt w:val="decimal"/>
      <w:lvlText w:val="%1.%2.%3.%4.%5"/>
      <w:lvlJc w:val="left"/>
      <w:pPr>
        <w:ind w:left="2784" w:hanging="1080"/>
      </w:pPr>
      <w:rPr>
        <w:rFonts w:hint="default"/>
        <w:color w:val="auto"/>
      </w:rPr>
    </w:lvl>
    <w:lvl w:ilvl="5">
      <w:start w:val="1"/>
      <w:numFmt w:val="decimal"/>
      <w:lvlText w:val="%1.%2.%3.%4.%5.%6"/>
      <w:lvlJc w:val="left"/>
      <w:pPr>
        <w:ind w:left="3210" w:hanging="1080"/>
      </w:pPr>
      <w:rPr>
        <w:rFonts w:hint="default"/>
        <w:color w:val="auto"/>
      </w:rPr>
    </w:lvl>
    <w:lvl w:ilvl="6">
      <w:start w:val="1"/>
      <w:numFmt w:val="decimal"/>
      <w:lvlText w:val="%1.%2.%3.%4.%5.%6.%7"/>
      <w:lvlJc w:val="left"/>
      <w:pPr>
        <w:ind w:left="3996" w:hanging="1440"/>
      </w:pPr>
      <w:rPr>
        <w:rFonts w:hint="default"/>
        <w:color w:val="auto"/>
      </w:rPr>
    </w:lvl>
    <w:lvl w:ilvl="7">
      <w:start w:val="1"/>
      <w:numFmt w:val="decimal"/>
      <w:lvlText w:val="%1.%2.%3.%4.%5.%6.%7.%8"/>
      <w:lvlJc w:val="left"/>
      <w:pPr>
        <w:ind w:left="4422" w:hanging="1440"/>
      </w:pPr>
      <w:rPr>
        <w:rFonts w:hint="default"/>
        <w:color w:val="auto"/>
      </w:rPr>
    </w:lvl>
    <w:lvl w:ilvl="8">
      <w:start w:val="1"/>
      <w:numFmt w:val="decimal"/>
      <w:lvlText w:val="%1.%2.%3.%4.%5.%6.%7.%8.%9"/>
      <w:lvlJc w:val="left"/>
      <w:pPr>
        <w:ind w:left="5208" w:hanging="1800"/>
      </w:pPr>
      <w:rPr>
        <w:rFonts w:hint="default"/>
        <w:color w:val="auto"/>
      </w:rPr>
    </w:lvl>
  </w:abstractNum>
  <w:abstractNum w:abstractNumId="22" w15:restartNumberingAfterBreak="0">
    <w:nsid w:val="3A2D1BF8"/>
    <w:multiLevelType w:val="hybridMultilevel"/>
    <w:tmpl w:val="81D41284"/>
    <w:lvl w:ilvl="0" w:tplc="65B2D91C">
      <w:start w:val="1"/>
      <w:numFmt w:val="decimal"/>
      <w:lvlText w:val="2.1.1.%1."/>
      <w:lvlJc w:val="left"/>
      <w:pPr>
        <w:ind w:left="1353" w:hanging="360"/>
      </w:pPr>
      <w:rPr>
        <w:rFonts w:cs="Times" w:hint="default"/>
      </w:rPr>
    </w:lvl>
    <w:lvl w:ilvl="1" w:tplc="04270003" w:tentative="1">
      <w:start w:val="1"/>
      <w:numFmt w:val="bullet"/>
      <w:lvlText w:val="o"/>
      <w:lvlJc w:val="left"/>
      <w:pPr>
        <w:ind w:left="2073" w:hanging="360"/>
      </w:pPr>
      <w:rPr>
        <w:rFonts w:ascii="Courier New" w:hAnsi="Courier New" w:cs="Courier New" w:hint="default"/>
      </w:rPr>
    </w:lvl>
    <w:lvl w:ilvl="2" w:tplc="04270005" w:tentative="1">
      <w:start w:val="1"/>
      <w:numFmt w:val="bullet"/>
      <w:lvlText w:val=""/>
      <w:lvlJc w:val="left"/>
      <w:pPr>
        <w:ind w:left="2793" w:hanging="360"/>
      </w:pPr>
      <w:rPr>
        <w:rFonts w:ascii="Wingdings" w:hAnsi="Wingdings" w:hint="default"/>
      </w:rPr>
    </w:lvl>
    <w:lvl w:ilvl="3" w:tplc="04270001" w:tentative="1">
      <w:start w:val="1"/>
      <w:numFmt w:val="bullet"/>
      <w:lvlText w:val=""/>
      <w:lvlJc w:val="left"/>
      <w:pPr>
        <w:ind w:left="3513" w:hanging="360"/>
      </w:pPr>
      <w:rPr>
        <w:rFonts w:ascii="Symbol" w:hAnsi="Symbol" w:hint="default"/>
      </w:rPr>
    </w:lvl>
    <w:lvl w:ilvl="4" w:tplc="04270003" w:tentative="1">
      <w:start w:val="1"/>
      <w:numFmt w:val="bullet"/>
      <w:lvlText w:val="o"/>
      <w:lvlJc w:val="left"/>
      <w:pPr>
        <w:ind w:left="4233" w:hanging="360"/>
      </w:pPr>
      <w:rPr>
        <w:rFonts w:ascii="Courier New" w:hAnsi="Courier New" w:cs="Courier New" w:hint="default"/>
      </w:rPr>
    </w:lvl>
    <w:lvl w:ilvl="5" w:tplc="04270005" w:tentative="1">
      <w:start w:val="1"/>
      <w:numFmt w:val="bullet"/>
      <w:lvlText w:val=""/>
      <w:lvlJc w:val="left"/>
      <w:pPr>
        <w:ind w:left="4953" w:hanging="360"/>
      </w:pPr>
      <w:rPr>
        <w:rFonts w:ascii="Wingdings" w:hAnsi="Wingdings" w:hint="default"/>
      </w:rPr>
    </w:lvl>
    <w:lvl w:ilvl="6" w:tplc="04270001" w:tentative="1">
      <w:start w:val="1"/>
      <w:numFmt w:val="bullet"/>
      <w:lvlText w:val=""/>
      <w:lvlJc w:val="left"/>
      <w:pPr>
        <w:ind w:left="5673" w:hanging="360"/>
      </w:pPr>
      <w:rPr>
        <w:rFonts w:ascii="Symbol" w:hAnsi="Symbol" w:hint="default"/>
      </w:rPr>
    </w:lvl>
    <w:lvl w:ilvl="7" w:tplc="04270003" w:tentative="1">
      <w:start w:val="1"/>
      <w:numFmt w:val="bullet"/>
      <w:lvlText w:val="o"/>
      <w:lvlJc w:val="left"/>
      <w:pPr>
        <w:ind w:left="6393" w:hanging="360"/>
      </w:pPr>
      <w:rPr>
        <w:rFonts w:ascii="Courier New" w:hAnsi="Courier New" w:cs="Courier New" w:hint="default"/>
      </w:rPr>
    </w:lvl>
    <w:lvl w:ilvl="8" w:tplc="04270005" w:tentative="1">
      <w:start w:val="1"/>
      <w:numFmt w:val="bullet"/>
      <w:lvlText w:val=""/>
      <w:lvlJc w:val="left"/>
      <w:pPr>
        <w:ind w:left="7113" w:hanging="360"/>
      </w:pPr>
      <w:rPr>
        <w:rFonts w:ascii="Wingdings" w:hAnsi="Wingdings" w:hint="default"/>
      </w:rPr>
    </w:lvl>
  </w:abstractNum>
  <w:abstractNum w:abstractNumId="23" w15:restartNumberingAfterBreak="0">
    <w:nsid w:val="3C2216A7"/>
    <w:multiLevelType w:val="multilevel"/>
    <w:tmpl w:val="5236731C"/>
    <w:lvl w:ilvl="0">
      <w:start w:val="4"/>
      <w:numFmt w:val="decimal"/>
      <w:lvlText w:val="%1."/>
      <w:lvlJc w:val="left"/>
      <w:pPr>
        <w:ind w:left="400" w:hanging="400"/>
      </w:pPr>
      <w:rPr>
        <w:rFonts w:cs="Arial" w:hint="default"/>
        <w:b w:val="0"/>
      </w:rPr>
    </w:lvl>
    <w:lvl w:ilvl="1">
      <w:start w:val="1"/>
      <w:numFmt w:val="decimal"/>
      <w:lvlText w:val="%1.%2."/>
      <w:lvlJc w:val="left"/>
      <w:pPr>
        <w:ind w:left="1440" w:hanging="720"/>
      </w:pPr>
      <w:rPr>
        <w:rFonts w:cs="Arial" w:hint="default"/>
        <w:b w:val="0"/>
      </w:rPr>
    </w:lvl>
    <w:lvl w:ilvl="2">
      <w:start w:val="1"/>
      <w:numFmt w:val="decimal"/>
      <w:lvlText w:val="%1.%2.%3."/>
      <w:lvlJc w:val="left"/>
      <w:pPr>
        <w:ind w:left="2160" w:hanging="720"/>
      </w:pPr>
      <w:rPr>
        <w:rFonts w:cs="Arial" w:hint="default"/>
        <w:b w:val="0"/>
      </w:rPr>
    </w:lvl>
    <w:lvl w:ilvl="3">
      <w:start w:val="1"/>
      <w:numFmt w:val="decimal"/>
      <w:lvlText w:val="%1.%2.%3.%4."/>
      <w:lvlJc w:val="left"/>
      <w:pPr>
        <w:ind w:left="3240" w:hanging="1080"/>
      </w:pPr>
      <w:rPr>
        <w:rFonts w:cs="Arial" w:hint="default"/>
        <w:b w:val="0"/>
      </w:rPr>
    </w:lvl>
    <w:lvl w:ilvl="4">
      <w:start w:val="1"/>
      <w:numFmt w:val="decimal"/>
      <w:lvlText w:val="%1.%2.%3.%4.%5."/>
      <w:lvlJc w:val="left"/>
      <w:pPr>
        <w:ind w:left="3960" w:hanging="1080"/>
      </w:pPr>
      <w:rPr>
        <w:rFonts w:cs="Arial" w:hint="default"/>
        <w:b w:val="0"/>
      </w:rPr>
    </w:lvl>
    <w:lvl w:ilvl="5">
      <w:start w:val="1"/>
      <w:numFmt w:val="decimal"/>
      <w:lvlText w:val="%1.%2.%3.%4.%5.%6."/>
      <w:lvlJc w:val="left"/>
      <w:pPr>
        <w:ind w:left="5040" w:hanging="1440"/>
      </w:pPr>
      <w:rPr>
        <w:rFonts w:cs="Arial" w:hint="default"/>
        <w:b w:val="0"/>
      </w:rPr>
    </w:lvl>
    <w:lvl w:ilvl="6">
      <w:start w:val="1"/>
      <w:numFmt w:val="decimal"/>
      <w:lvlText w:val="%1.%2.%3.%4.%5.%6.%7."/>
      <w:lvlJc w:val="left"/>
      <w:pPr>
        <w:ind w:left="6120" w:hanging="1800"/>
      </w:pPr>
      <w:rPr>
        <w:rFonts w:cs="Arial" w:hint="default"/>
        <w:b w:val="0"/>
      </w:rPr>
    </w:lvl>
    <w:lvl w:ilvl="7">
      <w:start w:val="1"/>
      <w:numFmt w:val="decimal"/>
      <w:lvlText w:val="%1.%2.%3.%4.%5.%6.%7.%8."/>
      <w:lvlJc w:val="left"/>
      <w:pPr>
        <w:ind w:left="6840" w:hanging="1800"/>
      </w:pPr>
      <w:rPr>
        <w:rFonts w:cs="Arial" w:hint="default"/>
        <w:b w:val="0"/>
      </w:rPr>
    </w:lvl>
    <w:lvl w:ilvl="8">
      <w:start w:val="1"/>
      <w:numFmt w:val="decimal"/>
      <w:lvlText w:val="%1.%2.%3.%4.%5.%6.%7.%8.%9."/>
      <w:lvlJc w:val="left"/>
      <w:pPr>
        <w:ind w:left="7920" w:hanging="2160"/>
      </w:pPr>
      <w:rPr>
        <w:rFonts w:cs="Arial" w:hint="default"/>
        <w:b w:val="0"/>
      </w:rPr>
    </w:lvl>
  </w:abstractNum>
  <w:abstractNum w:abstractNumId="24" w15:restartNumberingAfterBreak="0">
    <w:nsid w:val="41B86A7A"/>
    <w:multiLevelType w:val="hybridMultilevel"/>
    <w:tmpl w:val="1B501598"/>
    <w:lvl w:ilvl="0" w:tplc="8E24A4A8">
      <w:start w:val="1"/>
      <w:numFmt w:val="decimal"/>
      <w:lvlText w:val="1.2.2.%1."/>
      <w:lvlJc w:val="left"/>
      <w:pPr>
        <w:ind w:left="1506" w:hanging="360"/>
      </w:pPr>
      <w:rPr>
        <w:rFonts w:cs="Times" w:hint="default"/>
      </w:rPr>
    </w:lvl>
    <w:lvl w:ilvl="1" w:tplc="04270003" w:tentative="1">
      <w:start w:val="1"/>
      <w:numFmt w:val="bullet"/>
      <w:lvlText w:val="o"/>
      <w:lvlJc w:val="left"/>
      <w:pPr>
        <w:ind w:left="2226" w:hanging="360"/>
      </w:pPr>
      <w:rPr>
        <w:rFonts w:ascii="Courier New" w:hAnsi="Courier New" w:cs="Courier New" w:hint="default"/>
      </w:rPr>
    </w:lvl>
    <w:lvl w:ilvl="2" w:tplc="04270005" w:tentative="1">
      <w:start w:val="1"/>
      <w:numFmt w:val="bullet"/>
      <w:lvlText w:val=""/>
      <w:lvlJc w:val="left"/>
      <w:pPr>
        <w:ind w:left="2946" w:hanging="360"/>
      </w:pPr>
      <w:rPr>
        <w:rFonts w:ascii="Wingdings" w:hAnsi="Wingdings" w:hint="default"/>
      </w:rPr>
    </w:lvl>
    <w:lvl w:ilvl="3" w:tplc="04270001" w:tentative="1">
      <w:start w:val="1"/>
      <w:numFmt w:val="bullet"/>
      <w:lvlText w:val=""/>
      <w:lvlJc w:val="left"/>
      <w:pPr>
        <w:ind w:left="3666" w:hanging="360"/>
      </w:pPr>
      <w:rPr>
        <w:rFonts w:ascii="Symbol" w:hAnsi="Symbol" w:hint="default"/>
      </w:rPr>
    </w:lvl>
    <w:lvl w:ilvl="4" w:tplc="04270003" w:tentative="1">
      <w:start w:val="1"/>
      <w:numFmt w:val="bullet"/>
      <w:lvlText w:val="o"/>
      <w:lvlJc w:val="left"/>
      <w:pPr>
        <w:ind w:left="4386" w:hanging="360"/>
      </w:pPr>
      <w:rPr>
        <w:rFonts w:ascii="Courier New" w:hAnsi="Courier New" w:cs="Courier New" w:hint="default"/>
      </w:rPr>
    </w:lvl>
    <w:lvl w:ilvl="5" w:tplc="04270005" w:tentative="1">
      <w:start w:val="1"/>
      <w:numFmt w:val="bullet"/>
      <w:lvlText w:val=""/>
      <w:lvlJc w:val="left"/>
      <w:pPr>
        <w:ind w:left="5106" w:hanging="360"/>
      </w:pPr>
      <w:rPr>
        <w:rFonts w:ascii="Wingdings" w:hAnsi="Wingdings" w:hint="default"/>
      </w:rPr>
    </w:lvl>
    <w:lvl w:ilvl="6" w:tplc="04270001" w:tentative="1">
      <w:start w:val="1"/>
      <w:numFmt w:val="bullet"/>
      <w:lvlText w:val=""/>
      <w:lvlJc w:val="left"/>
      <w:pPr>
        <w:ind w:left="5826" w:hanging="360"/>
      </w:pPr>
      <w:rPr>
        <w:rFonts w:ascii="Symbol" w:hAnsi="Symbol" w:hint="default"/>
      </w:rPr>
    </w:lvl>
    <w:lvl w:ilvl="7" w:tplc="04270003" w:tentative="1">
      <w:start w:val="1"/>
      <w:numFmt w:val="bullet"/>
      <w:lvlText w:val="o"/>
      <w:lvlJc w:val="left"/>
      <w:pPr>
        <w:ind w:left="6546" w:hanging="360"/>
      </w:pPr>
      <w:rPr>
        <w:rFonts w:ascii="Courier New" w:hAnsi="Courier New" w:cs="Courier New" w:hint="default"/>
      </w:rPr>
    </w:lvl>
    <w:lvl w:ilvl="8" w:tplc="04270005" w:tentative="1">
      <w:start w:val="1"/>
      <w:numFmt w:val="bullet"/>
      <w:lvlText w:val=""/>
      <w:lvlJc w:val="left"/>
      <w:pPr>
        <w:ind w:left="7266" w:hanging="360"/>
      </w:pPr>
      <w:rPr>
        <w:rFonts w:ascii="Wingdings" w:hAnsi="Wingdings" w:hint="default"/>
      </w:rPr>
    </w:lvl>
  </w:abstractNum>
  <w:abstractNum w:abstractNumId="25" w15:restartNumberingAfterBreak="0">
    <w:nsid w:val="420860E0"/>
    <w:multiLevelType w:val="multilevel"/>
    <w:tmpl w:val="15E078DC"/>
    <w:lvl w:ilvl="0">
      <w:start w:val="1"/>
      <w:numFmt w:val="decimal"/>
      <w:lvlText w:val="%1."/>
      <w:lvlJc w:val="left"/>
      <w:pPr>
        <w:tabs>
          <w:tab w:val="num" w:pos="720"/>
        </w:tabs>
        <w:ind w:left="720" w:hanging="360"/>
      </w:pPr>
      <w:rPr>
        <w:rFonts w:ascii="Trebuchet MS" w:eastAsia="Times New Roman" w:hAnsi="Trebuchet MS" w:cs="Times New Roman" w:hint="default"/>
        <w:b w:val="0"/>
        <w:sz w:val="22"/>
        <w:szCs w:val="22"/>
      </w:rPr>
    </w:lvl>
    <w:lvl w:ilvl="1">
      <w:start w:val="1"/>
      <w:numFmt w:val="decimal"/>
      <w:lvlText w:val="%2."/>
      <w:lvlJc w:val="left"/>
      <w:pPr>
        <w:ind w:left="786" w:hanging="360"/>
      </w:pPr>
      <w:rPr>
        <w:rFonts w:hint="default"/>
      </w:rPr>
    </w:lvl>
    <w:lvl w:ilvl="2">
      <w:start w:val="1"/>
      <w:numFmt w:val="decimal"/>
      <w:isLgl/>
      <w:lvlText w:val="%1.%2.%3."/>
      <w:lvlJc w:val="left"/>
      <w:pPr>
        <w:tabs>
          <w:tab w:val="num" w:pos="1855"/>
        </w:tabs>
        <w:ind w:left="1855" w:hanging="720"/>
      </w:pPr>
      <w:rPr>
        <w:rFonts w:hint="default"/>
        <w:b w:val="0"/>
        <w:sz w:val="22"/>
        <w:szCs w:val="22"/>
      </w:rPr>
    </w:lvl>
    <w:lvl w:ilvl="3">
      <w:start w:val="1"/>
      <w:numFmt w:val="decimal"/>
      <w:isLgl/>
      <w:lvlText w:val="%1.%2.%3.%4."/>
      <w:lvlJc w:val="left"/>
      <w:pPr>
        <w:tabs>
          <w:tab w:val="num" w:pos="1080"/>
        </w:tabs>
        <w:ind w:left="1080" w:hanging="720"/>
      </w:pPr>
      <w:rPr>
        <w:rFonts w:hint="default"/>
        <w:b/>
        <w:sz w:val="20"/>
      </w:rPr>
    </w:lvl>
    <w:lvl w:ilvl="4">
      <w:start w:val="1"/>
      <w:numFmt w:val="decimal"/>
      <w:isLgl/>
      <w:lvlText w:val="%1.%2.%3.%4.%5."/>
      <w:lvlJc w:val="left"/>
      <w:pPr>
        <w:tabs>
          <w:tab w:val="num" w:pos="1440"/>
        </w:tabs>
        <w:ind w:left="1440" w:hanging="1080"/>
      </w:pPr>
      <w:rPr>
        <w:rFonts w:hint="default"/>
        <w:b/>
        <w:sz w:val="20"/>
      </w:rPr>
    </w:lvl>
    <w:lvl w:ilvl="5">
      <w:start w:val="1"/>
      <w:numFmt w:val="decimal"/>
      <w:isLgl/>
      <w:lvlText w:val="%1.%2.%3.%4.%5.%6."/>
      <w:lvlJc w:val="left"/>
      <w:pPr>
        <w:tabs>
          <w:tab w:val="num" w:pos="1440"/>
        </w:tabs>
        <w:ind w:left="1440" w:hanging="1080"/>
      </w:pPr>
      <w:rPr>
        <w:rFonts w:hint="default"/>
        <w:b/>
        <w:sz w:val="20"/>
      </w:rPr>
    </w:lvl>
    <w:lvl w:ilvl="6">
      <w:start w:val="1"/>
      <w:numFmt w:val="decimal"/>
      <w:isLgl/>
      <w:lvlText w:val="%1.%2.%3.%4.%5.%6.%7."/>
      <w:lvlJc w:val="left"/>
      <w:pPr>
        <w:tabs>
          <w:tab w:val="num" w:pos="1800"/>
        </w:tabs>
        <w:ind w:left="1800" w:hanging="1440"/>
      </w:pPr>
      <w:rPr>
        <w:rFonts w:hint="default"/>
        <w:b/>
        <w:sz w:val="20"/>
      </w:rPr>
    </w:lvl>
    <w:lvl w:ilvl="7">
      <w:start w:val="1"/>
      <w:numFmt w:val="decimal"/>
      <w:isLgl/>
      <w:lvlText w:val="%1.%2.%3.%4.%5.%6.%7.%8."/>
      <w:lvlJc w:val="left"/>
      <w:pPr>
        <w:tabs>
          <w:tab w:val="num" w:pos="1800"/>
        </w:tabs>
        <w:ind w:left="1800" w:hanging="1440"/>
      </w:pPr>
      <w:rPr>
        <w:rFonts w:hint="default"/>
        <w:b/>
        <w:sz w:val="20"/>
      </w:rPr>
    </w:lvl>
    <w:lvl w:ilvl="8">
      <w:start w:val="1"/>
      <w:numFmt w:val="decimal"/>
      <w:isLgl/>
      <w:lvlText w:val="%1.%2.%3.%4.%5.%6.%7.%8.%9."/>
      <w:lvlJc w:val="left"/>
      <w:pPr>
        <w:tabs>
          <w:tab w:val="num" w:pos="2160"/>
        </w:tabs>
        <w:ind w:left="2160" w:hanging="1800"/>
      </w:pPr>
      <w:rPr>
        <w:rFonts w:hint="default"/>
        <w:b/>
        <w:sz w:val="20"/>
      </w:rPr>
    </w:lvl>
  </w:abstractNum>
  <w:abstractNum w:abstractNumId="26" w15:restartNumberingAfterBreak="0">
    <w:nsid w:val="48A360D6"/>
    <w:multiLevelType w:val="singleLevel"/>
    <w:tmpl w:val="BFA46BAE"/>
    <w:lvl w:ilvl="0">
      <w:start w:val="1"/>
      <w:numFmt w:val="bullet"/>
      <w:pStyle w:val="bullet1"/>
      <w:lvlText w:val=""/>
      <w:lvlJc w:val="left"/>
      <w:pPr>
        <w:tabs>
          <w:tab w:val="num" w:pos="360"/>
        </w:tabs>
        <w:ind w:left="360" w:hanging="360"/>
      </w:pPr>
      <w:rPr>
        <w:rFonts w:ascii="Symbol" w:hAnsi="Symbol" w:hint="default"/>
      </w:rPr>
    </w:lvl>
  </w:abstractNum>
  <w:abstractNum w:abstractNumId="27" w15:restartNumberingAfterBreak="0">
    <w:nsid w:val="4A6705D5"/>
    <w:multiLevelType w:val="hybridMultilevel"/>
    <w:tmpl w:val="5C7A11A4"/>
    <w:lvl w:ilvl="0" w:tplc="30045028">
      <w:start w:val="1"/>
      <w:numFmt w:val="bullet"/>
      <w:lvlText w:val="-"/>
      <w:lvlJc w:val="left"/>
      <w:pPr>
        <w:ind w:left="4104" w:hanging="360"/>
      </w:pPr>
      <w:rPr>
        <w:rFonts w:ascii="Calibri" w:eastAsia="Calibri" w:hAnsi="Calibri" w:cs="Calibri" w:hint="default"/>
      </w:rPr>
    </w:lvl>
    <w:lvl w:ilvl="1" w:tplc="FFFFFFFF">
      <w:start w:val="1"/>
      <w:numFmt w:val="bullet"/>
      <w:lvlText w:val="o"/>
      <w:lvlJc w:val="left"/>
      <w:pPr>
        <w:ind w:left="4824" w:hanging="360"/>
      </w:pPr>
      <w:rPr>
        <w:rFonts w:ascii="Courier New" w:hAnsi="Courier New" w:cs="Courier New" w:hint="default"/>
      </w:rPr>
    </w:lvl>
    <w:lvl w:ilvl="2" w:tplc="FFFFFFFF">
      <w:start w:val="1"/>
      <w:numFmt w:val="bullet"/>
      <w:lvlText w:val=""/>
      <w:lvlJc w:val="left"/>
      <w:pPr>
        <w:ind w:left="5544" w:hanging="360"/>
      </w:pPr>
      <w:rPr>
        <w:rFonts w:ascii="Wingdings" w:hAnsi="Wingdings" w:hint="default"/>
      </w:rPr>
    </w:lvl>
    <w:lvl w:ilvl="3" w:tplc="FFFFFFFF">
      <w:start w:val="1"/>
      <w:numFmt w:val="bullet"/>
      <w:lvlText w:val=""/>
      <w:lvlJc w:val="left"/>
      <w:pPr>
        <w:ind w:left="6264" w:hanging="360"/>
      </w:pPr>
      <w:rPr>
        <w:rFonts w:ascii="Symbol" w:hAnsi="Symbol" w:hint="default"/>
      </w:rPr>
    </w:lvl>
    <w:lvl w:ilvl="4" w:tplc="FFFFFFFF">
      <w:start w:val="1"/>
      <w:numFmt w:val="bullet"/>
      <w:lvlText w:val="o"/>
      <w:lvlJc w:val="left"/>
      <w:pPr>
        <w:ind w:left="6984" w:hanging="360"/>
      </w:pPr>
      <w:rPr>
        <w:rFonts w:ascii="Courier New" w:hAnsi="Courier New" w:cs="Courier New" w:hint="default"/>
      </w:rPr>
    </w:lvl>
    <w:lvl w:ilvl="5" w:tplc="FFFFFFFF">
      <w:start w:val="1"/>
      <w:numFmt w:val="bullet"/>
      <w:lvlText w:val=""/>
      <w:lvlJc w:val="left"/>
      <w:pPr>
        <w:ind w:left="7704" w:hanging="360"/>
      </w:pPr>
      <w:rPr>
        <w:rFonts w:ascii="Wingdings" w:hAnsi="Wingdings" w:hint="default"/>
      </w:rPr>
    </w:lvl>
    <w:lvl w:ilvl="6" w:tplc="FFFFFFFF">
      <w:start w:val="1"/>
      <w:numFmt w:val="bullet"/>
      <w:lvlText w:val=""/>
      <w:lvlJc w:val="left"/>
      <w:pPr>
        <w:ind w:left="8424" w:hanging="360"/>
      </w:pPr>
      <w:rPr>
        <w:rFonts w:ascii="Symbol" w:hAnsi="Symbol" w:hint="default"/>
      </w:rPr>
    </w:lvl>
    <w:lvl w:ilvl="7" w:tplc="FFFFFFFF">
      <w:start w:val="1"/>
      <w:numFmt w:val="bullet"/>
      <w:lvlText w:val="o"/>
      <w:lvlJc w:val="left"/>
      <w:pPr>
        <w:ind w:left="9144" w:hanging="360"/>
      </w:pPr>
      <w:rPr>
        <w:rFonts w:ascii="Courier New" w:hAnsi="Courier New" w:cs="Courier New" w:hint="default"/>
      </w:rPr>
    </w:lvl>
    <w:lvl w:ilvl="8" w:tplc="FFFFFFFF">
      <w:start w:val="1"/>
      <w:numFmt w:val="bullet"/>
      <w:lvlText w:val=""/>
      <w:lvlJc w:val="left"/>
      <w:pPr>
        <w:ind w:left="9864" w:hanging="360"/>
      </w:pPr>
      <w:rPr>
        <w:rFonts w:ascii="Wingdings" w:hAnsi="Wingdings" w:hint="default"/>
      </w:rPr>
    </w:lvl>
  </w:abstractNum>
  <w:abstractNum w:abstractNumId="28" w15:restartNumberingAfterBreak="0">
    <w:nsid w:val="4FB64A03"/>
    <w:multiLevelType w:val="multilevel"/>
    <w:tmpl w:val="204A2108"/>
    <w:lvl w:ilvl="0">
      <w:start w:val="4"/>
      <w:numFmt w:val="decimal"/>
      <w:lvlText w:val="%1."/>
      <w:lvlJc w:val="left"/>
      <w:pPr>
        <w:ind w:left="400" w:hanging="400"/>
      </w:pPr>
      <w:rPr>
        <w:rFonts w:cs="Arial" w:hint="default"/>
        <w:b w:val="0"/>
      </w:rPr>
    </w:lvl>
    <w:lvl w:ilvl="1">
      <w:start w:val="1"/>
      <w:numFmt w:val="decimal"/>
      <w:lvlText w:val="%1.%2."/>
      <w:lvlJc w:val="left"/>
      <w:pPr>
        <w:ind w:left="1440" w:hanging="720"/>
      </w:pPr>
      <w:rPr>
        <w:rFonts w:cs="Arial" w:hint="default"/>
        <w:b w:val="0"/>
      </w:rPr>
    </w:lvl>
    <w:lvl w:ilvl="2">
      <w:start w:val="1"/>
      <w:numFmt w:val="decimal"/>
      <w:lvlText w:val="%1.%2.%3."/>
      <w:lvlJc w:val="left"/>
      <w:pPr>
        <w:ind w:left="2160" w:hanging="720"/>
      </w:pPr>
      <w:rPr>
        <w:rFonts w:cs="Arial" w:hint="default"/>
        <w:b w:val="0"/>
      </w:rPr>
    </w:lvl>
    <w:lvl w:ilvl="3">
      <w:start w:val="1"/>
      <w:numFmt w:val="decimal"/>
      <w:lvlText w:val="%1.%2.%3.%4."/>
      <w:lvlJc w:val="left"/>
      <w:pPr>
        <w:ind w:left="3240" w:hanging="1080"/>
      </w:pPr>
      <w:rPr>
        <w:rFonts w:cs="Arial" w:hint="default"/>
        <w:b w:val="0"/>
      </w:rPr>
    </w:lvl>
    <w:lvl w:ilvl="4">
      <w:start w:val="1"/>
      <w:numFmt w:val="decimal"/>
      <w:lvlText w:val="%1.%2.%3.%4.%5."/>
      <w:lvlJc w:val="left"/>
      <w:pPr>
        <w:ind w:left="3960" w:hanging="1080"/>
      </w:pPr>
      <w:rPr>
        <w:rFonts w:cs="Arial" w:hint="default"/>
        <w:b w:val="0"/>
      </w:rPr>
    </w:lvl>
    <w:lvl w:ilvl="5">
      <w:start w:val="1"/>
      <w:numFmt w:val="decimal"/>
      <w:lvlText w:val="%1.%2.%3.%4.%5.%6."/>
      <w:lvlJc w:val="left"/>
      <w:pPr>
        <w:ind w:left="5040" w:hanging="1440"/>
      </w:pPr>
      <w:rPr>
        <w:rFonts w:cs="Arial" w:hint="default"/>
        <w:b w:val="0"/>
      </w:rPr>
    </w:lvl>
    <w:lvl w:ilvl="6">
      <w:start w:val="1"/>
      <w:numFmt w:val="decimal"/>
      <w:lvlText w:val="%1.%2.%3.%4.%5.%6.%7."/>
      <w:lvlJc w:val="left"/>
      <w:pPr>
        <w:ind w:left="6120" w:hanging="1800"/>
      </w:pPr>
      <w:rPr>
        <w:rFonts w:cs="Arial" w:hint="default"/>
        <w:b w:val="0"/>
      </w:rPr>
    </w:lvl>
    <w:lvl w:ilvl="7">
      <w:start w:val="1"/>
      <w:numFmt w:val="decimal"/>
      <w:lvlText w:val="%1.%2.%3.%4.%5.%6.%7.%8."/>
      <w:lvlJc w:val="left"/>
      <w:pPr>
        <w:ind w:left="6840" w:hanging="1800"/>
      </w:pPr>
      <w:rPr>
        <w:rFonts w:cs="Arial" w:hint="default"/>
        <w:b w:val="0"/>
      </w:rPr>
    </w:lvl>
    <w:lvl w:ilvl="8">
      <w:start w:val="1"/>
      <w:numFmt w:val="decimal"/>
      <w:lvlText w:val="%1.%2.%3.%4.%5.%6.%7.%8.%9."/>
      <w:lvlJc w:val="left"/>
      <w:pPr>
        <w:ind w:left="7920" w:hanging="2160"/>
      </w:pPr>
      <w:rPr>
        <w:rFonts w:cs="Arial" w:hint="default"/>
        <w:b w:val="0"/>
      </w:rPr>
    </w:lvl>
  </w:abstractNum>
  <w:abstractNum w:abstractNumId="29" w15:restartNumberingAfterBreak="0">
    <w:nsid w:val="52803307"/>
    <w:multiLevelType w:val="hybridMultilevel"/>
    <w:tmpl w:val="6AC6BB48"/>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0" w15:restartNumberingAfterBreak="0">
    <w:nsid w:val="58BC5C06"/>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63E21B40"/>
    <w:multiLevelType w:val="multilevel"/>
    <w:tmpl w:val="E42AAEAE"/>
    <w:lvl w:ilvl="0">
      <w:start w:val="3"/>
      <w:numFmt w:val="decimal"/>
      <w:lvlText w:val="%1"/>
      <w:lvlJc w:val="left"/>
      <w:pPr>
        <w:ind w:left="360" w:hanging="360"/>
      </w:pPr>
    </w:lvl>
    <w:lvl w:ilvl="1">
      <w:start w:val="1"/>
      <w:numFmt w:val="decimal"/>
      <w:lvlText w:val="%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2" w15:restartNumberingAfterBreak="0">
    <w:nsid w:val="79FA3F83"/>
    <w:multiLevelType w:val="multilevel"/>
    <w:tmpl w:val="EBE2C89A"/>
    <w:lvl w:ilvl="0">
      <w:start w:val="1"/>
      <w:numFmt w:val="decimal"/>
      <w:lvlText w:val="%1."/>
      <w:lvlJc w:val="left"/>
      <w:pPr>
        <w:tabs>
          <w:tab w:val="num" w:pos="720"/>
        </w:tabs>
        <w:ind w:left="720" w:hanging="360"/>
      </w:pPr>
      <w:rPr>
        <w:b w:val="0"/>
        <w:sz w:val="20"/>
        <w:szCs w:val="20"/>
      </w:rPr>
    </w:lvl>
    <w:lvl w:ilvl="1">
      <w:start w:val="1"/>
      <w:numFmt w:val="decimal"/>
      <w:isLgl/>
      <w:lvlText w:val="%1.%2."/>
      <w:lvlJc w:val="left"/>
      <w:pPr>
        <w:tabs>
          <w:tab w:val="num" w:pos="786"/>
        </w:tabs>
        <w:ind w:left="786" w:hanging="360"/>
      </w:pPr>
      <w:rPr>
        <w:rFonts w:ascii="Trebuchet MS" w:hAnsi="Trebuchet MS" w:hint="default"/>
        <w:b w:val="0"/>
        <w:sz w:val="20"/>
        <w:szCs w:val="20"/>
      </w:rPr>
    </w:lvl>
    <w:lvl w:ilvl="2">
      <w:start w:val="1"/>
      <w:numFmt w:val="decimal"/>
      <w:isLgl/>
      <w:lvlText w:val="%1.%2.%3."/>
      <w:lvlJc w:val="left"/>
      <w:pPr>
        <w:tabs>
          <w:tab w:val="num" w:pos="1855"/>
        </w:tabs>
        <w:ind w:left="1855" w:hanging="720"/>
      </w:pPr>
      <w:rPr>
        <w:rFonts w:hint="default"/>
        <w:b w:val="0"/>
        <w:sz w:val="22"/>
        <w:szCs w:val="22"/>
      </w:rPr>
    </w:lvl>
    <w:lvl w:ilvl="3">
      <w:start w:val="1"/>
      <w:numFmt w:val="decimal"/>
      <w:isLgl/>
      <w:lvlText w:val="%1.%2.%3.%4."/>
      <w:lvlJc w:val="left"/>
      <w:pPr>
        <w:tabs>
          <w:tab w:val="num" w:pos="1080"/>
        </w:tabs>
        <w:ind w:left="1080" w:hanging="720"/>
      </w:pPr>
      <w:rPr>
        <w:rFonts w:hint="default"/>
        <w:b/>
        <w:sz w:val="20"/>
      </w:rPr>
    </w:lvl>
    <w:lvl w:ilvl="4">
      <w:start w:val="1"/>
      <w:numFmt w:val="decimal"/>
      <w:isLgl/>
      <w:lvlText w:val="%1.%2.%3.%4.%5."/>
      <w:lvlJc w:val="left"/>
      <w:pPr>
        <w:tabs>
          <w:tab w:val="num" w:pos="1440"/>
        </w:tabs>
        <w:ind w:left="1440" w:hanging="1080"/>
      </w:pPr>
      <w:rPr>
        <w:rFonts w:hint="default"/>
        <w:b/>
        <w:sz w:val="20"/>
      </w:rPr>
    </w:lvl>
    <w:lvl w:ilvl="5">
      <w:start w:val="1"/>
      <w:numFmt w:val="decimal"/>
      <w:isLgl/>
      <w:lvlText w:val="%1.%2.%3.%4.%5.%6."/>
      <w:lvlJc w:val="left"/>
      <w:pPr>
        <w:tabs>
          <w:tab w:val="num" w:pos="1440"/>
        </w:tabs>
        <w:ind w:left="1440" w:hanging="1080"/>
      </w:pPr>
      <w:rPr>
        <w:rFonts w:hint="default"/>
        <w:b/>
        <w:sz w:val="20"/>
      </w:rPr>
    </w:lvl>
    <w:lvl w:ilvl="6">
      <w:start w:val="1"/>
      <w:numFmt w:val="decimal"/>
      <w:isLgl/>
      <w:lvlText w:val="%1.%2.%3.%4.%5.%6.%7."/>
      <w:lvlJc w:val="left"/>
      <w:pPr>
        <w:tabs>
          <w:tab w:val="num" w:pos="1800"/>
        </w:tabs>
        <w:ind w:left="1800" w:hanging="1440"/>
      </w:pPr>
      <w:rPr>
        <w:rFonts w:hint="default"/>
        <w:b/>
        <w:sz w:val="20"/>
      </w:rPr>
    </w:lvl>
    <w:lvl w:ilvl="7">
      <w:start w:val="1"/>
      <w:numFmt w:val="decimal"/>
      <w:isLgl/>
      <w:lvlText w:val="%1.%2.%3.%4.%5.%6.%7.%8."/>
      <w:lvlJc w:val="left"/>
      <w:pPr>
        <w:tabs>
          <w:tab w:val="num" w:pos="1800"/>
        </w:tabs>
        <w:ind w:left="1800" w:hanging="1440"/>
      </w:pPr>
      <w:rPr>
        <w:rFonts w:hint="default"/>
        <w:b/>
        <w:sz w:val="20"/>
      </w:rPr>
    </w:lvl>
    <w:lvl w:ilvl="8">
      <w:start w:val="1"/>
      <w:numFmt w:val="decimal"/>
      <w:isLgl/>
      <w:lvlText w:val="%1.%2.%3.%4.%5.%6.%7.%8.%9."/>
      <w:lvlJc w:val="left"/>
      <w:pPr>
        <w:tabs>
          <w:tab w:val="num" w:pos="2160"/>
        </w:tabs>
        <w:ind w:left="2160" w:hanging="1800"/>
      </w:pPr>
      <w:rPr>
        <w:rFonts w:hint="default"/>
        <w:b/>
        <w:sz w:val="20"/>
      </w:rPr>
    </w:lvl>
  </w:abstractNum>
  <w:abstractNum w:abstractNumId="33" w15:restartNumberingAfterBreak="0">
    <w:nsid w:val="7E137DCF"/>
    <w:multiLevelType w:val="singleLevel"/>
    <w:tmpl w:val="C0CA9868"/>
    <w:lvl w:ilvl="0">
      <w:start w:val="1"/>
      <w:numFmt w:val="bullet"/>
      <w:pStyle w:val="BlockText"/>
      <w:lvlText w:val=""/>
      <w:lvlJc w:val="left"/>
      <w:pPr>
        <w:tabs>
          <w:tab w:val="num" w:pos="360"/>
        </w:tabs>
        <w:ind w:left="0" w:firstLine="0"/>
      </w:pPr>
      <w:rPr>
        <w:rFonts w:ascii="Symbol" w:hAnsi="Symbol" w:hint="default"/>
      </w:rPr>
    </w:lvl>
  </w:abstractNum>
  <w:abstractNum w:abstractNumId="34" w15:restartNumberingAfterBreak="0">
    <w:nsid w:val="7F617C7D"/>
    <w:multiLevelType w:val="multilevel"/>
    <w:tmpl w:val="219EF15E"/>
    <w:lvl w:ilvl="0">
      <w:start w:val="1"/>
      <w:numFmt w:val="decimal"/>
      <w:lvlText w:val="%1"/>
      <w:lvlJc w:val="left"/>
      <w:pPr>
        <w:ind w:left="360" w:hanging="360"/>
      </w:pPr>
      <w:rPr>
        <w:rFonts w:hint="default"/>
        <w:color w:val="auto"/>
      </w:rPr>
    </w:lvl>
    <w:lvl w:ilvl="1">
      <w:start w:val="1"/>
      <w:numFmt w:val="decimal"/>
      <w:lvlText w:val="1.2.%2."/>
      <w:lvlJc w:val="left"/>
      <w:pPr>
        <w:ind w:left="786" w:hanging="360"/>
      </w:pPr>
      <w:rPr>
        <w:rFonts w:cs="Times" w:hint="default"/>
        <w:color w:val="auto"/>
      </w:rPr>
    </w:lvl>
    <w:lvl w:ilvl="2">
      <w:start w:val="1"/>
      <w:numFmt w:val="decimal"/>
      <w:lvlText w:val="%1.%2.%3"/>
      <w:lvlJc w:val="left"/>
      <w:pPr>
        <w:ind w:left="1572" w:hanging="720"/>
      </w:pPr>
      <w:rPr>
        <w:rFonts w:hint="default"/>
        <w:color w:val="auto"/>
      </w:rPr>
    </w:lvl>
    <w:lvl w:ilvl="3">
      <w:start w:val="1"/>
      <w:numFmt w:val="decimal"/>
      <w:lvlText w:val="%1.%2.%3.%4"/>
      <w:lvlJc w:val="left"/>
      <w:pPr>
        <w:ind w:left="1998" w:hanging="720"/>
      </w:pPr>
      <w:rPr>
        <w:rFonts w:hint="default"/>
        <w:color w:val="auto"/>
      </w:rPr>
    </w:lvl>
    <w:lvl w:ilvl="4">
      <w:start w:val="1"/>
      <w:numFmt w:val="decimal"/>
      <w:lvlText w:val="%1.%2.%3.%4.%5"/>
      <w:lvlJc w:val="left"/>
      <w:pPr>
        <w:ind w:left="2784" w:hanging="1080"/>
      </w:pPr>
      <w:rPr>
        <w:rFonts w:hint="default"/>
        <w:color w:val="auto"/>
      </w:rPr>
    </w:lvl>
    <w:lvl w:ilvl="5">
      <w:start w:val="1"/>
      <w:numFmt w:val="decimal"/>
      <w:lvlText w:val="%1.%2.%3.%4.%5.%6"/>
      <w:lvlJc w:val="left"/>
      <w:pPr>
        <w:ind w:left="3210" w:hanging="1080"/>
      </w:pPr>
      <w:rPr>
        <w:rFonts w:hint="default"/>
        <w:color w:val="auto"/>
      </w:rPr>
    </w:lvl>
    <w:lvl w:ilvl="6">
      <w:start w:val="1"/>
      <w:numFmt w:val="decimal"/>
      <w:lvlText w:val="%1.%2.%3.%4.%5.%6.%7"/>
      <w:lvlJc w:val="left"/>
      <w:pPr>
        <w:ind w:left="3996" w:hanging="1440"/>
      </w:pPr>
      <w:rPr>
        <w:rFonts w:hint="default"/>
        <w:color w:val="auto"/>
      </w:rPr>
    </w:lvl>
    <w:lvl w:ilvl="7">
      <w:start w:val="1"/>
      <w:numFmt w:val="decimal"/>
      <w:lvlText w:val="%1.%2.%3.%4.%5.%6.%7.%8"/>
      <w:lvlJc w:val="left"/>
      <w:pPr>
        <w:ind w:left="4422" w:hanging="1440"/>
      </w:pPr>
      <w:rPr>
        <w:rFonts w:hint="default"/>
        <w:color w:val="auto"/>
      </w:rPr>
    </w:lvl>
    <w:lvl w:ilvl="8">
      <w:start w:val="1"/>
      <w:numFmt w:val="decimal"/>
      <w:lvlText w:val="%1.%2.%3.%4.%5.%6.%7.%8.%9"/>
      <w:lvlJc w:val="left"/>
      <w:pPr>
        <w:ind w:left="5208" w:hanging="1800"/>
      </w:pPr>
      <w:rPr>
        <w:rFonts w:hint="default"/>
        <w:color w:val="auto"/>
      </w:rPr>
    </w:lvl>
  </w:abstractNum>
  <w:num w:numId="1" w16cid:durableId="694035405">
    <w:abstractNumId w:val="26"/>
  </w:num>
  <w:num w:numId="2" w16cid:durableId="1845974164">
    <w:abstractNumId w:val="33"/>
  </w:num>
  <w:num w:numId="3" w16cid:durableId="1178160442">
    <w:abstractNumId w:val="6"/>
  </w:num>
  <w:num w:numId="4" w16cid:durableId="1252468807">
    <w:abstractNumId w:val="34"/>
  </w:num>
  <w:num w:numId="5" w16cid:durableId="1017852795">
    <w:abstractNumId w:val="0"/>
  </w:num>
  <w:num w:numId="6" w16cid:durableId="1097404182">
    <w:abstractNumId w:val="21"/>
  </w:num>
  <w:num w:numId="7" w16cid:durableId="64497567">
    <w:abstractNumId w:val="24"/>
  </w:num>
  <w:num w:numId="8" w16cid:durableId="1579173201">
    <w:abstractNumId w:val="22"/>
  </w:num>
  <w:num w:numId="9" w16cid:durableId="141895428">
    <w:abstractNumId w:val="10"/>
  </w:num>
  <w:num w:numId="10" w16cid:durableId="467750422">
    <w:abstractNumId w:val="16"/>
  </w:num>
  <w:num w:numId="11" w16cid:durableId="47458239">
    <w:abstractNumId w:val="15"/>
  </w:num>
  <w:num w:numId="12" w16cid:durableId="470441535">
    <w:abstractNumId w:val="4"/>
  </w:num>
  <w:num w:numId="13" w16cid:durableId="847524877">
    <w:abstractNumId w:val="3"/>
  </w:num>
  <w:num w:numId="14" w16cid:durableId="1571650403">
    <w:abstractNumId w:val="2"/>
  </w:num>
  <w:num w:numId="15" w16cid:durableId="556358355">
    <w:abstractNumId w:val="14"/>
  </w:num>
  <w:num w:numId="16" w16cid:durableId="142445073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10175816">
    <w:abstractNumId w:val="20"/>
  </w:num>
  <w:num w:numId="18" w16cid:durableId="1160775596">
    <w:abstractNumId w:val="9"/>
  </w:num>
  <w:num w:numId="19" w16cid:durableId="67772011">
    <w:abstractNumId w:val="7"/>
  </w:num>
  <w:num w:numId="20" w16cid:durableId="1460296520">
    <w:abstractNumId w:val="31"/>
  </w:num>
  <w:num w:numId="21" w16cid:durableId="1326588054">
    <w:abstractNumId w:val="5"/>
  </w:num>
  <w:num w:numId="22" w16cid:durableId="2026975258">
    <w:abstractNumId w:val="32"/>
  </w:num>
  <w:num w:numId="23" w16cid:durableId="88740683">
    <w:abstractNumId w:val="19"/>
  </w:num>
  <w:num w:numId="24" w16cid:durableId="411244635">
    <w:abstractNumId w:val="29"/>
  </w:num>
  <w:num w:numId="25" w16cid:durableId="163515104">
    <w:abstractNumId w:val="18"/>
  </w:num>
  <w:num w:numId="26" w16cid:durableId="740828751">
    <w:abstractNumId w:val="25"/>
  </w:num>
  <w:num w:numId="27" w16cid:durableId="182598414">
    <w:abstractNumId w:val="30"/>
  </w:num>
  <w:num w:numId="28" w16cid:durableId="1972202333">
    <w:abstractNumId w:val="13"/>
  </w:num>
  <w:num w:numId="29" w16cid:durableId="626547847">
    <w:abstractNumId w:val="8"/>
  </w:num>
  <w:num w:numId="30" w16cid:durableId="2092966870">
    <w:abstractNumId w:val="17"/>
  </w:num>
  <w:num w:numId="31" w16cid:durableId="1689141439">
    <w:abstractNumId w:val="27"/>
  </w:num>
  <w:num w:numId="32" w16cid:durableId="348602576">
    <w:abstractNumId w:val="12"/>
  </w:num>
  <w:num w:numId="33" w16cid:durableId="192547871">
    <w:abstractNumId w:val="1"/>
  </w:num>
  <w:num w:numId="34" w16cid:durableId="15666642">
    <w:abstractNumId w:val="11"/>
  </w:num>
  <w:num w:numId="35" w16cid:durableId="1194684519">
    <w:abstractNumId w:val="23"/>
  </w:num>
  <w:num w:numId="36" w16cid:durableId="1571503418">
    <w:abstractNumId w:val="2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4E5F"/>
    <w:rsid w:val="00000907"/>
    <w:rsid w:val="0000115A"/>
    <w:rsid w:val="000011EC"/>
    <w:rsid w:val="000013C2"/>
    <w:rsid w:val="0000395A"/>
    <w:rsid w:val="00005FEF"/>
    <w:rsid w:val="00007007"/>
    <w:rsid w:val="00016953"/>
    <w:rsid w:val="00016D4A"/>
    <w:rsid w:val="00020C0A"/>
    <w:rsid w:val="00024A07"/>
    <w:rsid w:val="00024CA3"/>
    <w:rsid w:val="000253C5"/>
    <w:rsid w:val="00031556"/>
    <w:rsid w:val="00034DA2"/>
    <w:rsid w:val="000375FB"/>
    <w:rsid w:val="000464CA"/>
    <w:rsid w:val="0004679B"/>
    <w:rsid w:val="00046F20"/>
    <w:rsid w:val="000514A2"/>
    <w:rsid w:val="000544BA"/>
    <w:rsid w:val="00054597"/>
    <w:rsid w:val="00056294"/>
    <w:rsid w:val="000609F7"/>
    <w:rsid w:val="00064694"/>
    <w:rsid w:val="000653F2"/>
    <w:rsid w:val="00070134"/>
    <w:rsid w:val="00070D12"/>
    <w:rsid w:val="000725C2"/>
    <w:rsid w:val="00081EFD"/>
    <w:rsid w:val="00082DDE"/>
    <w:rsid w:val="000839EE"/>
    <w:rsid w:val="000859A3"/>
    <w:rsid w:val="00085D4B"/>
    <w:rsid w:val="000901F2"/>
    <w:rsid w:val="000916D7"/>
    <w:rsid w:val="00092268"/>
    <w:rsid w:val="00095EB6"/>
    <w:rsid w:val="00097120"/>
    <w:rsid w:val="000A103D"/>
    <w:rsid w:val="000A40F4"/>
    <w:rsid w:val="000A4E5F"/>
    <w:rsid w:val="000B474F"/>
    <w:rsid w:val="000C0C2B"/>
    <w:rsid w:val="000C4EE8"/>
    <w:rsid w:val="000C67BD"/>
    <w:rsid w:val="000D114B"/>
    <w:rsid w:val="000D36F4"/>
    <w:rsid w:val="000D56FB"/>
    <w:rsid w:val="000D7159"/>
    <w:rsid w:val="000E2A7C"/>
    <w:rsid w:val="000E44BC"/>
    <w:rsid w:val="000E4F8C"/>
    <w:rsid w:val="000E6422"/>
    <w:rsid w:val="000F17EB"/>
    <w:rsid w:val="0010231F"/>
    <w:rsid w:val="001027EC"/>
    <w:rsid w:val="00103992"/>
    <w:rsid w:val="00104C0E"/>
    <w:rsid w:val="001109B9"/>
    <w:rsid w:val="00114441"/>
    <w:rsid w:val="0011770C"/>
    <w:rsid w:val="00120B43"/>
    <w:rsid w:val="00121AA9"/>
    <w:rsid w:val="00121C90"/>
    <w:rsid w:val="0012650F"/>
    <w:rsid w:val="00126A54"/>
    <w:rsid w:val="00126DF3"/>
    <w:rsid w:val="0012707C"/>
    <w:rsid w:val="00130681"/>
    <w:rsid w:val="00131B98"/>
    <w:rsid w:val="001336E7"/>
    <w:rsid w:val="001350AB"/>
    <w:rsid w:val="00136B06"/>
    <w:rsid w:val="001377A2"/>
    <w:rsid w:val="0014098B"/>
    <w:rsid w:val="00141558"/>
    <w:rsid w:val="0014237B"/>
    <w:rsid w:val="00143710"/>
    <w:rsid w:val="001475A9"/>
    <w:rsid w:val="00153F07"/>
    <w:rsid w:val="00157E74"/>
    <w:rsid w:val="0016201F"/>
    <w:rsid w:val="00162616"/>
    <w:rsid w:val="00163EE6"/>
    <w:rsid w:val="0017008E"/>
    <w:rsid w:val="001706BC"/>
    <w:rsid w:val="001751C7"/>
    <w:rsid w:val="001760D4"/>
    <w:rsid w:val="00176F7F"/>
    <w:rsid w:val="001772DA"/>
    <w:rsid w:val="00183E04"/>
    <w:rsid w:val="00184C8E"/>
    <w:rsid w:val="00190E50"/>
    <w:rsid w:val="00191A0C"/>
    <w:rsid w:val="00193B9B"/>
    <w:rsid w:val="00195031"/>
    <w:rsid w:val="001A10EC"/>
    <w:rsid w:val="001A46AF"/>
    <w:rsid w:val="001B0888"/>
    <w:rsid w:val="001B0C9B"/>
    <w:rsid w:val="001B1AB1"/>
    <w:rsid w:val="001B2C14"/>
    <w:rsid w:val="001B45A3"/>
    <w:rsid w:val="001B5A47"/>
    <w:rsid w:val="001C0290"/>
    <w:rsid w:val="001C0ADF"/>
    <w:rsid w:val="001C1BB6"/>
    <w:rsid w:val="001C4EB3"/>
    <w:rsid w:val="001D0B09"/>
    <w:rsid w:val="001D0DD0"/>
    <w:rsid w:val="001D27A3"/>
    <w:rsid w:val="001D613D"/>
    <w:rsid w:val="001D652E"/>
    <w:rsid w:val="001D6F01"/>
    <w:rsid w:val="001E2854"/>
    <w:rsid w:val="001E2E4C"/>
    <w:rsid w:val="001E391C"/>
    <w:rsid w:val="001E6173"/>
    <w:rsid w:val="001E618A"/>
    <w:rsid w:val="001E7738"/>
    <w:rsid w:val="001F019E"/>
    <w:rsid w:val="001F0986"/>
    <w:rsid w:val="001F1866"/>
    <w:rsid w:val="001F533F"/>
    <w:rsid w:val="00203021"/>
    <w:rsid w:val="00204E8C"/>
    <w:rsid w:val="00205FBE"/>
    <w:rsid w:val="00206C35"/>
    <w:rsid w:val="0020755F"/>
    <w:rsid w:val="00212625"/>
    <w:rsid w:val="00214542"/>
    <w:rsid w:val="00215A26"/>
    <w:rsid w:val="0022032E"/>
    <w:rsid w:val="0022034F"/>
    <w:rsid w:val="00220CD5"/>
    <w:rsid w:val="002215D2"/>
    <w:rsid w:val="0022278B"/>
    <w:rsid w:val="0022456E"/>
    <w:rsid w:val="00225728"/>
    <w:rsid w:val="0022728D"/>
    <w:rsid w:val="00231311"/>
    <w:rsid w:val="00233026"/>
    <w:rsid w:val="00240209"/>
    <w:rsid w:val="002413C7"/>
    <w:rsid w:val="002460F8"/>
    <w:rsid w:val="002475DB"/>
    <w:rsid w:val="00250535"/>
    <w:rsid w:val="002519F8"/>
    <w:rsid w:val="00254319"/>
    <w:rsid w:val="002547A1"/>
    <w:rsid w:val="002558EC"/>
    <w:rsid w:val="00260B35"/>
    <w:rsid w:val="0026420C"/>
    <w:rsid w:val="0026457E"/>
    <w:rsid w:val="00265723"/>
    <w:rsid w:val="00273C27"/>
    <w:rsid w:val="00274AAE"/>
    <w:rsid w:val="00276E13"/>
    <w:rsid w:val="002802DE"/>
    <w:rsid w:val="002809A6"/>
    <w:rsid w:val="00286049"/>
    <w:rsid w:val="00287186"/>
    <w:rsid w:val="002902D8"/>
    <w:rsid w:val="002904EC"/>
    <w:rsid w:val="00290594"/>
    <w:rsid w:val="00290974"/>
    <w:rsid w:val="002917EC"/>
    <w:rsid w:val="00291DCE"/>
    <w:rsid w:val="00293B2F"/>
    <w:rsid w:val="002942EC"/>
    <w:rsid w:val="002949E5"/>
    <w:rsid w:val="00295142"/>
    <w:rsid w:val="00295EA1"/>
    <w:rsid w:val="002962FF"/>
    <w:rsid w:val="00296773"/>
    <w:rsid w:val="00297A3D"/>
    <w:rsid w:val="002A3D8B"/>
    <w:rsid w:val="002A41D8"/>
    <w:rsid w:val="002A5949"/>
    <w:rsid w:val="002B08AE"/>
    <w:rsid w:val="002B278A"/>
    <w:rsid w:val="002B4BCC"/>
    <w:rsid w:val="002C0617"/>
    <w:rsid w:val="002C0CD9"/>
    <w:rsid w:val="002C1295"/>
    <w:rsid w:val="002C1928"/>
    <w:rsid w:val="002C6101"/>
    <w:rsid w:val="002D0F33"/>
    <w:rsid w:val="002D14BD"/>
    <w:rsid w:val="002D3821"/>
    <w:rsid w:val="002D4CF0"/>
    <w:rsid w:val="002D674D"/>
    <w:rsid w:val="002D6C3F"/>
    <w:rsid w:val="002E50E8"/>
    <w:rsid w:val="002E7354"/>
    <w:rsid w:val="002E7EC4"/>
    <w:rsid w:val="002F2A52"/>
    <w:rsid w:val="002F2EF3"/>
    <w:rsid w:val="002F51FB"/>
    <w:rsid w:val="002F63DE"/>
    <w:rsid w:val="002F7EE2"/>
    <w:rsid w:val="003012AE"/>
    <w:rsid w:val="00301B3A"/>
    <w:rsid w:val="003039D6"/>
    <w:rsid w:val="00311AF6"/>
    <w:rsid w:val="00312066"/>
    <w:rsid w:val="003145BE"/>
    <w:rsid w:val="00317567"/>
    <w:rsid w:val="00317B7B"/>
    <w:rsid w:val="003214C0"/>
    <w:rsid w:val="00321651"/>
    <w:rsid w:val="00324AA9"/>
    <w:rsid w:val="00325E60"/>
    <w:rsid w:val="00326047"/>
    <w:rsid w:val="00327407"/>
    <w:rsid w:val="00327F33"/>
    <w:rsid w:val="003323E7"/>
    <w:rsid w:val="0033425A"/>
    <w:rsid w:val="00337CEB"/>
    <w:rsid w:val="00340C3A"/>
    <w:rsid w:val="00341BD8"/>
    <w:rsid w:val="00341E06"/>
    <w:rsid w:val="00341F33"/>
    <w:rsid w:val="0034590C"/>
    <w:rsid w:val="003535D3"/>
    <w:rsid w:val="00354278"/>
    <w:rsid w:val="00355C72"/>
    <w:rsid w:val="00361803"/>
    <w:rsid w:val="00361D46"/>
    <w:rsid w:val="003646E4"/>
    <w:rsid w:val="00376546"/>
    <w:rsid w:val="003768EF"/>
    <w:rsid w:val="00381A58"/>
    <w:rsid w:val="003836C4"/>
    <w:rsid w:val="00384D28"/>
    <w:rsid w:val="00391055"/>
    <w:rsid w:val="00397576"/>
    <w:rsid w:val="003A1577"/>
    <w:rsid w:val="003A1A2F"/>
    <w:rsid w:val="003A50DB"/>
    <w:rsid w:val="003A5840"/>
    <w:rsid w:val="003A6CA0"/>
    <w:rsid w:val="003B1A6E"/>
    <w:rsid w:val="003B221B"/>
    <w:rsid w:val="003B22A0"/>
    <w:rsid w:val="003B37A0"/>
    <w:rsid w:val="003B4F97"/>
    <w:rsid w:val="003C14A8"/>
    <w:rsid w:val="003C26F3"/>
    <w:rsid w:val="003C4906"/>
    <w:rsid w:val="003C69F3"/>
    <w:rsid w:val="003D37CF"/>
    <w:rsid w:val="003E18BE"/>
    <w:rsid w:val="003E2DC2"/>
    <w:rsid w:val="003E53BC"/>
    <w:rsid w:val="003F1561"/>
    <w:rsid w:val="003F23FF"/>
    <w:rsid w:val="003F5C55"/>
    <w:rsid w:val="003F69ED"/>
    <w:rsid w:val="004036F7"/>
    <w:rsid w:val="004040C0"/>
    <w:rsid w:val="00405FD4"/>
    <w:rsid w:val="00406168"/>
    <w:rsid w:val="00410E60"/>
    <w:rsid w:val="00410F18"/>
    <w:rsid w:val="0041189E"/>
    <w:rsid w:val="00414466"/>
    <w:rsid w:val="004227CD"/>
    <w:rsid w:val="00423BDE"/>
    <w:rsid w:val="004304CE"/>
    <w:rsid w:val="004321D4"/>
    <w:rsid w:val="00432CC5"/>
    <w:rsid w:val="00434298"/>
    <w:rsid w:val="0043485C"/>
    <w:rsid w:val="00434B6B"/>
    <w:rsid w:val="00434F9E"/>
    <w:rsid w:val="004367B6"/>
    <w:rsid w:val="00436989"/>
    <w:rsid w:val="00440A82"/>
    <w:rsid w:val="004430C5"/>
    <w:rsid w:val="00446C0C"/>
    <w:rsid w:val="00450A1F"/>
    <w:rsid w:val="00450D3A"/>
    <w:rsid w:val="00453385"/>
    <w:rsid w:val="00460C55"/>
    <w:rsid w:val="0046107B"/>
    <w:rsid w:val="0047472A"/>
    <w:rsid w:val="004753BD"/>
    <w:rsid w:val="00475652"/>
    <w:rsid w:val="00475D55"/>
    <w:rsid w:val="00477B07"/>
    <w:rsid w:val="00483966"/>
    <w:rsid w:val="004849D2"/>
    <w:rsid w:val="0048516C"/>
    <w:rsid w:val="00485EBC"/>
    <w:rsid w:val="00490070"/>
    <w:rsid w:val="00492EBD"/>
    <w:rsid w:val="004933B3"/>
    <w:rsid w:val="0049539D"/>
    <w:rsid w:val="00497E71"/>
    <w:rsid w:val="004A2F0B"/>
    <w:rsid w:val="004A47E7"/>
    <w:rsid w:val="004A7AE5"/>
    <w:rsid w:val="004B0A02"/>
    <w:rsid w:val="004B17D1"/>
    <w:rsid w:val="004B380C"/>
    <w:rsid w:val="004C1677"/>
    <w:rsid w:val="004C5991"/>
    <w:rsid w:val="004C5CA7"/>
    <w:rsid w:val="004C637C"/>
    <w:rsid w:val="004C765C"/>
    <w:rsid w:val="004D0C2E"/>
    <w:rsid w:val="004D158B"/>
    <w:rsid w:val="004D5144"/>
    <w:rsid w:val="004E286A"/>
    <w:rsid w:val="004E35D6"/>
    <w:rsid w:val="004E39DB"/>
    <w:rsid w:val="004E3A52"/>
    <w:rsid w:val="004E6A60"/>
    <w:rsid w:val="004F12F1"/>
    <w:rsid w:val="004F1F50"/>
    <w:rsid w:val="004F28B0"/>
    <w:rsid w:val="004F39C5"/>
    <w:rsid w:val="004F43A5"/>
    <w:rsid w:val="004F5028"/>
    <w:rsid w:val="004F65C1"/>
    <w:rsid w:val="004F6D9A"/>
    <w:rsid w:val="005022D0"/>
    <w:rsid w:val="005026AC"/>
    <w:rsid w:val="00506005"/>
    <w:rsid w:val="00511C69"/>
    <w:rsid w:val="00512256"/>
    <w:rsid w:val="00523329"/>
    <w:rsid w:val="00530166"/>
    <w:rsid w:val="00531059"/>
    <w:rsid w:val="005328E6"/>
    <w:rsid w:val="00534076"/>
    <w:rsid w:val="00534986"/>
    <w:rsid w:val="00534DE1"/>
    <w:rsid w:val="00536A01"/>
    <w:rsid w:val="00543EEE"/>
    <w:rsid w:val="0054424C"/>
    <w:rsid w:val="0054433F"/>
    <w:rsid w:val="00545972"/>
    <w:rsid w:val="00547712"/>
    <w:rsid w:val="00547A24"/>
    <w:rsid w:val="0055290D"/>
    <w:rsid w:val="00555E20"/>
    <w:rsid w:val="00560E17"/>
    <w:rsid w:val="00561850"/>
    <w:rsid w:val="005638B5"/>
    <w:rsid w:val="00564B5D"/>
    <w:rsid w:val="00570620"/>
    <w:rsid w:val="00570A86"/>
    <w:rsid w:val="00576DBA"/>
    <w:rsid w:val="00582E61"/>
    <w:rsid w:val="00582FB3"/>
    <w:rsid w:val="005839BE"/>
    <w:rsid w:val="00584C06"/>
    <w:rsid w:val="00586157"/>
    <w:rsid w:val="005874FA"/>
    <w:rsid w:val="0059049B"/>
    <w:rsid w:val="005908DB"/>
    <w:rsid w:val="00593876"/>
    <w:rsid w:val="005947F3"/>
    <w:rsid w:val="00596178"/>
    <w:rsid w:val="00597603"/>
    <w:rsid w:val="00597CC1"/>
    <w:rsid w:val="00597D0D"/>
    <w:rsid w:val="005A0DCD"/>
    <w:rsid w:val="005A2A1B"/>
    <w:rsid w:val="005A2F02"/>
    <w:rsid w:val="005A629B"/>
    <w:rsid w:val="005B2722"/>
    <w:rsid w:val="005B3237"/>
    <w:rsid w:val="005B67FD"/>
    <w:rsid w:val="005B7AB2"/>
    <w:rsid w:val="005B7B25"/>
    <w:rsid w:val="005C2AB5"/>
    <w:rsid w:val="005C39C1"/>
    <w:rsid w:val="005D119F"/>
    <w:rsid w:val="005D5E8D"/>
    <w:rsid w:val="005E1501"/>
    <w:rsid w:val="005E1E5D"/>
    <w:rsid w:val="005E5381"/>
    <w:rsid w:val="005F356F"/>
    <w:rsid w:val="005F3B54"/>
    <w:rsid w:val="005F4DDD"/>
    <w:rsid w:val="005F5F9F"/>
    <w:rsid w:val="00600FCC"/>
    <w:rsid w:val="00605475"/>
    <w:rsid w:val="00605BD3"/>
    <w:rsid w:val="00610B0A"/>
    <w:rsid w:val="00613628"/>
    <w:rsid w:val="00615695"/>
    <w:rsid w:val="00617A2B"/>
    <w:rsid w:val="00617C6B"/>
    <w:rsid w:val="006235A3"/>
    <w:rsid w:val="006247EE"/>
    <w:rsid w:val="00626F15"/>
    <w:rsid w:val="0063224D"/>
    <w:rsid w:val="00640309"/>
    <w:rsid w:val="00641B18"/>
    <w:rsid w:val="006458B4"/>
    <w:rsid w:val="006470A0"/>
    <w:rsid w:val="006503E6"/>
    <w:rsid w:val="006514F4"/>
    <w:rsid w:val="006515A8"/>
    <w:rsid w:val="006526F4"/>
    <w:rsid w:val="0065272D"/>
    <w:rsid w:val="00655EB9"/>
    <w:rsid w:val="00656A9B"/>
    <w:rsid w:val="0066028F"/>
    <w:rsid w:val="00663E24"/>
    <w:rsid w:val="00665A64"/>
    <w:rsid w:val="00665FA9"/>
    <w:rsid w:val="0066645A"/>
    <w:rsid w:val="00673834"/>
    <w:rsid w:val="00676715"/>
    <w:rsid w:val="0068180C"/>
    <w:rsid w:val="00682177"/>
    <w:rsid w:val="006857ED"/>
    <w:rsid w:val="00685D3A"/>
    <w:rsid w:val="00686A91"/>
    <w:rsid w:val="00686DC7"/>
    <w:rsid w:val="00690FC3"/>
    <w:rsid w:val="006915FD"/>
    <w:rsid w:val="006917D6"/>
    <w:rsid w:val="0069635C"/>
    <w:rsid w:val="006A034E"/>
    <w:rsid w:val="006B17D7"/>
    <w:rsid w:val="006B1F40"/>
    <w:rsid w:val="006B6091"/>
    <w:rsid w:val="006C044A"/>
    <w:rsid w:val="006C3ED7"/>
    <w:rsid w:val="006C4B16"/>
    <w:rsid w:val="006C4B78"/>
    <w:rsid w:val="006C5C46"/>
    <w:rsid w:val="006C5FED"/>
    <w:rsid w:val="006D0620"/>
    <w:rsid w:val="006D0E93"/>
    <w:rsid w:val="006D14E3"/>
    <w:rsid w:val="006D2190"/>
    <w:rsid w:val="006D527B"/>
    <w:rsid w:val="006D582F"/>
    <w:rsid w:val="006E227A"/>
    <w:rsid w:val="006F1B29"/>
    <w:rsid w:val="006F1FD9"/>
    <w:rsid w:val="006F43F2"/>
    <w:rsid w:val="006F53DC"/>
    <w:rsid w:val="00702C26"/>
    <w:rsid w:val="00705203"/>
    <w:rsid w:val="007115D3"/>
    <w:rsid w:val="007175CC"/>
    <w:rsid w:val="00721643"/>
    <w:rsid w:val="00721E95"/>
    <w:rsid w:val="007227CD"/>
    <w:rsid w:val="00730599"/>
    <w:rsid w:val="007321B4"/>
    <w:rsid w:val="0073592B"/>
    <w:rsid w:val="0074373C"/>
    <w:rsid w:val="00743AD6"/>
    <w:rsid w:val="00746033"/>
    <w:rsid w:val="007531CF"/>
    <w:rsid w:val="00755B7C"/>
    <w:rsid w:val="00756EAE"/>
    <w:rsid w:val="0075716A"/>
    <w:rsid w:val="00757ECE"/>
    <w:rsid w:val="007635DE"/>
    <w:rsid w:val="00767405"/>
    <w:rsid w:val="007703B3"/>
    <w:rsid w:val="007717D6"/>
    <w:rsid w:val="00772752"/>
    <w:rsid w:val="00773372"/>
    <w:rsid w:val="00774D17"/>
    <w:rsid w:val="00775B5E"/>
    <w:rsid w:val="00777427"/>
    <w:rsid w:val="00777B92"/>
    <w:rsid w:val="007813D2"/>
    <w:rsid w:val="007816F3"/>
    <w:rsid w:val="00781979"/>
    <w:rsid w:val="00790421"/>
    <w:rsid w:val="00792327"/>
    <w:rsid w:val="007953E6"/>
    <w:rsid w:val="007A01DE"/>
    <w:rsid w:val="007A0F03"/>
    <w:rsid w:val="007A29FE"/>
    <w:rsid w:val="007B24CC"/>
    <w:rsid w:val="007B608C"/>
    <w:rsid w:val="007C0858"/>
    <w:rsid w:val="007C1213"/>
    <w:rsid w:val="007D0684"/>
    <w:rsid w:val="007D1A61"/>
    <w:rsid w:val="007D3EF9"/>
    <w:rsid w:val="007E3669"/>
    <w:rsid w:val="007E3C10"/>
    <w:rsid w:val="007F059E"/>
    <w:rsid w:val="007F09D5"/>
    <w:rsid w:val="007F1C67"/>
    <w:rsid w:val="007F5205"/>
    <w:rsid w:val="007F7A13"/>
    <w:rsid w:val="008014DB"/>
    <w:rsid w:val="008035F2"/>
    <w:rsid w:val="00803D51"/>
    <w:rsid w:val="00805450"/>
    <w:rsid w:val="00805705"/>
    <w:rsid w:val="008128F6"/>
    <w:rsid w:val="00813A7E"/>
    <w:rsid w:val="00821141"/>
    <w:rsid w:val="008214D5"/>
    <w:rsid w:val="008376DB"/>
    <w:rsid w:val="00844ADE"/>
    <w:rsid w:val="00847CDC"/>
    <w:rsid w:val="00850B93"/>
    <w:rsid w:val="008531E2"/>
    <w:rsid w:val="0085400E"/>
    <w:rsid w:val="00856B70"/>
    <w:rsid w:val="00856E24"/>
    <w:rsid w:val="0086175E"/>
    <w:rsid w:val="008666CE"/>
    <w:rsid w:val="00867E7D"/>
    <w:rsid w:val="0088030F"/>
    <w:rsid w:val="00883DE7"/>
    <w:rsid w:val="00884640"/>
    <w:rsid w:val="008849E2"/>
    <w:rsid w:val="00885D35"/>
    <w:rsid w:val="0088614E"/>
    <w:rsid w:val="0089032F"/>
    <w:rsid w:val="00890E2A"/>
    <w:rsid w:val="00892D67"/>
    <w:rsid w:val="00896325"/>
    <w:rsid w:val="008971C3"/>
    <w:rsid w:val="00897BA7"/>
    <w:rsid w:val="008A0740"/>
    <w:rsid w:val="008A150D"/>
    <w:rsid w:val="008A78CA"/>
    <w:rsid w:val="008B25F0"/>
    <w:rsid w:val="008B2A50"/>
    <w:rsid w:val="008B4BED"/>
    <w:rsid w:val="008B6350"/>
    <w:rsid w:val="008B6CF7"/>
    <w:rsid w:val="008C3537"/>
    <w:rsid w:val="008C56B2"/>
    <w:rsid w:val="008C5D72"/>
    <w:rsid w:val="008C6353"/>
    <w:rsid w:val="008C79DC"/>
    <w:rsid w:val="008C7F0C"/>
    <w:rsid w:val="008D10F8"/>
    <w:rsid w:val="008D44AA"/>
    <w:rsid w:val="008D5633"/>
    <w:rsid w:val="008D7352"/>
    <w:rsid w:val="008E2545"/>
    <w:rsid w:val="008E6D60"/>
    <w:rsid w:val="008F08BF"/>
    <w:rsid w:val="00900F74"/>
    <w:rsid w:val="00902B56"/>
    <w:rsid w:val="0090420A"/>
    <w:rsid w:val="00914AAD"/>
    <w:rsid w:val="00914FED"/>
    <w:rsid w:val="0091727D"/>
    <w:rsid w:val="009177C5"/>
    <w:rsid w:val="00920CF7"/>
    <w:rsid w:val="00921A14"/>
    <w:rsid w:val="00922546"/>
    <w:rsid w:val="00927740"/>
    <w:rsid w:val="0092791A"/>
    <w:rsid w:val="00931A97"/>
    <w:rsid w:val="0093739D"/>
    <w:rsid w:val="009419EC"/>
    <w:rsid w:val="00945E8F"/>
    <w:rsid w:val="00946D8A"/>
    <w:rsid w:val="00947110"/>
    <w:rsid w:val="00951624"/>
    <w:rsid w:val="009541B8"/>
    <w:rsid w:val="0095444A"/>
    <w:rsid w:val="00955AE8"/>
    <w:rsid w:val="00960073"/>
    <w:rsid w:val="00960E61"/>
    <w:rsid w:val="0096102B"/>
    <w:rsid w:val="00962D49"/>
    <w:rsid w:val="00962DCF"/>
    <w:rsid w:val="00965B6D"/>
    <w:rsid w:val="00980C5B"/>
    <w:rsid w:val="00981648"/>
    <w:rsid w:val="00985630"/>
    <w:rsid w:val="00990654"/>
    <w:rsid w:val="00991853"/>
    <w:rsid w:val="00992210"/>
    <w:rsid w:val="00993A3E"/>
    <w:rsid w:val="009A1C77"/>
    <w:rsid w:val="009A2E8B"/>
    <w:rsid w:val="009A2FBD"/>
    <w:rsid w:val="009A411A"/>
    <w:rsid w:val="009B03FC"/>
    <w:rsid w:val="009B4B74"/>
    <w:rsid w:val="009B4BC9"/>
    <w:rsid w:val="009B5349"/>
    <w:rsid w:val="009B6586"/>
    <w:rsid w:val="009C3D69"/>
    <w:rsid w:val="009D02D2"/>
    <w:rsid w:val="009D033A"/>
    <w:rsid w:val="009D1718"/>
    <w:rsid w:val="009D2092"/>
    <w:rsid w:val="009D338B"/>
    <w:rsid w:val="009D3D23"/>
    <w:rsid w:val="009D52AA"/>
    <w:rsid w:val="009D5E6B"/>
    <w:rsid w:val="009D619F"/>
    <w:rsid w:val="009D7AAF"/>
    <w:rsid w:val="009E018F"/>
    <w:rsid w:val="009E28DA"/>
    <w:rsid w:val="009E5F6D"/>
    <w:rsid w:val="009F0818"/>
    <w:rsid w:val="009F0D1F"/>
    <w:rsid w:val="009F37F9"/>
    <w:rsid w:val="00A00BD6"/>
    <w:rsid w:val="00A0578B"/>
    <w:rsid w:val="00A06C72"/>
    <w:rsid w:val="00A07C53"/>
    <w:rsid w:val="00A1173B"/>
    <w:rsid w:val="00A1605F"/>
    <w:rsid w:val="00A166E7"/>
    <w:rsid w:val="00A2075F"/>
    <w:rsid w:val="00A22819"/>
    <w:rsid w:val="00A23A0A"/>
    <w:rsid w:val="00A24099"/>
    <w:rsid w:val="00A4660A"/>
    <w:rsid w:val="00A46F7A"/>
    <w:rsid w:val="00A5415E"/>
    <w:rsid w:val="00A54ABD"/>
    <w:rsid w:val="00A54AE8"/>
    <w:rsid w:val="00A61033"/>
    <w:rsid w:val="00A64025"/>
    <w:rsid w:val="00A7186D"/>
    <w:rsid w:val="00A729D0"/>
    <w:rsid w:val="00A7711B"/>
    <w:rsid w:val="00A90F14"/>
    <w:rsid w:val="00AA09B7"/>
    <w:rsid w:val="00AA4D98"/>
    <w:rsid w:val="00AA7BCD"/>
    <w:rsid w:val="00AB0EB0"/>
    <w:rsid w:val="00AB54A1"/>
    <w:rsid w:val="00AB62D0"/>
    <w:rsid w:val="00AB645E"/>
    <w:rsid w:val="00AC0412"/>
    <w:rsid w:val="00AC11AA"/>
    <w:rsid w:val="00AC24DB"/>
    <w:rsid w:val="00AC3161"/>
    <w:rsid w:val="00AC4D22"/>
    <w:rsid w:val="00AC5F5E"/>
    <w:rsid w:val="00AC7F03"/>
    <w:rsid w:val="00AD2F12"/>
    <w:rsid w:val="00AD4D5B"/>
    <w:rsid w:val="00AE005F"/>
    <w:rsid w:val="00AE2011"/>
    <w:rsid w:val="00AE249E"/>
    <w:rsid w:val="00AE29D5"/>
    <w:rsid w:val="00AE549B"/>
    <w:rsid w:val="00AF1FD0"/>
    <w:rsid w:val="00AF21D4"/>
    <w:rsid w:val="00AF2571"/>
    <w:rsid w:val="00AF4F9E"/>
    <w:rsid w:val="00B01A5A"/>
    <w:rsid w:val="00B03697"/>
    <w:rsid w:val="00B049C6"/>
    <w:rsid w:val="00B10B79"/>
    <w:rsid w:val="00B114E9"/>
    <w:rsid w:val="00B13EC7"/>
    <w:rsid w:val="00B15EF4"/>
    <w:rsid w:val="00B20183"/>
    <w:rsid w:val="00B2301F"/>
    <w:rsid w:val="00B239A7"/>
    <w:rsid w:val="00B27081"/>
    <w:rsid w:val="00B27153"/>
    <w:rsid w:val="00B30E05"/>
    <w:rsid w:val="00B328A7"/>
    <w:rsid w:val="00B34A94"/>
    <w:rsid w:val="00B367CC"/>
    <w:rsid w:val="00B402E9"/>
    <w:rsid w:val="00B41E65"/>
    <w:rsid w:val="00B44623"/>
    <w:rsid w:val="00B46C1B"/>
    <w:rsid w:val="00B473F0"/>
    <w:rsid w:val="00B50AB7"/>
    <w:rsid w:val="00B53080"/>
    <w:rsid w:val="00B558CD"/>
    <w:rsid w:val="00B55B84"/>
    <w:rsid w:val="00B56DCA"/>
    <w:rsid w:val="00B62A69"/>
    <w:rsid w:val="00B63C29"/>
    <w:rsid w:val="00B70D9C"/>
    <w:rsid w:val="00B7204A"/>
    <w:rsid w:val="00B72586"/>
    <w:rsid w:val="00B8404D"/>
    <w:rsid w:val="00B8618F"/>
    <w:rsid w:val="00B86517"/>
    <w:rsid w:val="00B87C65"/>
    <w:rsid w:val="00B9288C"/>
    <w:rsid w:val="00B92F56"/>
    <w:rsid w:val="00B93360"/>
    <w:rsid w:val="00B96591"/>
    <w:rsid w:val="00BA1C38"/>
    <w:rsid w:val="00BA4E0C"/>
    <w:rsid w:val="00BA51C3"/>
    <w:rsid w:val="00BA6E56"/>
    <w:rsid w:val="00BB3B71"/>
    <w:rsid w:val="00BC0360"/>
    <w:rsid w:val="00BC4206"/>
    <w:rsid w:val="00BC54A0"/>
    <w:rsid w:val="00BD084E"/>
    <w:rsid w:val="00BD0CDD"/>
    <w:rsid w:val="00BD1B73"/>
    <w:rsid w:val="00BD301D"/>
    <w:rsid w:val="00BD4F63"/>
    <w:rsid w:val="00BD7160"/>
    <w:rsid w:val="00BE2D12"/>
    <w:rsid w:val="00BF24E6"/>
    <w:rsid w:val="00BF4881"/>
    <w:rsid w:val="00BF5F74"/>
    <w:rsid w:val="00BF72F9"/>
    <w:rsid w:val="00C00B6F"/>
    <w:rsid w:val="00C00B81"/>
    <w:rsid w:val="00C03785"/>
    <w:rsid w:val="00C10A02"/>
    <w:rsid w:val="00C125C3"/>
    <w:rsid w:val="00C13473"/>
    <w:rsid w:val="00C205C8"/>
    <w:rsid w:val="00C21967"/>
    <w:rsid w:val="00C26C35"/>
    <w:rsid w:val="00C31423"/>
    <w:rsid w:val="00C31F00"/>
    <w:rsid w:val="00C32F61"/>
    <w:rsid w:val="00C36EF9"/>
    <w:rsid w:val="00C378AB"/>
    <w:rsid w:val="00C408CA"/>
    <w:rsid w:val="00C409EC"/>
    <w:rsid w:val="00C420D9"/>
    <w:rsid w:val="00C45986"/>
    <w:rsid w:val="00C52BDA"/>
    <w:rsid w:val="00C57012"/>
    <w:rsid w:val="00C5709E"/>
    <w:rsid w:val="00C62A79"/>
    <w:rsid w:val="00C708B3"/>
    <w:rsid w:val="00C72487"/>
    <w:rsid w:val="00C73080"/>
    <w:rsid w:val="00C758A3"/>
    <w:rsid w:val="00C75AC9"/>
    <w:rsid w:val="00C75E75"/>
    <w:rsid w:val="00C76BA0"/>
    <w:rsid w:val="00C77569"/>
    <w:rsid w:val="00C77D06"/>
    <w:rsid w:val="00C838CE"/>
    <w:rsid w:val="00C83B06"/>
    <w:rsid w:val="00C845AA"/>
    <w:rsid w:val="00C95E0A"/>
    <w:rsid w:val="00C970D8"/>
    <w:rsid w:val="00CA00EC"/>
    <w:rsid w:val="00CA0A2F"/>
    <w:rsid w:val="00CA0FA4"/>
    <w:rsid w:val="00CA6EE1"/>
    <w:rsid w:val="00CB2029"/>
    <w:rsid w:val="00CB3408"/>
    <w:rsid w:val="00CB3720"/>
    <w:rsid w:val="00CB5DB9"/>
    <w:rsid w:val="00CB5E8C"/>
    <w:rsid w:val="00CB6BC5"/>
    <w:rsid w:val="00CC0268"/>
    <w:rsid w:val="00CC2681"/>
    <w:rsid w:val="00CC4CE5"/>
    <w:rsid w:val="00CC703C"/>
    <w:rsid w:val="00CD0064"/>
    <w:rsid w:val="00CD184F"/>
    <w:rsid w:val="00CD1CF7"/>
    <w:rsid w:val="00CD2933"/>
    <w:rsid w:val="00CE454B"/>
    <w:rsid w:val="00CE4BED"/>
    <w:rsid w:val="00CE68F6"/>
    <w:rsid w:val="00CE6AAB"/>
    <w:rsid w:val="00CF03DB"/>
    <w:rsid w:val="00CF55B8"/>
    <w:rsid w:val="00CF7F98"/>
    <w:rsid w:val="00D02CD4"/>
    <w:rsid w:val="00D135C3"/>
    <w:rsid w:val="00D21745"/>
    <w:rsid w:val="00D2418E"/>
    <w:rsid w:val="00D344D1"/>
    <w:rsid w:val="00D43AA6"/>
    <w:rsid w:val="00D44C18"/>
    <w:rsid w:val="00D47D73"/>
    <w:rsid w:val="00D5053E"/>
    <w:rsid w:val="00D60A5D"/>
    <w:rsid w:val="00D62803"/>
    <w:rsid w:val="00D63475"/>
    <w:rsid w:val="00D67243"/>
    <w:rsid w:val="00D67AD5"/>
    <w:rsid w:val="00D710D0"/>
    <w:rsid w:val="00D716FB"/>
    <w:rsid w:val="00D72B33"/>
    <w:rsid w:val="00D74193"/>
    <w:rsid w:val="00D80C77"/>
    <w:rsid w:val="00D93641"/>
    <w:rsid w:val="00D96CA7"/>
    <w:rsid w:val="00DA0EC0"/>
    <w:rsid w:val="00DA3038"/>
    <w:rsid w:val="00DA5E5E"/>
    <w:rsid w:val="00DA64EA"/>
    <w:rsid w:val="00DB04AD"/>
    <w:rsid w:val="00DB12EE"/>
    <w:rsid w:val="00DB6209"/>
    <w:rsid w:val="00DC04E7"/>
    <w:rsid w:val="00DC3F67"/>
    <w:rsid w:val="00DC66BF"/>
    <w:rsid w:val="00DC7056"/>
    <w:rsid w:val="00DD2E4B"/>
    <w:rsid w:val="00DD35EF"/>
    <w:rsid w:val="00DD368F"/>
    <w:rsid w:val="00DD37FD"/>
    <w:rsid w:val="00DD3FCC"/>
    <w:rsid w:val="00DD411E"/>
    <w:rsid w:val="00DD44ED"/>
    <w:rsid w:val="00DD6876"/>
    <w:rsid w:val="00DE0100"/>
    <w:rsid w:val="00DE3531"/>
    <w:rsid w:val="00DE35DE"/>
    <w:rsid w:val="00DE58FB"/>
    <w:rsid w:val="00DF3857"/>
    <w:rsid w:val="00DF6DED"/>
    <w:rsid w:val="00E008DD"/>
    <w:rsid w:val="00E01ED5"/>
    <w:rsid w:val="00E0480B"/>
    <w:rsid w:val="00E10E95"/>
    <w:rsid w:val="00E11C7E"/>
    <w:rsid w:val="00E1598C"/>
    <w:rsid w:val="00E1722D"/>
    <w:rsid w:val="00E17645"/>
    <w:rsid w:val="00E231AD"/>
    <w:rsid w:val="00E244BF"/>
    <w:rsid w:val="00E2711C"/>
    <w:rsid w:val="00E272F2"/>
    <w:rsid w:val="00E27746"/>
    <w:rsid w:val="00E27851"/>
    <w:rsid w:val="00E30A60"/>
    <w:rsid w:val="00E32A6D"/>
    <w:rsid w:val="00E35167"/>
    <w:rsid w:val="00E36244"/>
    <w:rsid w:val="00E367C9"/>
    <w:rsid w:val="00E40844"/>
    <w:rsid w:val="00E41213"/>
    <w:rsid w:val="00E42A7F"/>
    <w:rsid w:val="00E57FC4"/>
    <w:rsid w:val="00E60FD3"/>
    <w:rsid w:val="00E62DDD"/>
    <w:rsid w:val="00E65CC8"/>
    <w:rsid w:val="00E732A3"/>
    <w:rsid w:val="00E749FF"/>
    <w:rsid w:val="00E759E4"/>
    <w:rsid w:val="00E75F7C"/>
    <w:rsid w:val="00E767D3"/>
    <w:rsid w:val="00E80C38"/>
    <w:rsid w:val="00E81654"/>
    <w:rsid w:val="00E82186"/>
    <w:rsid w:val="00E844BF"/>
    <w:rsid w:val="00E8491E"/>
    <w:rsid w:val="00E9052D"/>
    <w:rsid w:val="00E90FD0"/>
    <w:rsid w:val="00E916DC"/>
    <w:rsid w:val="00E9640F"/>
    <w:rsid w:val="00E9686B"/>
    <w:rsid w:val="00E96CDE"/>
    <w:rsid w:val="00EA2B1B"/>
    <w:rsid w:val="00EA71B7"/>
    <w:rsid w:val="00EA7758"/>
    <w:rsid w:val="00EB33DF"/>
    <w:rsid w:val="00EB50BF"/>
    <w:rsid w:val="00EB5A88"/>
    <w:rsid w:val="00EB6AA4"/>
    <w:rsid w:val="00EB6F36"/>
    <w:rsid w:val="00EC2D0F"/>
    <w:rsid w:val="00EC4D0A"/>
    <w:rsid w:val="00ED1B23"/>
    <w:rsid w:val="00ED78EF"/>
    <w:rsid w:val="00EE1549"/>
    <w:rsid w:val="00EE1CF5"/>
    <w:rsid w:val="00EE4E2B"/>
    <w:rsid w:val="00EE620E"/>
    <w:rsid w:val="00EE6B93"/>
    <w:rsid w:val="00EF2048"/>
    <w:rsid w:val="00EF28D3"/>
    <w:rsid w:val="00EF2991"/>
    <w:rsid w:val="00EF66EE"/>
    <w:rsid w:val="00EF69B2"/>
    <w:rsid w:val="00EF7006"/>
    <w:rsid w:val="00EF706F"/>
    <w:rsid w:val="00EF7B3A"/>
    <w:rsid w:val="00EF7ECC"/>
    <w:rsid w:val="00F02694"/>
    <w:rsid w:val="00F031DD"/>
    <w:rsid w:val="00F045EB"/>
    <w:rsid w:val="00F04B73"/>
    <w:rsid w:val="00F10914"/>
    <w:rsid w:val="00F10C6F"/>
    <w:rsid w:val="00F113B8"/>
    <w:rsid w:val="00F12494"/>
    <w:rsid w:val="00F12F6E"/>
    <w:rsid w:val="00F13F34"/>
    <w:rsid w:val="00F16F17"/>
    <w:rsid w:val="00F1793C"/>
    <w:rsid w:val="00F20587"/>
    <w:rsid w:val="00F22623"/>
    <w:rsid w:val="00F229C4"/>
    <w:rsid w:val="00F22E63"/>
    <w:rsid w:val="00F240CF"/>
    <w:rsid w:val="00F26C74"/>
    <w:rsid w:val="00F30CA0"/>
    <w:rsid w:val="00F3343C"/>
    <w:rsid w:val="00F357A9"/>
    <w:rsid w:val="00F41EF6"/>
    <w:rsid w:val="00F43A56"/>
    <w:rsid w:val="00F43E5B"/>
    <w:rsid w:val="00F4594E"/>
    <w:rsid w:val="00F4646A"/>
    <w:rsid w:val="00F46D18"/>
    <w:rsid w:val="00F50355"/>
    <w:rsid w:val="00F51743"/>
    <w:rsid w:val="00F51EC3"/>
    <w:rsid w:val="00F528D9"/>
    <w:rsid w:val="00F52D76"/>
    <w:rsid w:val="00F52EFA"/>
    <w:rsid w:val="00F539EB"/>
    <w:rsid w:val="00F54A94"/>
    <w:rsid w:val="00F572B6"/>
    <w:rsid w:val="00F57321"/>
    <w:rsid w:val="00F60684"/>
    <w:rsid w:val="00F67F0C"/>
    <w:rsid w:val="00F72726"/>
    <w:rsid w:val="00F751AF"/>
    <w:rsid w:val="00F75541"/>
    <w:rsid w:val="00F75DA2"/>
    <w:rsid w:val="00F817A4"/>
    <w:rsid w:val="00F8182F"/>
    <w:rsid w:val="00F819F2"/>
    <w:rsid w:val="00F81A49"/>
    <w:rsid w:val="00F84327"/>
    <w:rsid w:val="00F8672A"/>
    <w:rsid w:val="00F87A19"/>
    <w:rsid w:val="00F91BB1"/>
    <w:rsid w:val="00F92DE7"/>
    <w:rsid w:val="00F9505A"/>
    <w:rsid w:val="00FA147C"/>
    <w:rsid w:val="00FA376C"/>
    <w:rsid w:val="00FA4FC4"/>
    <w:rsid w:val="00FA656A"/>
    <w:rsid w:val="00FA6FBB"/>
    <w:rsid w:val="00FA7AA3"/>
    <w:rsid w:val="00FB1A3A"/>
    <w:rsid w:val="00FB5202"/>
    <w:rsid w:val="00FC0AE7"/>
    <w:rsid w:val="00FC2892"/>
    <w:rsid w:val="00FC7783"/>
    <w:rsid w:val="00FC78E5"/>
    <w:rsid w:val="00FC7E16"/>
    <w:rsid w:val="00FD075A"/>
    <w:rsid w:val="00FD097D"/>
    <w:rsid w:val="00FD0D9F"/>
    <w:rsid w:val="00FD28BB"/>
    <w:rsid w:val="00FD4B0E"/>
    <w:rsid w:val="00FD4B48"/>
    <w:rsid w:val="00FD5D4B"/>
    <w:rsid w:val="00FD5E10"/>
    <w:rsid w:val="00FD6DB2"/>
    <w:rsid w:val="00FE53E6"/>
    <w:rsid w:val="00FE5931"/>
    <w:rsid w:val="00FE595A"/>
    <w:rsid w:val="00FF2719"/>
    <w:rsid w:val="00FF3CF8"/>
    <w:rsid w:val="00FF6543"/>
    <w:rsid w:val="11402277"/>
    <w:rsid w:val="13B02CC2"/>
    <w:rsid w:val="49A37556"/>
    <w:rsid w:val="52A4D6C8"/>
    <w:rsid w:val="5AACAF0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D293BC1"/>
  <w15:docId w15:val="{F2924303-FA8B-419D-AEFC-1C6D74C556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05FD4"/>
    <w:rPr>
      <w:sz w:val="24"/>
      <w:szCs w:val="24"/>
      <w:lang w:val="en-GB" w:eastAsia="en-US"/>
    </w:rPr>
  </w:style>
  <w:style w:type="paragraph" w:styleId="Heading1">
    <w:name w:val="heading 1"/>
    <w:basedOn w:val="Normal"/>
    <w:next w:val="Normal"/>
    <w:qFormat/>
    <w:rsid w:val="0011770C"/>
    <w:pPr>
      <w:keepNext/>
      <w:jc w:val="center"/>
      <w:outlineLvl w:val="0"/>
    </w:pPr>
    <w:rPr>
      <w:b/>
      <w:bCs/>
    </w:rPr>
  </w:style>
  <w:style w:type="paragraph" w:styleId="Heading2">
    <w:name w:val="heading 2"/>
    <w:basedOn w:val="Normal"/>
    <w:next w:val="Normal"/>
    <w:qFormat/>
    <w:rsid w:val="0011770C"/>
    <w:pPr>
      <w:keepNext/>
      <w:tabs>
        <w:tab w:val="left" w:pos="900"/>
      </w:tabs>
      <w:outlineLvl w:val="1"/>
    </w:pPr>
    <w:rPr>
      <w:b/>
      <w:bCs/>
      <w:lang w:val="lt-LT"/>
    </w:rPr>
  </w:style>
  <w:style w:type="paragraph" w:styleId="Heading3">
    <w:name w:val="heading 3"/>
    <w:basedOn w:val="Normal"/>
    <w:next w:val="Normal"/>
    <w:qFormat/>
    <w:rsid w:val="0011770C"/>
    <w:pPr>
      <w:keepNext/>
      <w:jc w:val="both"/>
      <w:outlineLvl w:val="2"/>
    </w:pPr>
    <w:rPr>
      <w:b/>
      <w:bCs/>
      <w:lang w:val="lt-LT"/>
    </w:rPr>
  </w:style>
  <w:style w:type="paragraph" w:styleId="Heading4">
    <w:name w:val="heading 4"/>
    <w:basedOn w:val="Normal"/>
    <w:next w:val="Normal"/>
    <w:qFormat/>
    <w:rsid w:val="0011770C"/>
    <w:pPr>
      <w:keepNext/>
      <w:spacing w:before="240"/>
      <w:outlineLvl w:val="3"/>
    </w:pPr>
    <w:rPr>
      <w:b/>
      <w:szCs w:val="20"/>
      <w:lang w:val="lt-LT"/>
    </w:rPr>
  </w:style>
  <w:style w:type="paragraph" w:styleId="Heading5">
    <w:name w:val="heading 5"/>
    <w:basedOn w:val="Normal"/>
    <w:next w:val="Normal"/>
    <w:qFormat/>
    <w:rsid w:val="0011770C"/>
    <w:pPr>
      <w:spacing w:before="240" w:after="60"/>
      <w:outlineLvl w:val="4"/>
    </w:pPr>
    <w:rPr>
      <w:b/>
      <w:bCs/>
      <w:i/>
      <w:iCs/>
      <w:sz w:val="26"/>
      <w:szCs w:val="26"/>
      <w:lang w:val="lt-LT"/>
    </w:rPr>
  </w:style>
  <w:style w:type="paragraph" w:styleId="Heading6">
    <w:name w:val="heading 6"/>
    <w:basedOn w:val="Normal"/>
    <w:next w:val="Normal"/>
    <w:qFormat/>
    <w:rsid w:val="0011770C"/>
    <w:pPr>
      <w:keepNext/>
      <w:jc w:val="both"/>
      <w:outlineLvl w:val="5"/>
    </w:pPr>
    <w:rPr>
      <w:b/>
      <w:bCs/>
      <w:sz w:val="28"/>
      <w:lang w:val="lt-LT"/>
    </w:rPr>
  </w:style>
  <w:style w:type="paragraph" w:styleId="Heading7">
    <w:name w:val="heading 7"/>
    <w:basedOn w:val="Normal"/>
    <w:next w:val="Normal"/>
    <w:qFormat/>
    <w:rsid w:val="0011770C"/>
    <w:pPr>
      <w:keepNext/>
      <w:tabs>
        <w:tab w:val="left" w:pos="900"/>
      </w:tabs>
      <w:outlineLvl w:val="6"/>
    </w:pPr>
    <w:rPr>
      <w:b/>
      <w:bCs/>
      <w:sz w:val="28"/>
      <w:lang w:val="lt-LT"/>
    </w:rPr>
  </w:style>
  <w:style w:type="paragraph" w:styleId="Heading8">
    <w:name w:val="heading 8"/>
    <w:basedOn w:val="Normal"/>
    <w:next w:val="Normal"/>
    <w:qFormat/>
    <w:rsid w:val="0011770C"/>
    <w:pPr>
      <w:keepNext/>
      <w:ind w:firstLine="540"/>
      <w:jc w:val="both"/>
      <w:outlineLvl w:val="7"/>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11770C"/>
    <w:pPr>
      <w:tabs>
        <w:tab w:val="center" w:pos="4153"/>
        <w:tab w:val="right" w:pos="8306"/>
      </w:tabs>
    </w:pPr>
  </w:style>
  <w:style w:type="paragraph" w:styleId="BodyTextIndent">
    <w:name w:val="Body Text Indent"/>
    <w:basedOn w:val="Normal"/>
    <w:rsid w:val="0011770C"/>
    <w:pPr>
      <w:tabs>
        <w:tab w:val="num" w:pos="0"/>
        <w:tab w:val="left" w:pos="900"/>
      </w:tabs>
      <w:ind w:firstLine="720"/>
    </w:pPr>
    <w:rPr>
      <w:lang w:val="lt-LT"/>
    </w:rPr>
  </w:style>
  <w:style w:type="paragraph" w:styleId="BodyTextIndent2">
    <w:name w:val="Body Text Indent 2"/>
    <w:basedOn w:val="Normal"/>
    <w:rsid w:val="0011770C"/>
    <w:pPr>
      <w:tabs>
        <w:tab w:val="left" w:pos="900"/>
      </w:tabs>
      <w:ind w:firstLine="720"/>
      <w:jc w:val="both"/>
    </w:pPr>
    <w:rPr>
      <w:lang w:val="lt-LT"/>
    </w:rPr>
  </w:style>
  <w:style w:type="paragraph" w:styleId="Footer">
    <w:name w:val="footer"/>
    <w:basedOn w:val="Normal"/>
    <w:rsid w:val="0011770C"/>
    <w:pPr>
      <w:tabs>
        <w:tab w:val="center" w:pos="4320"/>
        <w:tab w:val="right" w:pos="8640"/>
      </w:tabs>
    </w:pPr>
  </w:style>
  <w:style w:type="character" w:styleId="PageNumber">
    <w:name w:val="page number"/>
    <w:basedOn w:val="DefaultParagraphFont"/>
    <w:rsid w:val="0011770C"/>
  </w:style>
  <w:style w:type="table" w:styleId="TableGrid">
    <w:name w:val="Table Grid"/>
    <w:basedOn w:val="TableNormal"/>
    <w:rsid w:val="00C32F6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rsid w:val="00EB50BF"/>
    <w:rPr>
      <w:sz w:val="16"/>
      <w:szCs w:val="16"/>
    </w:rPr>
  </w:style>
  <w:style w:type="paragraph" w:styleId="CommentText">
    <w:name w:val="annotation text"/>
    <w:basedOn w:val="Normal"/>
    <w:link w:val="CommentTextChar"/>
    <w:uiPriority w:val="99"/>
    <w:rsid w:val="00EB50BF"/>
    <w:rPr>
      <w:sz w:val="20"/>
      <w:szCs w:val="20"/>
    </w:rPr>
  </w:style>
  <w:style w:type="paragraph" w:styleId="CommentSubject">
    <w:name w:val="annotation subject"/>
    <w:basedOn w:val="CommentText"/>
    <w:next w:val="CommentText"/>
    <w:semiHidden/>
    <w:rsid w:val="00EB50BF"/>
    <w:rPr>
      <w:b/>
      <w:bCs/>
    </w:rPr>
  </w:style>
  <w:style w:type="paragraph" w:styleId="BalloonText">
    <w:name w:val="Balloon Text"/>
    <w:basedOn w:val="Normal"/>
    <w:semiHidden/>
    <w:rsid w:val="00EB50BF"/>
    <w:rPr>
      <w:rFonts w:ascii="Tahoma" w:hAnsi="Tahoma" w:cs="Tahoma"/>
      <w:sz w:val="16"/>
      <w:szCs w:val="16"/>
    </w:rPr>
  </w:style>
  <w:style w:type="paragraph" w:customStyle="1" w:styleId="bullet1">
    <w:name w:val="bullet1"/>
    <w:basedOn w:val="Normal"/>
    <w:rsid w:val="00A64025"/>
    <w:pPr>
      <w:numPr>
        <w:numId w:val="1"/>
      </w:numPr>
      <w:spacing w:before="80" w:after="80"/>
    </w:pPr>
    <w:rPr>
      <w:rFonts w:ascii="Helvetica" w:hAnsi="Helvetica" w:cs="Helvetica"/>
      <w:sz w:val="20"/>
      <w:szCs w:val="20"/>
      <w:lang w:eastAsia="en-GB"/>
    </w:rPr>
  </w:style>
  <w:style w:type="character" w:styleId="Hyperlink">
    <w:name w:val="Hyperlink"/>
    <w:basedOn w:val="DefaultParagraphFont"/>
    <w:rsid w:val="00985630"/>
    <w:rPr>
      <w:color w:val="0000FF"/>
      <w:u w:val="single"/>
    </w:rPr>
  </w:style>
  <w:style w:type="paragraph" w:styleId="BlockText">
    <w:name w:val="Block Text"/>
    <w:basedOn w:val="Normal"/>
    <w:rsid w:val="00985630"/>
    <w:pPr>
      <w:numPr>
        <w:numId w:val="2"/>
      </w:numPr>
    </w:pPr>
    <w:rPr>
      <w:szCs w:val="20"/>
      <w:lang w:val="lt-LT" w:bidi="yi-Hebr"/>
    </w:rPr>
  </w:style>
  <w:style w:type="character" w:styleId="FollowedHyperlink">
    <w:name w:val="FollowedHyperlink"/>
    <w:basedOn w:val="DefaultParagraphFont"/>
    <w:rsid w:val="004D158B"/>
    <w:rPr>
      <w:color w:val="800080"/>
      <w:u w:val="single"/>
    </w:rPr>
  </w:style>
  <w:style w:type="paragraph" w:styleId="NormalWeb">
    <w:name w:val="Normal (Web)"/>
    <w:basedOn w:val="Normal"/>
    <w:uiPriority w:val="99"/>
    <w:unhideWhenUsed/>
    <w:rsid w:val="00163EE6"/>
    <w:pPr>
      <w:spacing w:before="100" w:beforeAutospacing="1" w:after="100" w:afterAutospacing="1"/>
    </w:pPr>
    <w:rPr>
      <w:lang w:val="lt-LT" w:eastAsia="lt-LT"/>
    </w:rPr>
  </w:style>
  <w:style w:type="paragraph" w:styleId="ListParagraph">
    <w:name w:val="List Paragraph"/>
    <w:basedOn w:val="Normal"/>
    <w:uiPriority w:val="34"/>
    <w:qFormat/>
    <w:rsid w:val="00BA51C3"/>
    <w:pPr>
      <w:ind w:left="720"/>
      <w:contextualSpacing/>
    </w:pPr>
  </w:style>
  <w:style w:type="paragraph" w:styleId="BodyText">
    <w:name w:val="Body Text"/>
    <w:basedOn w:val="Normal"/>
    <w:link w:val="BodyTextChar"/>
    <w:rsid w:val="00BA51C3"/>
    <w:pPr>
      <w:spacing w:after="120"/>
    </w:pPr>
  </w:style>
  <w:style w:type="character" w:customStyle="1" w:styleId="BodyTextChar">
    <w:name w:val="Body Text Char"/>
    <w:basedOn w:val="DefaultParagraphFont"/>
    <w:link w:val="BodyText"/>
    <w:rsid w:val="00BA51C3"/>
    <w:rPr>
      <w:sz w:val="24"/>
      <w:szCs w:val="24"/>
      <w:lang w:val="en-GB" w:eastAsia="en-US"/>
    </w:rPr>
  </w:style>
  <w:style w:type="character" w:styleId="Strong">
    <w:name w:val="Strong"/>
    <w:basedOn w:val="DefaultParagraphFont"/>
    <w:uiPriority w:val="22"/>
    <w:qFormat/>
    <w:rsid w:val="00A00BD6"/>
    <w:rPr>
      <w:b/>
      <w:bCs/>
    </w:rPr>
  </w:style>
  <w:style w:type="character" w:customStyle="1" w:styleId="HeaderChar">
    <w:name w:val="Header Char"/>
    <w:basedOn w:val="DefaultParagraphFont"/>
    <w:link w:val="Header"/>
    <w:uiPriority w:val="99"/>
    <w:rsid w:val="00927740"/>
    <w:rPr>
      <w:sz w:val="24"/>
      <w:szCs w:val="24"/>
      <w:lang w:val="en-GB" w:eastAsia="en-US"/>
    </w:rPr>
  </w:style>
  <w:style w:type="paragraph" w:styleId="Revision">
    <w:name w:val="Revision"/>
    <w:hidden/>
    <w:uiPriority w:val="99"/>
    <w:semiHidden/>
    <w:rsid w:val="00381A58"/>
    <w:rPr>
      <w:sz w:val="24"/>
      <w:szCs w:val="24"/>
      <w:lang w:val="en-GB" w:eastAsia="en-US"/>
    </w:rPr>
  </w:style>
  <w:style w:type="character" w:styleId="UnresolvedMention">
    <w:name w:val="Unresolved Mention"/>
    <w:basedOn w:val="DefaultParagraphFont"/>
    <w:uiPriority w:val="99"/>
    <w:semiHidden/>
    <w:unhideWhenUsed/>
    <w:rsid w:val="00FF2719"/>
    <w:rPr>
      <w:color w:val="605E5C"/>
      <w:shd w:val="clear" w:color="auto" w:fill="E1DFDD"/>
    </w:rPr>
  </w:style>
  <w:style w:type="character" w:styleId="Mention">
    <w:name w:val="Mention"/>
    <w:basedOn w:val="DefaultParagraphFont"/>
    <w:uiPriority w:val="99"/>
    <w:unhideWhenUsed/>
    <w:rsid w:val="0066028F"/>
    <w:rPr>
      <w:color w:val="2B579A"/>
      <w:shd w:val="clear" w:color="auto" w:fill="E1DFDD"/>
    </w:rPr>
  </w:style>
  <w:style w:type="character" w:customStyle="1" w:styleId="CommentTextChar">
    <w:name w:val="Comment Text Char"/>
    <w:basedOn w:val="DefaultParagraphFont"/>
    <w:link w:val="CommentText"/>
    <w:uiPriority w:val="99"/>
    <w:rsid w:val="00F02694"/>
    <w:rPr>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750192">
      <w:bodyDiv w:val="1"/>
      <w:marLeft w:val="0"/>
      <w:marRight w:val="0"/>
      <w:marTop w:val="0"/>
      <w:marBottom w:val="0"/>
      <w:divBdr>
        <w:top w:val="none" w:sz="0" w:space="0" w:color="auto"/>
        <w:left w:val="none" w:sz="0" w:space="0" w:color="auto"/>
        <w:bottom w:val="none" w:sz="0" w:space="0" w:color="auto"/>
        <w:right w:val="none" w:sz="0" w:space="0" w:color="auto"/>
      </w:divBdr>
    </w:div>
    <w:div w:id="185604809">
      <w:bodyDiv w:val="1"/>
      <w:marLeft w:val="0"/>
      <w:marRight w:val="0"/>
      <w:marTop w:val="0"/>
      <w:marBottom w:val="0"/>
      <w:divBdr>
        <w:top w:val="none" w:sz="0" w:space="0" w:color="auto"/>
        <w:left w:val="none" w:sz="0" w:space="0" w:color="auto"/>
        <w:bottom w:val="none" w:sz="0" w:space="0" w:color="auto"/>
        <w:right w:val="none" w:sz="0" w:space="0" w:color="auto"/>
      </w:divBdr>
    </w:div>
    <w:div w:id="769592442">
      <w:bodyDiv w:val="1"/>
      <w:marLeft w:val="0"/>
      <w:marRight w:val="0"/>
      <w:marTop w:val="0"/>
      <w:marBottom w:val="0"/>
      <w:divBdr>
        <w:top w:val="none" w:sz="0" w:space="0" w:color="auto"/>
        <w:left w:val="none" w:sz="0" w:space="0" w:color="auto"/>
        <w:bottom w:val="none" w:sz="0" w:space="0" w:color="auto"/>
        <w:right w:val="none" w:sz="0" w:space="0" w:color="auto"/>
      </w:divBdr>
    </w:div>
    <w:div w:id="844899718">
      <w:bodyDiv w:val="1"/>
      <w:marLeft w:val="0"/>
      <w:marRight w:val="0"/>
      <w:marTop w:val="0"/>
      <w:marBottom w:val="0"/>
      <w:divBdr>
        <w:top w:val="none" w:sz="0" w:space="0" w:color="auto"/>
        <w:left w:val="none" w:sz="0" w:space="0" w:color="auto"/>
        <w:bottom w:val="none" w:sz="0" w:space="0" w:color="auto"/>
        <w:right w:val="none" w:sz="0" w:space="0" w:color="auto"/>
      </w:divBdr>
    </w:div>
    <w:div w:id="869951440">
      <w:bodyDiv w:val="1"/>
      <w:marLeft w:val="0"/>
      <w:marRight w:val="0"/>
      <w:marTop w:val="0"/>
      <w:marBottom w:val="0"/>
      <w:divBdr>
        <w:top w:val="none" w:sz="0" w:space="0" w:color="auto"/>
        <w:left w:val="none" w:sz="0" w:space="0" w:color="auto"/>
        <w:bottom w:val="none" w:sz="0" w:space="0" w:color="auto"/>
        <w:right w:val="none" w:sz="0" w:space="0" w:color="auto"/>
      </w:divBdr>
    </w:div>
    <w:div w:id="1072503703">
      <w:bodyDiv w:val="1"/>
      <w:marLeft w:val="0"/>
      <w:marRight w:val="0"/>
      <w:marTop w:val="0"/>
      <w:marBottom w:val="0"/>
      <w:divBdr>
        <w:top w:val="none" w:sz="0" w:space="0" w:color="auto"/>
        <w:left w:val="none" w:sz="0" w:space="0" w:color="auto"/>
        <w:bottom w:val="none" w:sz="0" w:space="0" w:color="auto"/>
        <w:right w:val="none" w:sz="0" w:space="0" w:color="auto"/>
      </w:divBdr>
    </w:div>
    <w:div w:id="1129932913">
      <w:bodyDiv w:val="1"/>
      <w:marLeft w:val="0"/>
      <w:marRight w:val="0"/>
      <w:marTop w:val="0"/>
      <w:marBottom w:val="0"/>
      <w:divBdr>
        <w:top w:val="none" w:sz="0" w:space="0" w:color="auto"/>
        <w:left w:val="none" w:sz="0" w:space="0" w:color="auto"/>
        <w:bottom w:val="none" w:sz="0" w:space="0" w:color="auto"/>
        <w:right w:val="none" w:sz="0" w:space="0" w:color="auto"/>
      </w:divBdr>
    </w:div>
    <w:div w:id="1554542449">
      <w:bodyDiv w:val="1"/>
      <w:marLeft w:val="0"/>
      <w:marRight w:val="0"/>
      <w:marTop w:val="0"/>
      <w:marBottom w:val="0"/>
      <w:divBdr>
        <w:top w:val="none" w:sz="0" w:space="0" w:color="auto"/>
        <w:left w:val="none" w:sz="0" w:space="0" w:color="auto"/>
        <w:bottom w:val="none" w:sz="0" w:space="0" w:color="auto"/>
        <w:right w:val="none" w:sz="0" w:space="0" w:color="auto"/>
      </w:divBdr>
    </w:div>
    <w:div w:id="1865512860">
      <w:bodyDiv w:val="1"/>
      <w:marLeft w:val="0"/>
      <w:marRight w:val="0"/>
      <w:marTop w:val="0"/>
      <w:marBottom w:val="0"/>
      <w:divBdr>
        <w:top w:val="none" w:sz="0" w:space="0" w:color="auto"/>
        <w:left w:val="none" w:sz="0" w:space="0" w:color="auto"/>
        <w:bottom w:val="none" w:sz="0" w:space="0" w:color="auto"/>
        <w:right w:val="none" w:sz="0" w:space="0" w:color="auto"/>
      </w:divBdr>
    </w:div>
    <w:div w:id="2004240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Irmantas.BRIDGE\Desktop\LESSTIST014_0115_Paslaugu%20lygiu%20valdymo%20procesas\&#352;ablonai\Paslaugos%20%5bpavadinimas%5d%20specifikacij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7A4A730AEEAAC54BAF38EB0949748FA1" ma:contentTypeVersion="4" ma:contentTypeDescription="Kurkite naują dokumentą." ma:contentTypeScope="" ma:versionID="b7640509c7d2f7ca64d830b6034c7936">
  <xsd:schema xmlns:xsd="http://www.w3.org/2001/XMLSchema" xmlns:xs="http://www.w3.org/2001/XMLSchema" xmlns:p="http://schemas.microsoft.com/office/2006/metadata/properties" xmlns:ns2="c5b58785-3c71-4a13-85b7-7397b51b8321" targetNamespace="http://schemas.microsoft.com/office/2006/metadata/properties" ma:root="true" ma:fieldsID="55b2364efa88f4f9d14e321bcc4a5004" ns2:_="">
    <xsd:import namespace="c5b58785-3c71-4a13-85b7-7397b51b832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b58785-3c71-4a13-85b7-7397b51b832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F1C6E155-578A-4E72-9059-E69EFE9D7F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b58785-3c71-4a13-85b7-7397b51b83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88D6928-3DAF-4EF1-88C2-4258C106F18B}">
  <ds:schemaRefs>
    <ds:schemaRef ds:uri="http://schemas.openxmlformats.org/officeDocument/2006/bibliography"/>
  </ds:schemaRefs>
</ds:datastoreItem>
</file>

<file path=customXml/itemProps3.xml><?xml version="1.0" encoding="utf-8"?>
<ds:datastoreItem xmlns:ds="http://schemas.openxmlformats.org/officeDocument/2006/customXml" ds:itemID="{5DB400BB-8158-4822-83BC-B6635B384B34}">
  <ds:schemaRefs>
    <ds:schemaRef ds:uri="http://schemas.microsoft.com/sharepoint/v3/contenttype/forms"/>
  </ds:schemaRefs>
</ds:datastoreItem>
</file>

<file path=customXml/itemProps4.xml><?xml version="1.0" encoding="utf-8"?>
<ds:datastoreItem xmlns:ds="http://schemas.openxmlformats.org/officeDocument/2006/customXml" ds:itemID="{ECA038D1-75DB-4CD3-9232-460ECCB05E7B}">
  <ds:schemaRefs>
    <ds:schemaRef ds:uri="http://schemas.microsoft.com/office/2006/metadata/properties"/>
  </ds:schemaRefs>
</ds:datastoreItem>
</file>

<file path=docMetadata/LabelInfo.xml><?xml version="1.0" encoding="utf-8"?>
<clbl:labelList xmlns:clbl="http://schemas.microsoft.com/office/2020/mipLabelMetadata">
  <clbl:label id="{434405ce-9876-44cb-8bd1-5c6c207e0b8f}" enabled="1" method="Privileged" siteId="{86bcf768-7bcf-4cd6-b041-b219988b7a9c}" removed="0"/>
</clbl:labelList>
</file>

<file path=docProps/app.xml><?xml version="1.0" encoding="utf-8"?>
<Properties xmlns="http://schemas.openxmlformats.org/officeDocument/2006/extended-properties" xmlns:vt="http://schemas.openxmlformats.org/officeDocument/2006/docPropsVTypes">
  <Template>Paslaugos [pavadinimas] specifikacija</Template>
  <TotalTime>1625</TotalTime>
  <Pages>21</Pages>
  <Words>31175</Words>
  <Characters>17771</Characters>
  <Application>Microsoft Office Word</Application>
  <DocSecurity>0</DocSecurity>
  <Lines>148</Lines>
  <Paragraphs>97</Paragraphs>
  <ScaleCrop>false</ScaleCrop>
  <HeadingPairs>
    <vt:vector size="2" baseType="variant">
      <vt:variant>
        <vt:lpstr>Title</vt:lpstr>
      </vt:variant>
      <vt:variant>
        <vt:i4>1</vt:i4>
      </vt:variant>
    </vt:vector>
  </HeadingPairs>
  <TitlesOfParts>
    <vt:vector size="1" baseType="lpstr">
      <vt:lpstr>Service specification (SLM)</vt:lpstr>
    </vt:vector>
  </TitlesOfParts>
  <Company>UAB "Blue Bridge"</Company>
  <LinksUpToDate>false</LinksUpToDate>
  <CharactersWithSpaces>48849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Service specification (SLM)</dc:title>
  <dc:creator>Kęstutis Vėta</dc:creator>
  <cp:lastModifiedBy>Iveta Dilienė</cp:lastModifiedBy>
  <cp:revision>80</cp:revision>
  <cp:lastPrinted>2011-05-30T09:44:00Z</cp:lastPrinted>
  <dcterms:created xsi:type="dcterms:W3CDTF">2026-09-08T06:20:00Z</dcterms:created>
  <dcterms:modified xsi:type="dcterms:W3CDTF">2026-09-11T11:58:00Z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0x0101007A4A730AEEAAC54BAF38EB0949748FA1</vt:lpwstr>
  </property>
  <property fmtid="{D5CDD505-2E9C-101B-9397-08002B2CF9AE}" pid="3" name="MSIP_Label_32ae7b5d-0aac-474b-ae2b-02c331ef2874_Enabled">
    <vt:lpwstr>true</vt:lpwstr>
  </property>
  <property fmtid="{D5CDD505-2E9C-101B-9397-08002B2CF9AE}" pid="4" name="MSIP_Label_32ae7b5d-0aac-474b-ae2b-02c331ef2874_SetDate">
    <vt:lpwstr>2022-01-13T13:36:42Z</vt:lpwstr>
  </property>
  <property fmtid="{D5CDD505-2E9C-101B-9397-08002B2CF9AE}" pid="5" name="MSIP_Label_32ae7b5d-0aac-474b-ae2b-02c331ef2874_Method">
    <vt:lpwstr>Privileged</vt:lpwstr>
  </property>
  <property fmtid="{D5CDD505-2E9C-101B-9397-08002B2CF9AE}" pid="6" name="MSIP_Label_32ae7b5d-0aac-474b-ae2b-02c331ef2874_Name">
    <vt:lpwstr>VIDINĖ</vt:lpwstr>
  </property>
  <property fmtid="{D5CDD505-2E9C-101B-9397-08002B2CF9AE}" pid="7" name="MSIP_Label_32ae7b5d-0aac-474b-ae2b-02c331ef2874_SiteId">
    <vt:lpwstr>86bcf768-7bcf-4cd6-b041-b219988b7a9c</vt:lpwstr>
  </property>
  <property fmtid="{D5CDD505-2E9C-101B-9397-08002B2CF9AE}" pid="8" name="MSIP_Label_32ae7b5d-0aac-474b-ae2b-02c331ef2874_ActionId">
    <vt:lpwstr>ada2cc23-6d6d-49f8-82ba-e8bdbfc816ba</vt:lpwstr>
  </property>
  <property fmtid="{D5CDD505-2E9C-101B-9397-08002B2CF9AE}" pid="9" name="MSIP_Label_32ae7b5d-0aac-474b-ae2b-02c331ef2874_ContentBits">
    <vt:lpwstr>0</vt:lpwstr>
  </property>
</Properties>
</file>