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D15C0A"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2"/>
          <w:szCs w:val="22"/>
        </w:rPr>
      </w:pPr>
      <w:bookmarkStart w:id="0" w:name="_Toc124404956"/>
      <w:r w:rsidRPr="00D15C0A">
        <w:rPr>
          <w:rFonts w:eastAsiaTheme="majorEastAsia" w:cstheme="minorHAnsi"/>
          <w:b/>
          <w:sz w:val="22"/>
          <w:szCs w:val="22"/>
        </w:rPr>
        <w:t xml:space="preserve">Pirkimo sąlygų </w:t>
      </w:r>
      <w:r w:rsidR="004746BE" w:rsidRPr="00D15C0A">
        <w:rPr>
          <w:rFonts w:eastAsiaTheme="majorEastAsia" w:cstheme="minorHAnsi"/>
          <w:b/>
          <w:sz w:val="22"/>
          <w:szCs w:val="22"/>
        </w:rPr>
        <w:t>5</w:t>
      </w:r>
      <w:r w:rsidRPr="00D15C0A">
        <w:rPr>
          <w:rFonts w:eastAsiaTheme="majorEastAsia" w:cstheme="minorHAnsi"/>
          <w:b/>
          <w:sz w:val="22"/>
          <w:szCs w:val="22"/>
        </w:rPr>
        <w:t xml:space="preserve"> priedas „</w:t>
      </w:r>
      <w:r w:rsidR="0076016C" w:rsidRPr="00D15C0A">
        <w:rPr>
          <w:rFonts w:eastAsiaTheme="majorEastAsia" w:cstheme="minorHAnsi"/>
          <w:b/>
          <w:sz w:val="22"/>
          <w:szCs w:val="22"/>
        </w:rPr>
        <w:t>EBVPD</w:t>
      </w:r>
      <w:r w:rsidRPr="00D15C0A">
        <w:rPr>
          <w:rFonts w:eastAsiaTheme="majorEastAsia" w:cstheme="minorHAnsi"/>
          <w:b/>
          <w:sz w:val="22"/>
          <w:szCs w:val="22"/>
        </w:rPr>
        <w:t>“</w:t>
      </w:r>
      <w:bookmarkEnd w:id="0"/>
      <w:r w:rsidR="0076016C" w:rsidRPr="00D15C0A">
        <w:rPr>
          <w:rFonts w:eastAsiaTheme="majorEastAsia" w:cstheme="minorHAnsi"/>
          <w:b/>
          <w:sz w:val="22"/>
          <w:szCs w:val="22"/>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CFB"/>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860"/>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5C0A"/>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14</cp:revision>
  <dcterms:created xsi:type="dcterms:W3CDTF">2024-04-15T09:56:00Z</dcterms:created>
  <dcterms:modified xsi:type="dcterms:W3CDTF">2025-01-28T09:31:00Z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