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161F9" w14:textId="77777777" w:rsidR="006C7451" w:rsidRPr="001238CA" w:rsidRDefault="006C7451" w:rsidP="006C7451">
      <w:pPr>
        <w:jc w:val="right"/>
        <w:rPr>
          <w:lang w:val="lt-LT"/>
        </w:rPr>
      </w:pPr>
    </w:p>
    <w:p w14:paraId="7EE86A4A" w14:textId="0F0FCA3A" w:rsidR="006C7451" w:rsidRPr="001238CA" w:rsidRDefault="006C7451" w:rsidP="006C7451">
      <w:pPr>
        <w:jc w:val="center"/>
        <w:rPr>
          <w:lang w:val="lt-LT"/>
        </w:rPr>
      </w:pPr>
      <w:r w:rsidRPr="001238CA">
        <w:rPr>
          <w:lang w:val="lt-LT"/>
        </w:rPr>
        <w:t xml:space="preserve">VšĮ Lietuvos agrarinių ir miškų mokslo centras (toliau – Perkančioji organizacija) vykdo </w:t>
      </w:r>
      <w:r w:rsidR="00A8707A" w:rsidRPr="001238CA">
        <w:rPr>
          <w:lang w:val="lt-LT"/>
        </w:rPr>
        <w:t>skelbiamą apklausą pirkimo</w:t>
      </w:r>
      <w:r w:rsidRPr="001238CA">
        <w:rPr>
          <w:lang w:val="lt-LT"/>
        </w:rPr>
        <w:t xml:space="preserve"> „</w:t>
      </w:r>
      <w:r w:rsidR="00000F66" w:rsidRPr="001238CA">
        <w:rPr>
          <w:lang w:val="lt-LT"/>
        </w:rPr>
        <w:t>Sauso deginimo analizatorius</w:t>
      </w:r>
      <w:r w:rsidRPr="001238CA">
        <w:rPr>
          <w:lang w:val="lt-LT"/>
        </w:rPr>
        <w:t>”</w:t>
      </w:r>
      <w:r w:rsidR="008606A2" w:rsidRPr="001238CA">
        <w:rPr>
          <w:lang w:val="lt-LT"/>
        </w:rPr>
        <w:t>, CVP IS Nr.</w:t>
      </w:r>
      <w:r w:rsidR="00EA06A9" w:rsidRPr="001238CA">
        <w:rPr>
          <w:lang w:val="lt-LT"/>
        </w:rPr>
        <w:t xml:space="preserve"> </w:t>
      </w:r>
      <w:r w:rsidR="00000F66" w:rsidRPr="001238CA">
        <w:rPr>
          <w:lang w:val="lt-LT"/>
        </w:rPr>
        <w:t>8967954</w:t>
      </w:r>
      <w:r w:rsidR="008606A2" w:rsidRPr="001238CA">
        <w:rPr>
          <w:lang w:val="lt-LT"/>
        </w:rPr>
        <w:t xml:space="preserve"> </w:t>
      </w:r>
      <w:r w:rsidRPr="001238CA">
        <w:rPr>
          <w:lang w:val="lt-LT"/>
        </w:rPr>
        <w:t>(toliau – Pirkimas).</w:t>
      </w:r>
    </w:p>
    <w:p w14:paraId="279285E1" w14:textId="77777777" w:rsidR="006C7451" w:rsidRPr="001238CA" w:rsidRDefault="006C7451" w:rsidP="00E70BBA">
      <w:pPr>
        <w:jc w:val="center"/>
        <w:rPr>
          <w:b/>
          <w:bCs/>
          <w:sz w:val="28"/>
          <w:szCs w:val="28"/>
          <w:lang w:val="lt-LT"/>
        </w:rPr>
      </w:pPr>
    </w:p>
    <w:p w14:paraId="0837E173" w14:textId="1BE87D23" w:rsidR="005E1DBC" w:rsidRPr="001238CA" w:rsidRDefault="00E70BBA" w:rsidP="00E70BBA">
      <w:pPr>
        <w:jc w:val="center"/>
        <w:rPr>
          <w:b/>
          <w:bCs/>
          <w:sz w:val="28"/>
          <w:szCs w:val="28"/>
          <w:lang w:val="lt-LT"/>
        </w:rPr>
      </w:pPr>
      <w:r w:rsidRPr="001238CA">
        <w:rPr>
          <w:b/>
          <w:bCs/>
          <w:sz w:val="28"/>
          <w:szCs w:val="28"/>
          <w:lang w:val="lt-LT"/>
        </w:rPr>
        <w:t>Atsakyma</w:t>
      </w:r>
      <w:r w:rsidR="00F75638" w:rsidRPr="001238CA">
        <w:rPr>
          <w:b/>
          <w:bCs/>
          <w:sz w:val="28"/>
          <w:szCs w:val="28"/>
          <w:lang w:val="lt-LT"/>
        </w:rPr>
        <w:t>s į pateikt</w:t>
      </w:r>
      <w:r w:rsidR="00C675EE" w:rsidRPr="001238CA">
        <w:rPr>
          <w:b/>
          <w:bCs/>
          <w:sz w:val="28"/>
          <w:szCs w:val="28"/>
          <w:lang w:val="lt-LT"/>
        </w:rPr>
        <w:t>as</w:t>
      </w:r>
      <w:r w:rsidR="00F75638" w:rsidRPr="001238CA">
        <w:rPr>
          <w:b/>
          <w:bCs/>
          <w:sz w:val="28"/>
          <w:szCs w:val="28"/>
          <w:lang w:val="lt-LT"/>
        </w:rPr>
        <w:t xml:space="preserve"> užklaus</w:t>
      </w:r>
      <w:r w:rsidR="00C675EE" w:rsidRPr="001238CA">
        <w:rPr>
          <w:b/>
          <w:bCs/>
          <w:sz w:val="28"/>
          <w:szCs w:val="28"/>
          <w:lang w:val="lt-LT"/>
        </w:rPr>
        <w:t>as</w:t>
      </w:r>
    </w:p>
    <w:tbl>
      <w:tblPr>
        <w:tblStyle w:val="Lentelstinklelis"/>
        <w:tblW w:w="0" w:type="auto"/>
        <w:tblLook w:val="04A0" w:firstRow="1" w:lastRow="0" w:firstColumn="1" w:lastColumn="0" w:noHBand="0" w:noVBand="1"/>
      </w:tblPr>
      <w:tblGrid>
        <w:gridCol w:w="4675"/>
        <w:gridCol w:w="4675"/>
      </w:tblGrid>
      <w:tr w:rsidR="00E70BBA" w:rsidRPr="001238CA" w14:paraId="273AABCE" w14:textId="77777777" w:rsidTr="4AEA572A">
        <w:tc>
          <w:tcPr>
            <w:tcW w:w="4675" w:type="dxa"/>
          </w:tcPr>
          <w:p w14:paraId="7002FAA2" w14:textId="416F39AA" w:rsidR="00E70BBA" w:rsidRPr="001238CA" w:rsidRDefault="008E0C48" w:rsidP="00305853">
            <w:pPr>
              <w:jc w:val="center"/>
              <w:rPr>
                <w:b/>
                <w:bCs/>
                <w:lang w:val="lt-LT"/>
              </w:rPr>
            </w:pPr>
            <w:r w:rsidRPr="001238CA">
              <w:rPr>
                <w:b/>
                <w:bCs/>
                <w:lang w:val="lt-LT"/>
              </w:rPr>
              <w:t>Užklausa</w:t>
            </w:r>
          </w:p>
        </w:tc>
        <w:tc>
          <w:tcPr>
            <w:tcW w:w="4675" w:type="dxa"/>
          </w:tcPr>
          <w:p w14:paraId="3D55FF94" w14:textId="74780C6B" w:rsidR="00E70BBA" w:rsidRPr="001238CA" w:rsidRDefault="00E70BBA" w:rsidP="00305853">
            <w:pPr>
              <w:jc w:val="center"/>
              <w:rPr>
                <w:b/>
                <w:bCs/>
                <w:lang w:val="lt-LT"/>
              </w:rPr>
            </w:pPr>
            <w:r w:rsidRPr="001238CA">
              <w:rPr>
                <w:b/>
                <w:bCs/>
                <w:lang w:val="lt-LT"/>
              </w:rPr>
              <w:t>Perkančiosios organizacijos atsakymas</w:t>
            </w:r>
          </w:p>
        </w:tc>
      </w:tr>
      <w:tr w:rsidR="00E70BBA" w:rsidRPr="001238CA" w14:paraId="0621ABE0" w14:textId="77777777" w:rsidTr="4AEA572A">
        <w:tc>
          <w:tcPr>
            <w:tcW w:w="4675" w:type="dxa"/>
          </w:tcPr>
          <w:p w14:paraId="683C4EC4" w14:textId="77777777" w:rsidR="001238CA" w:rsidRPr="001238CA" w:rsidRDefault="001238CA" w:rsidP="00801C98">
            <w:pPr>
              <w:jc w:val="both"/>
              <w:rPr>
                <w:rFonts w:ascii="Calibri" w:hAnsi="Calibri" w:cs="Calibri"/>
                <w:color w:val="333333"/>
                <w:sz w:val="23"/>
                <w:szCs w:val="23"/>
                <w:shd w:val="clear" w:color="auto" w:fill="FFFFFF"/>
                <w:lang w:val="lt-LT"/>
              </w:rPr>
            </w:pPr>
            <w:r w:rsidRPr="001238CA">
              <w:rPr>
                <w:rFonts w:ascii="Calibri" w:hAnsi="Calibri" w:cs="Calibri"/>
                <w:color w:val="333333"/>
                <w:sz w:val="23"/>
                <w:szCs w:val="23"/>
                <w:shd w:val="clear" w:color="auto" w:fill="FFFFFF"/>
                <w:lang w:val="lt-LT"/>
              </w:rPr>
              <w:t>„Laba diena,</w:t>
            </w:r>
          </w:p>
          <w:p w14:paraId="1F7FB970" w14:textId="77777777" w:rsidR="00B470C7" w:rsidRDefault="001238CA" w:rsidP="00801C98">
            <w:pPr>
              <w:jc w:val="both"/>
              <w:rPr>
                <w:rFonts w:ascii="Calibri" w:hAnsi="Calibri" w:cs="Calibri"/>
                <w:color w:val="333333"/>
                <w:sz w:val="23"/>
                <w:szCs w:val="23"/>
                <w:shd w:val="clear" w:color="auto" w:fill="FFFFFF"/>
                <w:lang w:val="lt-LT"/>
              </w:rPr>
            </w:pPr>
            <w:r w:rsidRPr="001238CA">
              <w:rPr>
                <w:rFonts w:ascii="Calibri" w:hAnsi="Calibri" w:cs="Calibri"/>
                <w:color w:val="333333"/>
                <w:sz w:val="23"/>
                <w:szCs w:val="23"/>
                <w:shd w:val="clear" w:color="auto" w:fill="FFFFFF"/>
                <w:lang w:val="lt-LT"/>
              </w:rPr>
              <w:t>Susipažinę su VšĮ Lietuvos agrarinių ir miškų mokslų centro paskelbto tarptautinio viešojo pirkimo „Sauso deginimo analizatorius“ (pirkimo Nr. 8967954) pirkimo sąlygomis ir jų priedais, prašome paaiškinti bei patikslinti Techninės specifikacijos (Priedas Nr. 2) reikalavimus.</w:t>
            </w:r>
            <w:r w:rsidRPr="001238CA">
              <w:rPr>
                <w:rFonts w:ascii="Calibri" w:hAnsi="Calibri" w:cs="Calibri"/>
                <w:color w:val="333333"/>
                <w:sz w:val="23"/>
                <w:szCs w:val="23"/>
                <w:shd w:val="clear" w:color="auto" w:fill="FFFFFF"/>
                <w:lang w:val="lt-LT"/>
              </w:rPr>
              <w:br/>
              <w:t>Techninės specifikacijos 8.1 punkte yra nustatytas griežtas reikalavimas: „Didžiausia analizatoriaus suvartojama elektrinė galia turi būti ne didesnė kaip 700 W“.</w:t>
            </w:r>
          </w:p>
          <w:p w14:paraId="1019A69C" w14:textId="01F9BC2F" w:rsidR="001238CA" w:rsidRDefault="001238CA" w:rsidP="00801C98">
            <w:pPr>
              <w:jc w:val="both"/>
              <w:rPr>
                <w:rFonts w:ascii="Calibri" w:hAnsi="Calibri" w:cs="Calibri"/>
                <w:color w:val="333333"/>
                <w:sz w:val="23"/>
                <w:szCs w:val="23"/>
                <w:shd w:val="clear" w:color="auto" w:fill="FFFFFF"/>
                <w:lang w:val="lt-LT"/>
              </w:rPr>
            </w:pPr>
            <w:r w:rsidRPr="001238CA">
              <w:rPr>
                <w:rFonts w:ascii="Calibri" w:hAnsi="Calibri" w:cs="Calibri"/>
                <w:color w:val="333333"/>
                <w:sz w:val="23"/>
                <w:szCs w:val="23"/>
                <w:shd w:val="clear" w:color="auto" w:fill="FFFFFF"/>
                <w:lang w:val="lt-LT"/>
              </w:rPr>
              <w:t>Atlikę rinkos analizę ir įvertinę pasaulyje pirmaujančių sauso deginimo CHNS/O analizatorių gamintojų (tokių kaip „</w:t>
            </w:r>
            <w:proofErr w:type="spellStart"/>
            <w:r w:rsidRPr="001238CA">
              <w:rPr>
                <w:rFonts w:ascii="Calibri" w:hAnsi="Calibri" w:cs="Calibri"/>
                <w:color w:val="333333"/>
                <w:sz w:val="23"/>
                <w:szCs w:val="23"/>
                <w:shd w:val="clear" w:color="auto" w:fill="FFFFFF"/>
                <w:lang w:val="lt-LT"/>
              </w:rPr>
              <w:t>Elementar</w:t>
            </w:r>
            <w:proofErr w:type="spellEnd"/>
            <w:r w:rsidRPr="001238CA">
              <w:rPr>
                <w:rFonts w:ascii="Calibri" w:hAnsi="Calibri" w:cs="Calibri"/>
                <w:color w:val="333333"/>
                <w:sz w:val="23"/>
                <w:szCs w:val="23"/>
                <w:shd w:val="clear" w:color="auto" w:fill="FFFFFF"/>
                <w:lang w:val="lt-LT"/>
              </w:rPr>
              <w:t>“, „</w:t>
            </w:r>
            <w:proofErr w:type="spellStart"/>
            <w:r w:rsidRPr="001238CA">
              <w:rPr>
                <w:rFonts w:ascii="Calibri" w:hAnsi="Calibri" w:cs="Calibri"/>
                <w:color w:val="333333"/>
                <w:sz w:val="23"/>
                <w:szCs w:val="23"/>
                <w:shd w:val="clear" w:color="auto" w:fill="FFFFFF"/>
                <w:lang w:val="lt-LT"/>
              </w:rPr>
              <w:t>Thermo</w:t>
            </w:r>
            <w:proofErr w:type="spellEnd"/>
            <w:r w:rsidRPr="001238CA">
              <w:rPr>
                <w:rFonts w:ascii="Calibri" w:hAnsi="Calibri" w:cs="Calibri"/>
                <w:color w:val="333333"/>
                <w:sz w:val="23"/>
                <w:szCs w:val="23"/>
                <w:shd w:val="clear" w:color="auto" w:fill="FFFFFF"/>
                <w:lang w:val="lt-LT"/>
              </w:rPr>
              <w:t xml:space="preserve"> </w:t>
            </w:r>
            <w:proofErr w:type="spellStart"/>
            <w:r w:rsidRPr="001238CA">
              <w:rPr>
                <w:rFonts w:ascii="Calibri" w:hAnsi="Calibri" w:cs="Calibri"/>
                <w:color w:val="333333"/>
                <w:sz w:val="23"/>
                <w:szCs w:val="23"/>
                <w:shd w:val="clear" w:color="auto" w:fill="FFFFFF"/>
                <w:lang w:val="lt-LT"/>
              </w:rPr>
              <w:t>Fisher</w:t>
            </w:r>
            <w:proofErr w:type="spellEnd"/>
            <w:r w:rsidRPr="001238CA">
              <w:rPr>
                <w:rFonts w:ascii="Calibri" w:hAnsi="Calibri" w:cs="Calibri"/>
                <w:color w:val="333333"/>
                <w:sz w:val="23"/>
                <w:szCs w:val="23"/>
                <w:shd w:val="clear" w:color="auto" w:fill="FFFFFF"/>
                <w:lang w:val="lt-LT"/>
              </w:rPr>
              <w:t xml:space="preserve"> </w:t>
            </w:r>
            <w:proofErr w:type="spellStart"/>
            <w:r w:rsidRPr="001238CA">
              <w:rPr>
                <w:rFonts w:ascii="Calibri" w:hAnsi="Calibri" w:cs="Calibri"/>
                <w:color w:val="333333"/>
                <w:sz w:val="23"/>
                <w:szCs w:val="23"/>
                <w:shd w:val="clear" w:color="auto" w:fill="FFFFFF"/>
                <w:lang w:val="lt-LT"/>
              </w:rPr>
              <w:t>Scientific</w:t>
            </w:r>
            <w:proofErr w:type="spellEnd"/>
            <w:r w:rsidRPr="001238CA">
              <w:rPr>
                <w:rFonts w:ascii="Calibri" w:hAnsi="Calibri" w:cs="Calibri"/>
                <w:color w:val="333333"/>
                <w:sz w:val="23"/>
                <w:szCs w:val="23"/>
                <w:shd w:val="clear" w:color="auto" w:fill="FFFFFF"/>
                <w:lang w:val="lt-LT"/>
              </w:rPr>
              <w:t xml:space="preserve">“, „VELP </w:t>
            </w:r>
            <w:proofErr w:type="spellStart"/>
            <w:r w:rsidRPr="001238CA">
              <w:rPr>
                <w:rFonts w:ascii="Calibri" w:hAnsi="Calibri" w:cs="Calibri"/>
                <w:color w:val="333333"/>
                <w:sz w:val="23"/>
                <w:szCs w:val="23"/>
                <w:shd w:val="clear" w:color="auto" w:fill="FFFFFF"/>
                <w:lang w:val="lt-LT"/>
              </w:rPr>
              <w:t>Scientifica</w:t>
            </w:r>
            <w:proofErr w:type="spellEnd"/>
            <w:r w:rsidRPr="001238CA">
              <w:rPr>
                <w:rFonts w:ascii="Calibri" w:hAnsi="Calibri" w:cs="Calibri"/>
                <w:color w:val="333333"/>
                <w:sz w:val="23"/>
                <w:szCs w:val="23"/>
                <w:shd w:val="clear" w:color="auto" w:fill="FFFFFF"/>
                <w:lang w:val="lt-LT"/>
              </w:rPr>
              <w:t>“ ir kt.) technines charakteristikas, pastebėjome, kad absoliuti dauguma šių įrenginių naudoja aukštos temperatūros (900–1200 °C) deginimo krosnis. Dėl šios priežasties jų maksimali (</w:t>
            </w:r>
            <w:proofErr w:type="spellStart"/>
            <w:r w:rsidRPr="001238CA">
              <w:rPr>
                <w:rFonts w:ascii="Calibri" w:hAnsi="Calibri" w:cs="Calibri"/>
                <w:color w:val="333333"/>
                <w:sz w:val="23"/>
                <w:szCs w:val="23"/>
                <w:shd w:val="clear" w:color="auto" w:fill="FFFFFF"/>
                <w:lang w:val="lt-LT"/>
              </w:rPr>
              <w:t>pikinė</w:t>
            </w:r>
            <w:proofErr w:type="spellEnd"/>
            <w:r w:rsidRPr="001238CA">
              <w:rPr>
                <w:rFonts w:ascii="Calibri" w:hAnsi="Calibri" w:cs="Calibri"/>
                <w:color w:val="333333"/>
                <w:sz w:val="23"/>
                <w:szCs w:val="23"/>
                <w:shd w:val="clear" w:color="auto" w:fill="FFFFFF"/>
                <w:lang w:val="lt-LT"/>
              </w:rPr>
              <w:t>) suvartojama elektrinė galia paleidimo bei aktyvaus kaitinimo metu siekia apie 1000–1500 W.</w:t>
            </w:r>
            <w:r w:rsidRPr="001238CA">
              <w:rPr>
                <w:rFonts w:ascii="Calibri" w:hAnsi="Calibri" w:cs="Calibri"/>
                <w:color w:val="333333"/>
                <w:sz w:val="23"/>
                <w:szCs w:val="23"/>
                <w:shd w:val="clear" w:color="auto" w:fill="FFFFFF"/>
                <w:lang w:val="lt-LT"/>
              </w:rPr>
              <w:br/>
              <w:t>Mūsų žiniomis, rinkoje egzistuoja tik vienas specifinis gamintojas („</w:t>
            </w:r>
            <w:proofErr w:type="spellStart"/>
            <w:r w:rsidRPr="001238CA">
              <w:rPr>
                <w:rFonts w:ascii="Calibri" w:hAnsi="Calibri" w:cs="Calibri"/>
                <w:color w:val="333333"/>
                <w:sz w:val="23"/>
                <w:szCs w:val="23"/>
                <w:shd w:val="clear" w:color="auto" w:fill="FFFFFF"/>
                <w:lang w:val="lt-LT"/>
              </w:rPr>
              <w:t>EuroVector</w:t>
            </w:r>
            <w:proofErr w:type="spellEnd"/>
            <w:r w:rsidRPr="001238CA">
              <w:rPr>
                <w:rFonts w:ascii="Calibri" w:hAnsi="Calibri" w:cs="Calibri"/>
                <w:color w:val="333333"/>
                <w:sz w:val="23"/>
                <w:szCs w:val="23"/>
                <w:shd w:val="clear" w:color="auto" w:fill="FFFFFF"/>
                <w:lang w:val="lt-LT"/>
              </w:rPr>
              <w:t>“), kurio technologiniai sprendimai leidžia neviršyti jūsų nurodytos 700 W ribos.</w:t>
            </w:r>
          </w:p>
          <w:p w14:paraId="0B1A9494" w14:textId="77777777" w:rsidR="001238CA" w:rsidRDefault="001238CA" w:rsidP="00801C98">
            <w:pPr>
              <w:jc w:val="both"/>
              <w:rPr>
                <w:rFonts w:ascii="Calibri" w:hAnsi="Calibri" w:cs="Calibri"/>
                <w:color w:val="333333"/>
                <w:sz w:val="23"/>
                <w:szCs w:val="23"/>
                <w:shd w:val="clear" w:color="auto" w:fill="FFFFFF"/>
                <w:lang w:val="lt-LT"/>
              </w:rPr>
            </w:pPr>
            <w:r w:rsidRPr="001238CA">
              <w:rPr>
                <w:rFonts w:ascii="Calibri" w:hAnsi="Calibri" w:cs="Calibri"/>
                <w:color w:val="333333"/>
                <w:sz w:val="23"/>
                <w:szCs w:val="23"/>
                <w:shd w:val="clear" w:color="auto" w:fill="FFFFFF"/>
                <w:lang w:val="lt-LT"/>
              </w:rPr>
              <w:t>Atsižvelgiant į tai, kad pirkimo dokumentų 11.1 punkte deklaruojate technologinį neutralumą, o Lietuvos Respublikos viešųjų pirkimų įstatymas (VPĮ) draudžia kelti specifikacijas, kurios nepagrįstai riboja tiekėjų konkurenciją ir dirbtinai pritaiko pirkimą tik vienam konkrečiam gamintojui ar modeliui:</w:t>
            </w:r>
          </w:p>
          <w:p w14:paraId="601ABCCC" w14:textId="77777777" w:rsidR="001238CA" w:rsidRDefault="001238CA" w:rsidP="00801C98">
            <w:pPr>
              <w:jc w:val="both"/>
              <w:rPr>
                <w:rFonts w:ascii="Calibri" w:hAnsi="Calibri" w:cs="Calibri"/>
                <w:color w:val="333333"/>
                <w:sz w:val="23"/>
                <w:szCs w:val="23"/>
                <w:shd w:val="clear" w:color="auto" w:fill="FFFFFF"/>
                <w:lang w:val="lt-LT"/>
              </w:rPr>
            </w:pPr>
            <w:r w:rsidRPr="001238CA">
              <w:rPr>
                <w:rFonts w:ascii="Calibri" w:hAnsi="Calibri" w:cs="Calibri"/>
                <w:color w:val="333333"/>
                <w:sz w:val="23"/>
                <w:szCs w:val="23"/>
                <w:shd w:val="clear" w:color="auto" w:fill="FFFFFF"/>
                <w:lang w:val="lt-LT"/>
              </w:rPr>
              <w:t xml:space="preserve">1. Prašome patikslinti, ar Techninės specifikacijos 8.1 punkte nurodytas 700 W apribojimas taikomas prietaiso vidutinei suvartojamai galiai rutininio darbo metu, ar </w:t>
            </w:r>
            <w:r w:rsidRPr="001238CA">
              <w:rPr>
                <w:rFonts w:ascii="Calibri" w:hAnsi="Calibri" w:cs="Calibri"/>
                <w:color w:val="333333"/>
                <w:sz w:val="23"/>
                <w:szCs w:val="23"/>
                <w:shd w:val="clear" w:color="auto" w:fill="FFFFFF"/>
                <w:lang w:val="lt-LT"/>
              </w:rPr>
              <w:lastRenderedPageBreak/>
              <w:t>maksimaliai (</w:t>
            </w:r>
            <w:proofErr w:type="spellStart"/>
            <w:r w:rsidRPr="001238CA">
              <w:rPr>
                <w:rFonts w:ascii="Calibri" w:hAnsi="Calibri" w:cs="Calibri"/>
                <w:color w:val="333333"/>
                <w:sz w:val="23"/>
                <w:szCs w:val="23"/>
                <w:shd w:val="clear" w:color="auto" w:fill="FFFFFF"/>
                <w:lang w:val="lt-LT"/>
              </w:rPr>
              <w:t>pikinei</w:t>
            </w:r>
            <w:proofErr w:type="spellEnd"/>
            <w:r w:rsidRPr="001238CA">
              <w:rPr>
                <w:rFonts w:ascii="Calibri" w:hAnsi="Calibri" w:cs="Calibri"/>
                <w:color w:val="333333"/>
                <w:sz w:val="23"/>
                <w:szCs w:val="23"/>
                <w:shd w:val="clear" w:color="auto" w:fill="FFFFFF"/>
                <w:lang w:val="lt-LT"/>
              </w:rPr>
              <w:t>) galiai įrenginio įjungimo/įkaitimo fazėje?</w:t>
            </w:r>
          </w:p>
          <w:p w14:paraId="58EDF9BA" w14:textId="77777777" w:rsidR="00E82929" w:rsidRDefault="001238CA" w:rsidP="00801C98">
            <w:pPr>
              <w:jc w:val="both"/>
              <w:rPr>
                <w:rFonts w:ascii="Calibri" w:hAnsi="Calibri" w:cs="Calibri"/>
                <w:color w:val="333333"/>
                <w:sz w:val="23"/>
                <w:szCs w:val="23"/>
                <w:shd w:val="clear" w:color="auto" w:fill="FFFFFF"/>
                <w:lang w:val="lt-LT"/>
              </w:rPr>
            </w:pPr>
            <w:r w:rsidRPr="001238CA">
              <w:rPr>
                <w:rFonts w:ascii="Calibri" w:hAnsi="Calibri" w:cs="Calibri"/>
                <w:color w:val="333333"/>
                <w:sz w:val="23"/>
                <w:szCs w:val="23"/>
                <w:shd w:val="clear" w:color="auto" w:fill="FFFFFF"/>
                <w:lang w:val="lt-LT"/>
              </w:rPr>
              <w:t>2. Siekiant užtikrinti realią tiekėjų konkurenciją, racionalų pirkimo lėšų panaudojimą ir leisti Perkančiajai organizacijai rinktis iš daugiau nei vieno gamintojo, prašome pakoreguoti Techninės specifikacijos 8.1 punktą, padidinant leistiną didžiausią elektrinę galią bent iki 1500 W.</w:t>
            </w:r>
            <w:r w:rsidRPr="001238CA">
              <w:rPr>
                <w:rFonts w:ascii="Calibri" w:hAnsi="Calibri" w:cs="Calibri"/>
                <w:color w:val="333333"/>
                <w:sz w:val="23"/>
                <w:szCs w:val="23"/>
                <w:shd w:val="clear" w:color="auto" w:fill="FFFFFF"/>
                <w:lang w:val="lt-LT"/>
              </w:rPr>
              <w:br/>
              <w:t>Tikimės konstruktyvaus bendradarbiavimo ir išankstinių pirkimo dokumentų patikslinimų, kurie padės išvengti galimų pretenzijų ar procedūrų stabdymo ateityje</w:t>
            </w:r>
          </w:p>
          <w:p w14:paraId="10DDCBEA" w14:textId="3C923574" w:rsidR="00E70BBA" w:rsidRPr="001238CA" w:rsidRDefault="001238CA" w:rsidP="00801C98">
            <w:pPr>
              <w:jc w:val="both"/>
              <w:rPr>
                <w:rFonts w:ascii="Calibri" w:hAnsi="Calibri" w:cs="Calibri"/>
                <w:color w:val="333333"/>
                <w:sz w:val="23"/>
                <w:szCs w:val="23"/>
                <w:shd w:val="clear" w:color="auto" w:fill="FFFFFF"/>
                <w:lang w:val="lt-LT"/>
              </w:rPr>
            </w:pPr>
            <w:r w:rsidRPr="001238CA">
              <w:rPr>
                <w:rFonts w:ascii="Calibri" w:hAnsi="Calibri" w:cs="Calibri"/>
                <w:color w:val="333333"/>
                <w:sz w:val="23"/>
                <w:szCs w:val="23"/>
                <w:shd w:val="clear" w:color="auto" w:fill="FFFFFF"/>
                <w:lang w:val="lt-LT"/>
              </w:rPr>
              <w:t>Pagarbiai,“</w:t>
            </w:r>
          </w:p>
        </w:tc>
        <w:tc>
          <w:tcPr>
            <w:tcW w:w="4675" w:type="dxa"/>
          </w:tcPr>
          <w:p w14:paraId="285FAE06" w14:textId="77777777" w:rsidR="008C6751" w:rsidRPr="008C6751" w:rsidRDefault="008C6751" w:rsidP="008C6751">
            <w:pPr>
              <w:jc w:val="both"/>
              <w:rPr>
                <w:lang w:val="lt-LT"/>
              </w:rPr>
            </w:pPr>
            <w:r w:rsidRPr="008C6751">
              <w:rPr>
                <w:lang w:val="lt-LT"/>
              </w:rPr>
              <w:lastRenderedPageBreak/>
              <w:t>Išnagrinėjusi pateiktą prašymą, Perkančioji organizacija informuoja, kad prašymą laiko nepagrįstu ir jo netenkina.</w:t>
            </w:r>
          </w:p>
          <w:p w14:paraId="79A3EB27" w14:textId="77777777" w:rsidR="008C6751" w:rsidRPr="008C6751" w:rsidRDefault="008C6751" w:rsidP="008C6751">
            <w:pPr>
              <w:jc w:val="both"/>
              <w:rPr>
                <w:lang w:val="lt-LT"/>
              </w:rPr>
            </w:pPr>
            <w:r w:rsidRPr="008C6751">
              <w:rPr>
                <w:lang w:val="lt-LT"/>
              </w:rPr>
              <w:t>Techninės specifikacijos 8.1 punkte nustatytas reikalavimas, kad maksimali analizatoriaus suvartojama elektros galia būtų ne didesnė kaip 700 W, nustatytas atsižvelgiant į Perkančiosios organizacijos faktinį poreikį, numatomą įrangos naudojimo pobūdį ir planuojamų atlikti analizių apimtį.</w:t>
            </w:r>
          </w:p>
          <w:p w14:paraId="2081223E" w14:textId="77777777" w:rsidR="008C6751" w:rsidRPr="008C6751" w:rsidRDefault="008C6751" w:rsidP="008C6751">
            <w:pPr>
              <w:jc w:val="both"/>
              <w:rPr>
                <w:lang w:val="lt-LT"/>
              </w:rPr>
            </w:pPr>
            <w:r w:rsidRPr="008C6751">
              <w:rPr>
                <w:lang w:val="lt-LT"/>
              </w:rPr>
              <w:t>Perkančioji organizacija planuoja analizuoti nedidelės masės mėginius, todėl jos numatomam įrangos naudojimo pobūdžiui nėra būtina didesnė analizatoriaus elektros galia. Nustatytas 700 W reikalavimas yra susijęs su siekiu įsigyti funkciniam poreikiui adekvačią, kompaktišką ir racionaliai naudojamą laboratorinę įrangą, o ne su konkrečiu gamintoju, modeliu ar konkrečia technologine konstrukcija.</w:t>
            </w:r>
          </w:p>
          <w:p w14:paraId="150B6DBB" w14:textId="77777777" w:rsidR="008C6751" w:rsidRPr="008C6751" w:rsidRDefault="008C6751" w:rsidP="008C6751">
            <w:pPr>
              <w:jc w:val="both"/>
              <w:rPr>
                <w:lang w:val="lt-LT"/>
              </w:rPr>
            </w:pPr>
            <w:r w:rsidRPr="008C6751">
              <w:rPr>
                <w:lang w:val="lt-LT"/>
              </w:rPr>
              <w:t xml:space="preserve">Pažymėtina, kad rinkoje yra ne vienas gamintojas, siūlantis CHNS-O elementinės analizės sprendimus, kurių maksimali elektros galia neviršija Techninės specifikacijos 8.1 punkte nustatytos 700 W ribos. </w:t>
            </w:r>
            <w:proofErr w:type="spellStart"/>
            <w:r w:rsidRPr="008C6751">
              <w:rPr>
                <w:lang w:val="lt-LT"/>
              </w:rPr>
              <w:t>EuroVector</w:t>
            </w:r>
            <w:proofErr w:type="spellEnd"/>
            <w:r w:rsidRPr="008C6751">
              <w:rPr>
                <w:lang w:val="lt-LT"/>
              </w:rPr>
              <w:t xml:space="preserve"> gaminamų CHNS-O analizatorių techniniuose duomenyse nurodoma 600 W elektros galia, o VELP </w:t>
            </w:r>
            <w:proofErr w:type="spellStart"/>
            <w:r w:rsidRPr="008C6751">
              <w:rPr>
                <w:lang w:val="lt-LT"/>
              </w:rPr>
              <w:t>Scientifica</w:t>
            </w:r>
            <w:proofErr w:type="spellEnd"/>
            <w:r w:rsidRPr="008C6751">
              <w:rPr>
                <w:lang w:val="lt-LT"/>
              </w:rPr>
              <w:t xml:space="preserve"> gaminamų CHNS-O analizatorių techniniuose duomenyse nurodoma 570 W elektros galia. Abiejų gamintojų įranga sudaro galimybę atlikti C, H, N, S ir O elementinę analizę.</w:t>
            </w:r>
          </w:p>
          <w:p w14:paraId="727D642A" w14:textId="77777777" w:rsidR="008C6751" w:rsidRPr="008C6751" w:rsidRDefault="008C6751" w:rsidP="008C6751">
            <w:pPr>
              <w:jc w:val="both"/>
              <w:rPr>
                <w:lang w:val="lt-LT"/>
              </w:rPr>
            </w:pPr>
            <w:r w:rsidRPr="008C6751">
              <w:rPr>
                <w:lang w:val="lt-LT"/>
              </w:rPr>
              <w:t xml:space="preserve">Atsižvelgiant į tai, prašyme nurodytas teiginys, kad 700 W reikalavimas iš esmės pritaikytas vienam konkrečiam gamintojui, nėra pagrįstas. Vien tai, kad dalies rinkoje esančių analizatorių maksimali elektros galia yra didesnė, savaime nesudaro pagrindo didinti Perkančiosios organizacijos poreikiams nustatytą maksimalią galios ribą. Perkančioji organizacija, būdama biudžetinė įstaiga, taip pat privalo užtikrinti racionalų, </w:t>
            </w:r>
            <w:r w:rsidRPr="008C6751">
              <w:rPr>
                <w:lang w:val="lt-LT"/>
              </w:rPr>
              <w:lastRenderedPageBreak/>
              <w:t>pagrįstą ir ekonomiškai tikslingą skirtų lėšų naudojimą. Todėl įrangos techniniai parametrai nustatomi pagal realų jos naudojimo poreikį, neperkant didesnių nei būtina techninių charakteristikų.</w:t>
            </w:r>
          </w:p>
          <w:p w14:paraId="4F78992A" w14:textId="77777777" w:rsidR="008C6751" w:rsidRPr="008C6751" w:rsidRDefault="008C6751" w:rsidP="008C6751">
            <w:pPr>
              <w:jc w:val="both"/>
              <w:rPr>
                <w:lang w:val="lt-LT"/>
              </w:rPr>
            </w:pPr>
            <w:r w:rsidRPr="008C6751">
              <w:rPr>
                <w:lang w:val="lt-LT"/>
              </w:rPr>
              <w:t>Atsižvelgiant į Perkančiosios organizacijos poreikį, numatomą įrangos naudojimo pobūdį ir rinkoje esančius nustatytą galios ribą atitinkančius techninius sprendimus, nėra pagrindo Techninės specifikacijos 8.1 punkte nustatytą maksimalią elektros galią didinti iki 1500 W.</w:t>
            </w:r>
          </w:p>
          <w:p w14:paraId="27E48DD3" w14:textId="6098CE7A" w:rsidR="00E70BBA" w:rsidRPr="001238CA" w:rsidRDefault="008C6751" w:rsidP="008C6751">
            <w:pPr>
              <w:jc w:val="both"/>
              <w:rPr>
                <w:lang w:val="lt-LT"/>
              </w:rPr>
            </w:pPr>
            <w:r w:rsidRPr="008C6751">
              <w:rPr>
                <w:lang w:val="lt-LT"/>
              </w:rPr>
              <w:t>Techninės specifikacijos 8.1 punkte nustatytas reikalavimas – maksimali elektros galia ne didesnė kaip 700 W – paliekamas nepakeistas.</w:t>
            </w:r>
          </w:p>
        </w:tc>
      </w:tr>
    </w:tbl>
    <w:p w14:paraId="2AAA01F2" w14:textId="77777777" w:rsidR="00E70BBA" w:rsidRPr="001238CA" w:rsidRDefault="00E70BBA">
      <w:pPr>
        <w:rPr>
          <w:lang w:val="lt-LT"/>
        </w:rPr>
      </w:pPr>
    </w:p>
    <w:sectPr w:rsidR="00E70BBA" w:rsidRPr="001238CA" w:rsidSect="00B10288">
      <w:pgSz w:w="12240" w:h="15840"/>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69F7" w14:textId="77777777" w:rsidR="00C93801" w:rsidRDefault="00C93801" w:rsidP="00E70BBA">
      <w:pPr>
        <w:spacing w:after="0" w:line="240" w:lineRule="auto"/>
      </w:pPr>
      <w:r>
        <w:separator/>
      </w:r>
    </w:p>
  </w:endnote>
  <w:endnote w:type="continuationSeparator" w:id="0">
    <w:p w14:paraId="73A19A3B" w14:textId="77777777" w:rsidR="00C93801" w:rsidRDefault="00C93801" w:rsidP="00E7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49641" w14:textId="77777777" w:rsidR="00C93801" w:rsidRDefault="00C93801" w:rsidP="00E70BBA">
      <w:pPr>
        <w:spacing w:after="0" w:line="240" w:lineRule="auto"/>
      </w:pPr>
      <w:r>
        <w:separator/>
      </w:r>
    </w:p>
  </w:footnote>
  <w:footnote w:type="continuationSeparator" w:id="0">
    <w:p w14:paraId="4F2FBCF6" w14:textId="77777777" w:rsidR="00C93801" w:rsidRDefault="00C93801" w:rsidP="00E70B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EFA1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FC0B9B"/>
    <w:multiLevelType w:val="hybridMultilevel"/>
    <w:tmpl w:val="C6A4FD5A"/>
    <w:lvl w:ilvl="0" w:tplc="04270011">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3D2538"/>
    <w:multiLevelType w:val="hybridMultilevel"/>
    <w:tmpl w:val="A6C0C3B0"/>
    <w:lvl w:ilvl="0" w:tplc="BBC40654">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B8E422B"/>
    <w:multiLevelType w:val="hybridMultilevel"/>
    <w:tmpl w:val="DEECA2DC"/>
    <w:lvl w:ilvl="0" w:tplc="42922D3E">
      <w:start w:val="1"/>
      <w:numFmt w:val="decimal"/>
      <w:lvlText w:val="%1)"/>
      <w:lvlJc w:val="left"/>
      <w:pPr>
        <w:ind w:left="720" w:hanging="360"/>
      </w:pPr>
      <w:rPr>
        <w:rFonts w:ascii="Times New Roman" w:hAnsi="Times New Roman" w:cs="Times New Roman"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8DE14B6"/>
    <w:multiLevelType w:val="hybridMultilevel"/>
    <w:tmpl w:val="9328D1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BA5610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7D234E0"/>
    <w:multiLevelType w:val="hybridMultilevel"/>
    <w:tmpl w:val="C400AFFC"/>
    <w:lvl w:ilvl="0" w:tplc="04270011">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89B5838"/>
    <w:multiLevelType w:val="multilevel"/>
    <w:tmpl w:val="EA00C5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1A3025C"/>
    <w:multiLevelType w:val="hybridMultilevel"/>
    <w:tmpl w:val="98603868"/>
    <w:lvl w:ilvl="0" w:tplc="FFFFFFFF">
      <w:start w:val="1"/>
      <w:numFmt w:val="ideographDigital"/>
      <w:lvlText w:val=""/>
      <w:lvlJc w:val="left"/>
    </w:lvl>
    <w:lvl w:ilvl="1" w:tplc="0427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BDE13AA"/>
    <w:multiLevelType w:val="multilevel"/>
    <w:tmpl w:val="4CDA9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23C5DF3"/>
    <w:multiLevelType w:val="hybridMultilevel"/>
    <w:tmpl w:val="CC465300"/>
    <w:lvl w:ilvl="0" w:tplc="04270011">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70275C0"/>
    <w:multiLevelType w:val="hybridMultilevel"/>
    <w:tmpl w:val="90B89090"/>
    <w:lvl w:ilvl="0" w:tplc="482062E6">
      <w:start w:val="1"/>
      <w:numFmt w:val="decimal"/>
      <w:lvlText w:val="%1)"/>
      <w:lvlJc w:val="left"/>
      <w:pPr>
        <w:ind w:left="720" w:hanging="360"/>
      </w:pPr>
      <w:rPr>
        <w:rFonts w:ascii="Times New Roman" w:hAnsi="Times New Roman" w:cs="Times New Roman"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2C8346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7252165"/>
    <w:multiLevelType w:val="hybridMultilevel"/>
    <w:tmpl w:val="2D3E290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9476CB9"/>
    <w:multiLevelType w:val="hybridMultilevel"/>
    <w:tmpl w:val="338A87D8"/>
    <w:lvl w:ilvl="0" w:tplc="04270011">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54217706">
    <w:abstractNumId w:val="2"/>
  </w:num>
  <w:num w:numId="2" w16cid:durableId="3688394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7598869">
    <w:abstractNumId w:val="4"/>
  </w:num>
  <w:num w:numId="4" w16cid:durableId="1593197390">
    <w:abstractNumId w:val="7"/>
  </w:num>
  <w:num w:numId="5" w16cid:durableId="308091964">
    <w:abstractNumId w:val="5"/>
  </w:num>
  <w:num w:numId="6" w16cid:durableId="1520974687">
    <w:abstractNumId w:val="1"/>
  </w:num>
  <w:num w:numId="7" w16cid:durableId="1270426102">
    <w:abstractNumId w:val="12"/>
  </w:num>
  <w:num w:numId="8" w16cid:durableId="1550993266">
    <w:abstractNumId w:val="14"/>
  </w:num>
  <w:num w:numId="9" w16cid:durableId="127169381">
    <w:abstractNumId w:val="0"/>
  </w:num>
  <w:num w:numId="10" w16cid:durableId="654645988">
    <w:abstractNumId w:val="6"/>
  </w:num>
  <w:num w:numId="11" w16cid:durableId="1453131874">
    <w:abstractNumId w:val="8"/>
  </w:num>
  <w:num w:numId="12" w16cid:durableId="979461836">
    <w:abstractNumId w:val="11"/>
  </w:num>
  <w:num w:numId="13" w16cid:durableId="1888953218">
    <w:abstractNumId w:val="3"/>
  </w:num>
  <w:num w:numId="14" w16cid:durableId="610403751">
    <w:abstractNumId w:val="13"/>
  </w:num>
  <w:num w:numId="15" w16cid:durableId="8318719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BBA"/>
    <w:rsid w:val="00000F66"/>
    <w:rsid w:val="00002825"/>
    <w:rsid w:val="00004566"/>
    <w:rsid w:val="000321AF"/>
    <w:rsid w:val="000B0930"/>
    <w:rsid w:val="001115CF"/>
    <w:rsid w:val="00115797"/>
    <w:rsid w:val="0012363C"/>
    <w:rsid w:val="001238CA"/>
    <w:rsid w:val="00164367"/>
    <w:rsid w:val="00192B1C"/>
    <w:rsid w:val="001B5659"/>
    <w:rsid w:val="001F1EDF"/>
    <w:rsid w:val="00201769"/>
    <w:rsid w:val="00252F6C"/>
    <w:rsid w:val="002D3350"/>
    <w:rsid w:val="00305853"/>
    <w:rsid w:val="00351645"/>
    <w:rsid w:val="00356017"/>
    <w:rsid w:val="00375D96"/>
    <w:rsid w:val="00391AFF"/>
    <w:rsid w:val="00451F87"/>
    <w:rsid w:val="00497209"/>
    <w:rsid w:val="004A73A6"/>
    <w:rsid w:val="004F6C36"/>
    <w:rsid w:val="00502795"/>
    <w:rsid w:val="00552F47"/>
    <w:rsid w:val="005647C7"/>
    <w:rsid w:val="00573BA5"/>
    <w:rsid w:val="00575837"/>
    <w:rsid w:val="00586275"/>
    <w:rsid w:val="005E1DBC"/>
    <w:rsid w:val="00617AD4"/>
    <w:rsid w:val="006626AA"/>
    <w:rsid w:val="006C7451"/>
    <w:rsid w:val="006F1389"/>
    <w:rsid w:val="00703BF8"/>
    <w:rsid w:val="0073135A"/>
    <w:rsid w:val="007A6759"/>
    <w:rsid w:val="007B14F1"/>
    <w:rsid w:val="00801C98"/>
    <w:rsid w:val="008606A2"/>
    <w:rsid w:val="00882838"/>
    <w:rsid w:val="008A04AD"/>
    <w:rsid w:val="008A2D2C"/>
    <w:rsid w:val="008C2685"/>
    <w:rsid w:val="008C2A63"/>
    <w:rsid w:val="008C6751"/>
    <w:rsid w:val="008C6C84"/>
    <w:rsid w:val="008E0C48"/>
    <w:rsid w:val="008E2A34"/>
    <w:rsid w:val="00934FFC"/>
    <w:rsid w:val="00946BAE"/>
    <w:rsid w:val="00991D31"/>
    <w:rsid w:val="00A06276"/>
    <w:rsid w:val="00A23CC7"/>
    <w:rsid w:val="00A658BB"/>
    <w:rsid w:val="00A67A49"/>
    <w:rsid w:val="00A8707A"/>
    <w:rsid w:val="00AC1C11"/>
    <w:rsid w:val="00AC7BA5"/>
    <w:rsid w:val="00AD3FA1"/>
    <w:rsid w:val="00B10288"/>
    <w:rsid w:val="00B470C7"/>
    <w:rsid w:val="00B73F2A"/>
    <w:rsid w:val="00BB293D"/>
    <w:rsid w:val="00BB3B2F"/>
    <w:rsid w:val="00BC745B"/>
    <w:rsid w:val="00BF706B"/>
    <w:rsid w:val="00C675EE"/>
    <w:rsid w:val="00C7147C"/>
    <w:rsid w:val="00C93801"/>
    <w:rsid w:val="00CA4B92"/>
    <w:rsid w:val="00CD1DDB"/>
    <w:rsid w:val="00D940B9"/>
    <w:rsid w:val="00E15A76"/>
    <w:rsid w:val="00E64593"/>
    <w:rsid w:val="00E64DE7"/>
    <w:rsid w:val="00E70BBA"/>
    <w:rsid w:val="00E735BD"/>
    <w:rsid w:val="00E82929"/>
    <w:rsid w:val="00EA06A9"/>
    <w:rsid w:val="00EA5FA1"/>
    <w:rsid w:val="00EE475E"/>
    <w:rsid w:val="00F525F4"/>
    <w:rsid w:val="00F75638"/>
    <w:rsid w:val="00F81724"/>
    <w:rsid w:val="00F8636C"/>
    <w:rsid w:val="00F921FF"/>
    <w:rsid w:val="00FD29D0"/>
    <w:rsid w:val="00FD6882"/>
    <w:rsid w:val="00FE2FB4"/>
    <w:rsid w:val="43733140"/>
    <w:rsid w:val="4AEA572A"/>
    <w:rsid w:val="61404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5B1A8"/>
  <w15:chartTrackingRefBased/>
  <w15:docId w15:val="{27D71359-5532-4099-81AD-F8373DD7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70BB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70BBA"/>
  </w:style>
  <w:style w:type="paragraph" w:styleId="Porat">
    <w:name w:val="footer"/>
    <w:basedOn w:val="prastasis"/>
    <w:link w:val="PoratDiagrama"/>
    <w:uiPriority w:val="99"/>
    <w:unhideWhenUsed/>
    <w:rsid w:val="00E70BB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70BBA"/>
  </w:style>
  <w:style w:type="table" w:styleId="Lentelstinklelis">
    <w:name w:val="Table Grid"/>
    <w:basedOn w:val="prastojilentel"/>
    <w:uiPriority w:val="39"/>
    <w:rsid w:val="00E70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E70BBA"/>
    <w:pPr>
      <w:ind w:left="720"/>
      <w:contextualSpacing/>
    </w:pPr>
    <w:rPr>
      <w:kern w:val="0"/>
      <w:lang w:val="lt-LT"/>
      <w14:ligatures w14:val="none"/>
    </w:rPr>
  </w:style>
  <w:style w:type="paragraph" w:customStyle="1" w:styleId="xmsonormal">
    <w:name w:val="x_msonormal"/>
    <w:basedOn w:val="prastasis"/>
    <w:rsid w:val="00E70BBA"/>
    <w:pPr>
      <w:spacing w:after="0" w:line="240" w:lineRule="auto"/>
    </w:pPr>
    <w:rPr>
      <w:rFonts w:ascii="Calibri" w:hAnsi="Calibri" w:cs="Calibri"/>
      <w:kern w:val="0"/>
      <w:lang w:val="lt-LT" w:eastAsia="lt-LT"/>
      <w14:ligatures w14:val="none"/>
    </w:rPr>
  </w:style>
  <w:style w:type="paragraph" w:customStyle="1" w:styleId="xmsolistparagraph">
    <w:name w:val="x_msolistparagraph"/>
    <w:basedOn w:val="prastasis"/>
    <w:rsid w:val="00E70BBA"/>
    <w:pPr>
      <w:spacing w:after="0" w:line="240" w:lineRule="auto"/>
      <w:ind w:left="720"/>
    </w:pPr>
    <w:rPr>
      <w:rFonts w:ascii="Calibri" w:hAnsi="Calibri" w:cs="Calibri"/>
      <w:kern w:val="0"/>
      <w:lang w:val="lt-LT" w:eastAsia="lt-LT"/>
      <w14:ligatures w14:val="none"/>
    </w:rPr>
  </w:style>
  <w:style w:type="character" w:customStyle="1" w:styleId="xnormaltextrun">
    <w:name w:val="x_normaltextrun"/>
    <w:basedOn w:val="Numatytasispastraiposriftas"/>
    <w:rsid w:val="00E70BBA"/>
  </w:style>
  <w:style w:type="paragraph" w:customStyle="1" w:styleId="Default">
    <w:name w:val="Default"/>
    <w:rsid w:val="00FD6882"/>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4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2952</Words>
  <Characters>1684</Characters>
  <Application>Microsoft Office Word</Application>
  <DocSecurity>0</DocSecurity>
  <Lines>14</Lines>
  <Paragraphs>9</Paragraphs>
  <ScaleCrop>false</ScaleCrop>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Paulikas</dc:creator>
  <cp:keywords/>
  <dc:description/>
  <cp:lastModifiedBy>Neringa Bartuševičiūtė</cp:lastModifiedBy>
  <cp:revision>7</cp:revision>
  <dcterms:created xsi:type="dcterms:W3CDTF">2026-09-14T11:49:00Z</dcterms:created>
  <dcterms:modified xsi:type="dcterms:W3CDTF">2026-09-14T11:53:00Z</dcterms:modified>
</cp:coreProperties>
</file>