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2608" w:type="dxa"/>
        <w:tblInd w:w="12049" w:type="dxa"/>
        <w:tblLook w:val="01E0" w:firstRow="1" w:lastRow="1" w:firstColumn="1" w:lastColumn="1" w:noHBand="0" w:noVBand="0"/>
      </w:tblPr>
      <w:tblGrid>
        <w:gridCol w:w="2608"/>
      </w:tblGrid>
      <w:tr w:rsidR="009B41A9" w14:paraId="0387D934" w14:textId="77777777" w:rsidTr="001C220B">
        <w:tc>
          <w:tcPr>
            <w:tcW w:w="2608" w:type="dxa"/>
          </w:tcPr>
          <w:p w14:paraId="11EB1B6D" w14:textId="2EF401AF" w:rsidR="009B41A9" w:rsidRPr="001F06D8" w:rsidRDefault="009B41A9" w:rsidP="001C220B">
            <w:pPr>
              <w:widowControl w:val="0"/>
            </w:pPr>
            <w:r w:rsidRPr="001F06D8">
              <w:br w:type="page"/>
            </w:r>
            <w:r w:rsidR="00150955">
              <w:t>Specialiųjų pirkimo sąlygų 10 priedas</w:t>
            </w:r>
          </w:p>
        </w:tc>
      </w:tr>
      <w:tr w:rsidR="009B41A9" w14:paraId="71506F26" w14:textId="77777777" w:rsidTr="001C220B">
        <w:tc>
          <w:tcPr>
            <w:tcW w:w="2608" w:type="dxa"/>
          </w:tcPr>
          <w:p w14:paraId="0DA440A3" w14:textId="353C8D25" w:rsidR="009B41A9" w:rsidRPr="001F06D8" w:rsidRDefault="009B41A9" w:rsidP="001C220B">
            <w:pPr>
              <w:widowControl w:val="0"/>
            </w:pPr>
          </w:p>
        </w:tc>
      </w:tr>
    </w:tbl>
    <w:p w14:paraId="267FA376" w14:textId="77777777" w:rsidR="00DE26DD" w:rsidRDefault="00DE26DD" w:rsidP="009B41A9">
      <w:pPr>
        <w:keepNext/>
        <w:keepLines/>
        <w:jc w:val="center"/>
        <w:rPr>
          <w:b/>
          <w:bCs/>
          <w:lang w:eastAsia="lt-LT"/>
        </w:rPr>
      </w:pPr>
    </w:p>
    <w:p w14:paraId="337F84BC" w14:textId="26EDA732" w:rsidR="005458C1" w:rsidRPr="00616DC0" w:rsidRDefault="00EF7A74" w:rsidP="005458C1">
      <w:pPr>
        <w:keepNext/>
        <w:keepLines/>
        <w:jc w:val="center"/>
        <w:rPr>
          <w:b/>
        </w:rPr>
      </w:pPr>
      <w:r w:rsidRPr="00C55F0B">
        <w:rPr>
          <w:b/>
          <w:bCs/>
          <w:lang w:eastAsia="lt-LT"/>
        </w:rPr>
        <w:t>SUTEIKTŲ</w:t>
      </w:r>
      <w:r w:rsidR="00B34A07">
        <w:rPr>
          <w:b/>
          <w:bCs/>
          <w:lang w:eastAsia="lt-LT"/>
        </w:rPr>
        <w:t xml:space="preserve"> </w:t>
      </w:r>
      <w:r w:rsidR="00223802">
        <w:rPr>
          <w:b/>
          <w:bCs/>
          <w:lang w:eastAsia="lt-LT"/>
        </w:rPr>
        <w:t>PASLAUGŲ</w:t>
      </w:r>
      <w:r w:rsidR="005458C1" w:rsidRPr="00616DC0">
        <w:rPr>
          <w:bCs/>
          <w:lang w:eastAsia="lt-LT"/>
        </w:rPr>
        <w:t xml:space="preserve"> </w:t>
      </w:r>
      <w:r w:rsidR="005458C1" w:rsidRPr="00616DC0">
        <w:rPr>
          <w:b/>
        </w:rPr>
        <w:t>SĄRAŠAS</w:t>
      </w:r>
    </w:p>
    <w:p w14:paraId="3E13E229" w14:textId="77777777" w:rsidR="005458C1" w:rsidRDefault="005458C1" w:rsidP="005458C1">
      <w:pPr>
        <w:keepNext/>
        <w:keepLines/>
        <w:jc w:val="center"/>
        <w:rPr>
          <w:b/>
        </w:rPr>
      </w:pPr>
    </w:p>
    <w:p w14:paraId="1BD80BC6" w14:textId="77777777" w:rsidR="005458C1" w:rsidRPr="005E6D96" w:rsidRDefault="005458C1" w:rsidP="002D0AB8">
      <w:pPr>
        <w:keepNext/>
        <w:keepLines/>
        <w:ind w:right="-598" w:firstLine="709"/>
        <w:jc w:val="both"/>
        <w:rPr>
          <w:b/>
          <w:i/>
          <w:iCs/>
        </w:rPr>
      </w:pPr>
      <w:r w:rsidRPr="005E6D96">
        <w:rPr>
          <w:b/>
          <w:bCs/>
          <w:i/>
        </w:rPr>
        <w:t xml:space="preserve">Pastaba. </w:t>
      </w:r>
      <w:r w:rsidRPr="005E6D96">
        <w:rPr>
          <w:b/>
          <w:i/>
          <w:iCs/>
        </w:rPr>
        <w:t>Vadovaujantis LAT 2022 m. spalio 6 d. nutartimi (</w:t>
      </w:r>
      <w:hyperlink r:id="rId5" w:history="1">
        <w:r w:rsidRPr="005E6D96">
          <w:rPr>
            <w:rStyle w:val="Hipersaitas"/>
            <w:b/>
            <w:i/>
            <w:iCs/>
            <w:color w:val="auto"/>
          </w:rPr>
          <w:t>Lietuvos Aukščiausiojo Teismo 2022 m. spalio 6 d. nutartis civilinėje byloje Nr. e3K-3-328-469/2022 | Viešųjų pirkimų tarnyba (vpt.lrv.lt)</w:t>
        </w:r>
      </w:hyperlink>
      <w:r w:rsidRPr="005E6D96">
        <w:rPr>
          <w:rStyle w:val="Hipersaitas"/>
          <w:b/>
          <w:i/>
          <w:iCs/>
          <w:color w:val="auto"/>
        </w:rPr>
        <w:t xml:space="preserve">), </w:t>
      </w:r>
      <w:r w:rsidRPr="005E6D96">
        <w:rPr>
          <w:b/>
          <w:bCs/>
          <w:i/>
          <w:iCs/>
        </w:rPr>
        <w:t>Viešųjų pirkimų tarnybos direktoriaus 2022 m. gruodžio 30 d. įsakymu Nr. 1S-240 patvirtintomis Pasiūlymo patikslinimo, papildymo ar paaiškinimo taisyklėmis</w:t>
      </w:r>
      <w:r w:rsidRPr="005E6D96">
        <w:rPr>
          <w:rStyle w:val="Hipersaitas"/>
          <w:b/>
          <w:i/>
          <w:iCs/>
          <w:color w:val="auto"/>
          <w:u w:val="none"/>
        </w:rPr>
        <w:t xml:space="preserve">, </w:t>
      </w:r>
      <w:r w:rsidRPr="005E6D96">
        <w:rPr>
          <w:b/>
          <w:i/>
          <w:iCs/>
        </w:rPr>
        <w:t xml:space="preserve">tiekėjas </w:t>
      </w:r>
      <w:r w:rsidRPr="005E6D96">
        <w:rPr>
          <w:b/>
          <w:i/>
          <w:iCs/>
          <w:u w:val="single"/>
        </w:rPr>
        <w:t>gali tikslinti tik pradinius kvalifikacijos duomenis</w:t>
      </w:r>
      <w:r w:rsidRPr="005E6D96">
        <w:rPr>
          <w:b/>
          <w:i/>
          <w:iCs/>
        </w:rPr>
        <w:t xml:space="preserve"> (nepriklausomai, ar pateiktus su pasiūlymu ar Perkančiosios organizacijos prašymu). Tai reiškia, kad jeigu tiekėjo pateikti pradiniai kvalifikacijos duomenys iš karto neatitiks </w:t>
      </w:r>
      <w:r w:rsidRPr="005E6D96">
        <w:rPr>
          <w:b/>
          <w:bCs/>
          <w:i/>
          <w:iCs/>
        </w:rPr>
        <w:t>nustatyto</w:t>
      </w:r>
      <w:r w:rsidRPr="005E6D96">
        <w:rPr>
          <w:b/>
          <w:i/>
          <w:iCs/>
        </w:rPr>
        <w:t xml:space="preserve"> kvalifikacijos reikalavimo, į tokį tiekėją dėl kvalifikacijos patikslinimo </w:t>
      </w:r>
      <w:r w:rsidRPr="005E6D96">
        <w:rPr>
          <w:b/>
          <w:bCs/>
          <w:i/>
          <w:iCs/>
        </w:rPr>
        <w:t>(dėl to paties klausimo)</w:t>
      </w:r>
      <w:r w:rsidRPr="005E6D96">
        <w:rPr>
          <w:b/>
          <w:i/>
          <w:iCs/>
        </w:rPr>
        <w:t xml:space="preserve"> Perkančioji organizacija turi teisę kreiptis tik vieną kartą </w:t>
      </w:r>
      <w:r w:rsidRPr="005E6D96">
        <w:rPr>
          <w:b/>
          <w:bCs/>
          <w:i/>
          <w:iCs/>
        </w:rPr>
        <w:t>(</w:t>
      </w:r>
      <w:r w:rsidRPr="005E6D96">
        <w:rPr>
          <w:b/>
          <w:bCs/>
          <w:i/>
          <w:iCs/>
          <w:u w:val="single"/>
        </w:rPr>
        <w:t>pasiūlymo patikslinimas, papildymas ar paaiškinimas dėl to paties klausimo atliekamas vieną kartą</w:t>
      </w:r>
      <w:r w:rsidRPr="005E6D96">
        <w:rPr>
          <w:b/>
          <w:bCs/>
          <w:i/>
          <w:iCs/>
        </w:rPr>
        <w:t>)</w:t>
      </w:r>
      <w:r w:rsidRPr="005E6D96">
        <w:rPr>
          <w:b/>
          <w:i/>
          <w:iCs/>
        </w:rPr>
        <w:t xml:space="preserve"> ir tik dėl pirminių pateiktų kvalifikacijos dokumentų tikslinimo (jei yra matoma, kad toks kreipimasis gali padėti ištaisyti pirminius kvalifikacijos duomenis). Dėl naujų kvalifikacijos duomenų pateikimo nebus kreipiamasi ir tiekėjas bus atmetamas, kaip neatitinkantis kvalifikacijos reikalavimų.</w:t>
      </w:r>
    </w:p>
    <w:p w14:paraId="4A486C57" w14:textId="061C527C" w:rsidR="005458C1" w:rsidRPr="005E6D96" w:rsidRDefault="005458C1" w:rsidP="002D0AB8">
      <w:pPr>
        <w:keepNext/>
        <w:keepLines/>
        <w:ind w:right="-598" w:firstLine="709"/>
        <w:jc w:val="both"/>
        <w:rPr>
          <w:i/>
          <w:iCs/>
        </w:rPr>
      </w:pPr>
      <w:r w:rsidRPr="005E6D96">
        <w:rPr>
          <w:i/>
          <w:iCs/>
        </w:rPr>
        <w:t xml:space="preserve">Atsižvelgiant į aukščiau nurodytą informaciją, tiekėjui, teikiant pradinius kvalifikacijos duomenis (nepriklausomai, ar kartu su pasiūlymu, ar Perkančiosios organizacijos prašymu), </w:t>
      </w:r>
      <w:r w:rsidRPr="005E6D96">
        <w:rPr>
          <w:b/>
          <w:bCs/>
          <w:i/>
          <w:iCs/>
        </w:rPr>
        <w:t xml:space="preserve">rekomenduotina </w:t>
      </w:r>
      <w:r w:rsidRPr="005E6D96">
        <w:rPr>
          <w:b/>
          <w:i/>
          <w:iCs/>
        </w:rPr>
        <w:t xml:space="preserve">(tiekėjas gali, tačiau neprivalo) </w:t>
      </w:r>
      <w:r w:rsidRPr="005E6D96">
        <w:rPr>
          <w:b/>
          <w:bCs/>
          <w:i/>
          <w:iCs/>
        </w:rPr>
        <w:t>teikti daugiau nei reikalaujama kvalifikacijos atitiktį patvirtinančių duomenų</w:t>
      </w:r>
      <w:r w:rsidRPr="005E6D96">
        <w:rPr>
          <w:i/>
          <w:iCs/>
        </w:rPr>
        <w:t xml:space="preserve"> (pvz.: </w:t>
      </w:r>
      <w:r w:rsidR="00CB4F6F" w:rsidRPr="005E6D96">
        <w:rPr>
          <w:i/>
          <w:iCs/>
        </w:rPr>
        <w:t>suteiktų paslaugų</w:t>
      </w:r>
      <w:r w:rsidRPr="005E6D96">
        <w:rPr>
          <w:i/>
          <w:iCs/>
        </w:rPr>
        <w:t xml:space="preserve"> sąraše nurodyti daugiau sutarčių, pateikti daugiau užsakovo pažymų (jeigu įmanoma)).</w:t>
      </w:r>
    </w:p>
    <w:p w14:paraId="57713566" w14:textId="77777777" w:rsidR="005458C1" w:rsidRPr="00755B6E" w:rsidRDefault="005458C1" w:rsidP="005458C1">
      <w:pPr>
        <w:keepNext/>
        <w:keepLines/>
        <w:ind w:firstLine="709"/>
        <w:jc w:val="both"/>
        <w:rPr>
          <w:b/>
          <w:i/>
          <w:iCs/>
        </w:rPr>
      </w:pPr>
    </w:p>
    <w:tbl>
      <w:tblPr>
        <w:tblW w:w="14601" w:type="dxa"/>
        <w:tblInd w:w="-5" w:type="dxa"/>
        <w:tblLayout w:type="fixed"/>
        <w:tblCellMar>
          <w:left w:w="70" w:type="dxa"/>
          <w:right w:w="70" w:type="dxa"/>
        </w:tblCellMar>
        <w:tblLook w:val="0000" w:firstRow="0" w:lastRow="0" w:firstColumn="0" w:lastColumn="0" w:noHBand="0" w:noVBand="0"/>
      </w:tblPr>
      <w:tblGrid>
        <w:gridCol w:w="567"/>
        <w:gridCol w:w="3402"/>
        <w:gridCol w:w="3544"/>
        <w:gridCol w:w="3544"/>
        <w:gridCol w:w="3544"/>
      </w:tblGrid>
      <w:tr w:rsidR="009D4F2C" w:rsidRPr="00616DC0" w14:paraId="753BF7DE" w14:textId="77777777" w:rsidTr="009D4F2C">
        <w:trPr>
          <w:cantSplit/>
          <w:trHeight w:val="1726"/>
        </w:trPr>
        <w:tc>
          <w:tcPr>
            <w:tcW w:w="567" w:type="dxa"/>
            <w:tcBorders>
              <w:top w:val="single" w:sz="4" w:space="0" w:color="000000"/>
              <w:left w:val="single" w:sz="4" w:space="0" w:color="000000"/>
              <w:bottom w:val="single" w:sz="4" w:space="0" w:color="000000"/>
            </w:tcBorders>
            <w:shd w:val="clear" w:color="auto" w:fill="F2F2F2" w:themeFill="background1" w:themeFillShade="F2"/>
            <w:vAlign w:val="center"/>
          </w:tcPr>
          <w:p w14:paraId="2D1A6432" w14:textId="77777777" w:rsidR="009D4F2C" w:rsidRPr="00B27C30" w:rsidRDefault="009D4F2C" w:rsidP="00620B50">
            <w:pPr>
              <w:keepNext/>
              <w:keepLines/>
              <w:jc w:val="center"/>
              <w:rPr>
                <w:b/>
              </w:rPr>
            </w:pPr>
            <w:r w:rsidRPr="00B27C30">
              <w:rPr>
                <w:b/>
              </w:rPr>
              <w:t>Eil. Nr.</w:t>
            </w:r>
          </w:p>
        </w:tc>
        <w:tc>
          <w:tcPr>
            <w:tcW w:w="3402" w:type="dxa"/>
            <w:tcBorders>
              <w:top w:val="single" w:sz="4" w:space="0" w:color="000000"/>
              <w:left w:val="single" w:sz="4" w:space="0" w:color="000000"/>
              <w:bottom w:val="single" w:sz="4" w:space="0" w:color="000000"/>
            </w:tcBorders>
            <w:shd w:val="clear" w:color="auto" w:fill="F2F2F2" w:themeFill="background1" w:themeFillShade="F2"/>
            <w:vAlign w:val="center"/>
          </w:tcPr>
          <w:p w14:paraId="68829958" w14:textId="41B56B08" w:rsidR="009D4F2C" w:rsidRPr="00B27C30" w:rsidRDefault="009D4F2C" w:rsidP="00620B50">
            <w:pPr>
              <w:keepNext/>
              <w:keepLines/>
              <w:jc w:val="center"/>
              <w:rPr>
                <w:b/>
              </w:rPr>
            </w:pPr>
            <w:r w:rsidRPr="00B27C30">
              <w:rPr>
                <w:b/>
              </w:rPr>
              <w:t xml:space="preserve">Sutarties </w:t>
            </w:r>
            <w:r>
              <w:rPr>
                <w:b/>
              </w:rPr>
              <w:t xml:space="preserve">objekto </w:t>
            </w:r>
            <w:r w:rsidRPr="00B27C30">
              <w:rPr>
                <w:b/>
              </w:rPr>
              <w:t>pavadinimas</w:t>
            </w:r>
          </w:p>
        </w:tc>
        <w:tc>
          <w:tcPr>
            <w:tcW w:w="3544" w:type="dxa"/>
            <w:tcBorders>
              <w:top w:val="single" w:sz="4" w:space="0" w:color="000000"/>
              <w:left w:val="single" w:sz="4" w:space="0" w:color="000000"/>
              <w:bottom w:val="single" w:sz="4" w:space="0" w:color="000000"/>
            </w:tcBorders>
            <w:shd w:val="clear" w:color="auto" w:fill="F2F2F2" w:themeFill="background1" w:themeFillShade="F2"/>
            <w:vAlign w:val="center"/>
          </w:tcPr>
          <w:p w14:paraId="28F81CC4" w14:textId="1F17A16F" w:rsidR="009D4F2C" w:rsidRPr="00B27C30" w:rsidRDefault="00A54CD8" w:rsidP="00620B50">
            <w:pPr>
              <w:keepNext/>
              <w:keepLines/>
              <w:jc w:val="center"/>
              <w:rPr>
                <w:b/>
              </w:rPr>
            </w:pPr>
            <w:r w:rsidRPr="007A0BE3">
              <w:rPr>
                <w:b/>
              </w:rPr>
              <w:t>Paslaugų teikimo</w:t>
            </w:r>
            <w:r w:rsidRPr="007A0BE3">
              <w:rPr>
                <w:i/>
              </w:rPr>
              <w:t xml:space="preserve"> </w:t>
            </w:r>
            <w:r w:rsidRPr="007A0BE3">
              <w:rPr>
                <w:b/>
              </w:rPr>
              <w:t>pradžios ir pabaigos datos</w:t>
            </w:r>
          </w:p>
        </w:tc>
        <w:tc>
          <w:tcPr>
            <w:tcW w:w="3544" w:type="dxa"/>
            <w:tcBorders>
              <w:top w:val="single" w:sz="4" w:space="0" w:color="auto"/>
              <w:left w:val="single" w:sz="4" w:space="0" w:color="auto"/>
              <w:bottom w:val="single" w:sz="4" w:space="0" w:color="auto"/>
            </w:tcBorders>
            <w:shd w:val="clear" w:color="auto" w:fill="F2F2F2" w:themeFill="background1" w:themeFillShade="F2"/>
            <w:vAlign w:val="center"/>
          </w:tcPr>
          <w:p w14:paraId="2DE96784" w14:textId="0E33C11C" w:rsidR="00685DAB" w:rsidRPr="00B27C30" w:rsidRDefault="00685DAB" w:rsidP="00F9414C">
            <w:pPr>
              <w:keepNext/>
              <w:keepLines/>
              <w:jc w:val="center"/>
              <w:rPr>
                <w:b/>
              </w:rPr>
            </w:pPr>
            <w:r w:rsidRPr="00805A4A">
              <w:rPr>
                <w:b/>
              </w:rPr>
              <w:t>Parengto</w:t>
            </w:r>
            <w:r w:rsidRPr="00685DAB">
              <w:rPr>
                <w:b/>
              </w:rPr>
              <w:t xml:space="preserve"> </w:t>
            </w:r>
            <w:r w:rsidR="00150955">
              <w:rPr>
                <w:b/>
              </w:rPr>
              <w:t>specialiojo</w:t>
            </w:r>
            <w:r w:rsidRPr="00685DAB">
              <w:rPr>
                <w:b/>
              </w:rPr>
              <w:t xml:space="preserve"> plano</w:t>
            </w:r>
            <w:r w:rsidR="00150955">
              <w:rPr>
                <w:b/>
              </w:rPr>
              <w:t xml:space="preserve">          </w:t>
            </w:r>
            <w:r w:rsidRPr="00685DAB">
              <w:rPr>
                <w:b/>
              </w:rPr>
              <w:t xml:space="preserve"> ( rengimas, keitimas ar koregavimas) proceso numeris TPDRIS ir (ar) TPDR sistemoje (TPD rengimo proceso Nr.)</w:t>
            </w:r>
          </w:p>
        </w:tc>
        <w:tc>
          <w:tcPr>
            <w:tcW w:w="35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CD36088" w14:textId="6C4876BD" w:rsidR="009D4F2C" w:rsidRDefault="009D4F2C" w:rsidP="00620B50">
            <w:pPr>
              <w:keepNext/>
              <w:keepLines/>
              <w:jc w:val="center"/>
              <w:rPr>
                <w:b/>
              </w:rPr>
            </w:pPr>
            <w:r w:rsidRPr="00F837BE">
              <w:rPr>
                <w:b/>
              </w:rPr>
              <w:t>Užsakovo pavadinimas, kontaktinis asmuo</w:t>
            </w:r>
            <w:r w:rsidR="005E48AE" w:rsidRPr="00F837BE">
              <w:rPr>
                <w:b/>
              </w:rPr>
              <w:t>,</w:t>
            </w:r>
            <w:r w:rsidR="001720B0" w:rsidRPr="00F837BE">
              <w:t xml:space="preserve"> </w:t>
            </w:r>
            <w:r w:rsidR="001720B0" w:rsidRPr="00F837BE">
              <w:rPr>
                <w:b/>
              </w:rPr>
              <w:t>atsiliepim</w:t>
            </w:r>
            <w:r w:rsidR="005E48AE" w:rsidRPr="00F837BE">
              <w:rPr>
                <w:b/>
              </w:rPr>
              <w:t>as</w:t>
            </w:r>
            <w:r w:rsidR="001720B0" w:rsidRPr="00F837BE">
              <w:rPr>
                <w:b/>
              </w:rPr>
              <w:t xml:space="preserve"> apie tinkamai ir laiku suteiktas paslaugas</w:t>
            </w:r>
          </w:p>
          <w:p w14:paraId="517449B1" w14:textId="279F240F" w:rsidR="001720B0" w:rsidRPr="00C1785D" w:rsidRDefault="00F837BE" w:rsidP="00C1785D">
            <w:pPr>
              <w:jc w:val="center"/>
              <w:rPr>
                <w:sz w:val="20"/>
                <w:szCs w:val="20"/>
              </w:rPr>
            </w:pPr>
            <w:r w:rsidRPr="00C1785D">
              <w:rPr>
                <w:i/>
                <w:iCs/>
                <w:sz w:val="20"/>
                <w:szCs w:val="20"/>
              </w:rPr>
              <w:t>Pateikiami skenuoti dokumentai elektronine forma ar pasirašyti el. parašu</w:t>
            </w:r>
            <w:r w:rsidRPr="00C1785D">
              <w:rPr>
                <w:sz w:val="20"/>
                <w:szCs w:val="20"/>
              </w:rPr>
              <w:t>.</w:t>
            </w:r>
          </w:p>
        </w:tc>
      </w:tr>
      <w:tr w:rsidR="009D4F2C" w:rsidRPr="00616DC0" w14:paraId="1D7D545C" w14:textId="77777777" w:rsidTr="009D4F2C">
        <w:trPr>
          <w:cantSplit/>
          <w:trHeight w:val="224"/>
        </w:trPr>
        <w:tc>
          <w:tcPr>
            <w:tcW w:w="567" w:type="dxa"/>
            <w:tcBorders>
              <w:top w:val="single" w:sz="4" w:space="0" w:color="000000"/>
              <w:left w:val="single" w:sz="4" w:space="0" w:color="000000"/>
              <w:bottom w:val="single" w:sz="4" w:space="0" w:color="000000"/>
            </w:tcBorders>
          </w:tcPr>
          <w:p w14:paraId="18A1076C" w14:textId="77777777" w:rsidR="009D4F2C" w:rsidRPr="00616DC0" w:rsidRDefault="009D4F2C" w:rsidP="00620B50">
            <w:pPr>
              <w:keepNext/>
              <w:keepLines/>
              <w:rPr>
                <w:b/>
                <w:i/>
              </w:rPr>
            </w:pPr>
            <w:r w:rsidRPr="00616DC0">
              <w:rPr>
                <w:b/>
                <w:i/>
              </w:rPr>
              <w:t xml:space="preserve"> </w:t>
            </w:r>
          </w:p>
        </w:tc>
        <w:tc>
          <w:tcPr>
            <w:tcW w:w="3402" w:type="dxa"/>
            <w:tcBorders>
              <w:top w:val="single" w:sz="4" w:space="0" w:color="000000"/>
              <w:left w:val="single" w:sz="4" w:space="0" w:color="000000"/>
              <w:bottom w:val="single" w:sz="4" w:space="0" w:color="000000"/>
            </w:tcBorders>
          </w:tcPr>
          <w:p w14:paraId="74A672CD" w14:textId="77777777" w:rsidR="009D4F2C" w:rsidRPr="00616DC0" w:rsidRDefault="009D4F2C" w:rsidP="00620B50">
            <w:pPr>
              <w:keepNext/>
              <w:keepLines/>
            </w:pPr>
          </w:p>
        </w:tc>
        <w:tc>
          <w:tcPr>
            <w:tcW w:w="3544" w:type="dxa"/>
            <w:tcBorders>
              <w:top w:val="single" w:sz="4" w:space="0" w:color="000000"/>
              <w:left w:val="single" w:sz="4" w:space="0" w:color="000000"/>
              <w:bottom w:val="single" w:sz="4" w:space="0" w:color="000000"/>
            </w:tcBorders>
          </w:tcPr>
          <w:p w14:paraId="78709DAE" w14:textId="77777777" w:rsidR="009D4F2C" w:rsidRPr="00616DC0" w:rsidRDefault="009D4F2C" w:rsidP="00620B50">
            <w:pPr>
              <w:keepNext/>
              <w:keepLines/>
            </w:pPr>
          </w:p>
        </w:tc>
        <w:tc>
          <w:tcPr>
            <w:tcW w:w="3544" w:type="dxa"/>
            <w:tcBorders>
              <w:top w:val="single" w:sz="4" w:space="0" w:color="auto"/>
              <w:left w:val="single" w:sz="4" w:space="0" w:color="auto"/>
              <w:bottom w:val="single" w:sz="4" w:space="0" w:color="auto"/>
            </w:tcBorders>
          </w:tcPr>
          <w:p w14:paraId="02D9E933" w14:textId="77777777" w:rsidR="009D4F2C" w:rsidRPr="00616DC0" w:rsidRDefault="009D4F2C" w:rsidP="00620B50">
            <w:pPr>
              <w:keepNext/>
              <w:keepLines/>
            </w:pPr>
          </w:p>
        </w:tc>
        <w:tc>
          <w:tcPr>
            <w:tcW w:w="3544" w:type="dxa"/>
            <w:tcBorders>
              <w:top w:val="single" w:sz="4" w:space="0" w:color="auto"/>
              <w:left w:val="single" w:sz="4" w:space="0" w:color="auto"/>
              <w:bottom w:val="single" w:sz="4" w:space="0" w:color="auto"/>
              <w:right w:val="single" w:sz="4" w:space="0" w:color="auto"/>
            </w:tcBorders>
          </w:tcPr>
          <w:p w14:paraId="135E234F" w14:textId="6E3503A6" w:rsidR="009D4F2C" w:rsidRPr="00616DC0" w:rsidRDefault="009D4F2C" w:rsidP="00620B50">
            <w:pPr>
              <w:keepNext/>
              <w:keepLines/>
            </w:pPr>
          </w:p>
        </w:tc>
      </w:tr>
      <w:tr w:rsidR="009D4F2C" w:rsidRPr="00616DC0" w14:paraId="4E212CC8" w14:textId="77777777" w:rsidTr="009D4F2C">
        <w:trPr>
          <w:cantSplit/>
          <w:trHeight w:val="224"/>
        </w:trPr>
        <w:tc>
          <w:tcPr>
            <w:tcW w:w="567" w:type="dxa"/>
            <w:tcBorders>
              <w:top w:val="single" w:sz="4" w:space="0" w:color="000000"/>
              <w:left w:val="single" w:sz="4" w:space="0" w:color="000000"/>
              <w:bottom w:val="single" w:sz="4" w:space="0" w:color="000000"/>
            </w:tcBorders>
          </w:tcPr>
          <w:p w14:paraId="6C1A0BE9" w14:textId="77777777" w:rsidR="009D4F2C" w:rsidRPr="00616DC0" w:rsidRDefault="009D4F2C" w:rsidP="00620B50">
            <w:pPr>
              <w:keepNext/>
              <w:keepLines/>
              <w:rPr>
                <w:b/>
                <w:i/>
              </w:rPr>
            </w:pPr>
          </w:p>
        </w:tc>
        <w:tc>
          <w:tcPr>
            <w:tcW w:w="3402" w:type="dxa"/>
            <w:tcBorders>
              <w:top w:val="single" w:sz="4" w:space="0" w:color="000000"/>
              <w:left w:val="single" w:sz="4" w:space="0" w:color="000000"/>
              <w:bottom w:val="single" w:sz="4" w:space="0" w:color="000000"/>
            </w:tcBorders>
          </w:tcPr>
          <w:p w14:paraId="3E47D637" w14:textId="77777777" w:rsidR="009D4F2C" w:rsidRPr="00616DC0" w:rsidRDefault="009D4F2C" w:rsidP="00620B50">
            <w:pPr>
              <w:keepNext/>
              <w:keepLines/>
            </w:pPr>
          </w:p>
        </w:tc>
        <w:tc>
          <w:tcPr>
            <w:tcW w:w="3544" w:type="dxa"/>
            <w:tcBorders>
              <w:top w:val="single" w:sz="4" w:space="0" w:color="000000"/>
              <w:left w:val="single" w:sz="4" w:space="0" w:color="000000"/>
              <w:bottom w:val="single" w:sz="4" w:space="0" w:color="000000"/>
            </w:tcBorders>
          </w:tcPr>
          <w:p w14:paraId="344DA99B" w14:textId="77777777" w:rsidR="009D4F2C" w:rsidRPr="00616DC0" w:rsidRDefault="009D4F2C" w:rsidP="00620B50">
            <w:pPr>
              <w:keepNext/>
              <w:keepLines/>
            </w:pPr>
          </w:p>
        </w:tc>
        <w:tc>
          <w:tcPr>
            <w:tcW w:w="3544" w:type="dxa"/>
            <w:tcBorders>
              <w:top w:val="single" w:sz="4" w:space="0" w:color="auto"/>
              <w:left w:val="single" w:sz="4" w:space="0" w:color="auto"/>
              <w:bottom w:val="single" w:sz="4" w:space="0" w:color="auto"/>
            </w:tcBorders>
          </w:tcPr>
          <w:p w14:paraId="6C27DAD4" w14:textId="77777777" w:rsidR="009D4F2C" w:rsidRPr="00616DC0" w:rsidRDefault="009D4F2C" w:rsidP="00620B50">
            <w:pPr>
              <w:keepNext/>
              <w:keepLines/>
            </w:pPr>
          </w:p>
        </w:tc>
        <w:tc>
          <w:tcPr>
            <w:tcW w:w="3544" w:type="dxa"/>
            <w:tcBorders>
              <w:top w:val="single" w:sz="4" w:space="0" w:color="auto"/>
              <w:left w:val="single" w:sz="4" w:space="0" w:color="auto"/>
              <w:bottom w:val="single" w:sz="4" w:space="0" w:color="auto"/>
              <w:right w:val="single" w:sz="4" w:space="0" w:color="auto"/>
            </w:tcBorders>
          </w:tcPr>
          <w:p w14:paraId="22706D63" w14:textId="7CD40099" w:rsidR="009D4F2C" w:rsidRPr="00616DC0" w:rsidRDefault="009D4F2C" w:rsidP="00620B50">
            <w:pPr>
              <w:keepNext/>
              <w:keepLines/>
            </w:pPr>
          </w:p>
        </w:tc>
      </w:tr>
      <w:tr w:rsidR="009D4F2C" w:rsidRPr="00616DC0" w14:paraId="4ADA7736" w14:textId="77777777" w:rsidTr="009D4F2C">
        <w:trPr>
          <w:cantSplit/>
          <w:trHeight w:val="224"/>
        </w:trPr>
        <w:tc>
          <w:tcPr>
            <w:tcW w:w="567" w:type="dxa"/>
            <w:tcBorders>
              <w:top w:val="single" w:sz="4" w:space="0" w:color="000000"/>
              <w:left w:val="single" w:sz="4" w:space="0" w:color="000000"/>
              <w:bottom w:val="single" w:sz="4" w:space="0" w:color="000000"/>
            </w:tcBorders>
          </w:tcPr>
          <w:p w14:paraId="69BFC8E0" w14:textId="77777777" w:rsidR="009D4F2C" w:rsidRPr="00616DC0" w:rsidRDefault="009D4F2C" w:rsidP="00620B50">
            <w:pPr>
              <w:keepNext/>
              <w:keepLines/>
              <w:rPr>
                <w:b/>
                <w:i/>
              </w:rPr>
            </w:pPr>
          </w:p>
        </w:tc>
        <w:tc>
          <w:tcPr>
            <w:tcW w:w="3402" w:type="dxa"/>
            <w:tcBorders>
              <w:top w:val="single" w:sz="4" w:space="0" w:color="000000"/>
              <w:left w:val="single" w:sz="4" w:space="0" w:color="000000"/>
              <w:bottom w:val="single" w:sz="4" w:space="0" w:color="000000"/>
            </w:tcBorders>
          </w:tcPr>
          <w:p w14:paraId="7D8A1981" w14:textId="77777777" w:rsidR="009D4F2C" w:rsidRPr="00616DC0" w:rsidRDefault="009D4F2C" w:rsidP="00620B50">
            <w:pPr>
              <w:keepNext/>
              <w:keepLines/>
            </w:pPr>
          </w:p>
        </w:tc>
        <w:tc>
          <w:tcPr>
            <w:tcW w:w="3544" w:type="dxa"/>
            <w:tcBorders>
              <w:top w:val="single" w:sz="4" w:space="0" w:color="000000"/>
              <w:left w:val="single" w:sz="4" w:space="0" w:color="000000"/>
              <w:bottom w:val="single" w:sz="4" w:space="0" w:color="000000"/>
            </w:tcBorders>
          </w:tcPr>
          <w:p w14:paraId="2847A473" w14:textId="77777777" w:rsidR="009D4F2C" w:rsidRPr="00616DC0" w:rsidRDefault="009D4F2C" w:rsidP="00620B50">
            <w:pPr>
              <w:keepNext/>
              <w:keepLines/>
            </w:pPr>
          </w:p>
        </w:tc>
        <w:tc>
          <w:tcPr>
            <w:tcW w:w="3544" w:type="dxa"/>
            <w:tcBorders>
              <w:top w:val="single" w:sz="4" w:space="0" w:color="auto"/>
              <w:left w:val="single" w:sz="4" w:space="0" w:color="auto"/>
              <w:bottom w:val="single" w:sz="4" w:space="0" w:color="auto"/>
            </w:tcBorders>
          </w:tcPr>
          <w:p w14:paraId="19915699" w14:textId="77777777" w:rsidR="009D4F2C" w:rsidRPr="00616DC0" w:rsidRDefault="009D4F2C" w:rsidP="00620B50">
            <w:pPr>
              <w:keepNext/>
              <w:keepLines/>
            </w:pPr>
          </w:p>
        </w:tc>
        <w:tc>
          <w:tcPr>
            <w:tcW w:w="3544" w:type="dxa"/>
            <w:tcBorders>
              <w:top w:val="single" w:sz="4" w:space="0" w:color="auto"/>
              <w:left w:val="single" w:sz="4" w:space="0" w:color="auto"/>
              <w:bottom w:val="single" w:sz="4" w:space="0" w:color="auto"/>
              <w:right w:val="single" w:sz="4" w:space="0" w:color="auto"/>
            </w:tcBorders>
          </w:tcPr>
          <w:p w14:paraId="5F7C9E86" w14:textId="5002E17D" w:rsidR="009D4F2C" w:rsidRPr="00616DC0" w:rsidRDefault="009D4F2C" w:rsidP="00620B50">
            <w:pPr>
              <w:keepNext/>
              <w:keepLines/>
            </w:pPr>
          </w:p>
        </w:tc>
      </w:tr>
    </w:tbl>
    <w:p w14:paraId="30C745DB" w14:textId="77777777" w:rsidR="00C8214D" w:rsidRDefault="005458C1" w:rsidP="00C8214D">
      <w:pPr>
        <w:widowControl w:val="0"/>
        <w:suppressAutoHyphens/>
        <w:ind w:right="-598" w:firstLine="709"/>
        <w:jc w:val="both"/>
        <w:rPr>
          <w:i/>
        </w:rPr>
      </w:pPr>
      <w:r w:rsidRPr="00C8214D">
        <w:rPr>
          <w:i/>
        </w:rPr>
        <w:t>Pastabos:</w:t>
      </w:r>
    </w:p>
    <w:p w14:paraId="59A82532" w14:textId="4D15EF99" w:rsidR="00C8214D" w:rsidRDefault="00C8214D" w:rsidP="00C8214D">
      <w:pPr>
        <w:widowControl w:val="0"/>
        <w:suppressAutoHyphens/>
        <w:ind w:right="-598" w:firstLine="709"/>
        <w:jc w:val="both"/>
        <w:rPr>
          <w:i/>
        </w:rPr>
      </w:pPr>
      <w:r w:rsidRPr="00C8214D">
        <w:rPr>
          <w:i/>
          <w:iCs/>
        </w:rPr>
        <w:t xml:space="preserve">- tiekėjas gali teikti informaciją apie suteiktas paslaugas, kurios pradėtos ir baigtos teikti per paskutinius </w:t>
      </w:r>
      <w:r w:rsidR="00150955">
        <w:rPr>
          <w:i/>
          <w:iCs/>
        </w:rPr>
        <w:t>3</w:t>
      </w:r>
      <w:r w:rsidRPr="00C8214D">
        <w:rPr>
          <w:i/>
          <w:iCs/>
        </w:rPr>
        <w:t xml:space="preserve"> metus</w:t>
      </w:r>
      <w:r w:rsidRPr="00C8214D">
        <w:rPr>
          <w:i/>
        </w:rPr>
        <w:t xml:space="preserve"> iki pasiūlymo pateikimo termino pabaigos</w:t>
      </w:r>
      <w:r w:rsidRPr="00C8214D">
        <w:rPr>
          <w:i/>
          <w:iCs/>
        </w:rPr>
        <w:t>;</w:t>
      </w:r>
    </w:p>
    <w:p w14:paraId="0EB8D5CC" w14:textId="61C19FB5" w:rsidR="00C8214D" w:rsidRDefault="00C8214D" w:rsidP="00C8214D">
      <w:pPr>
        <w:widowControl w:val="0"/>
        <w:suppressAutoHyphens/>
        <w:ind w:right="-598" w:firstLine="709"/>
        <w:jc w:val="both"/>
        <w:rPr>
          <w:i/>
        </w:rPr>
      </w:pPr>
      <w:r w:rsidRPr="00C8214D">
        <w:rPr>
          <w:i/>
          <w:iCs/>
        </w:rPr>
        <w:t xml:space="preserve">- tiekėjas gali teikti informaciją apie suteiktas paslaugas, kurios pradėtos teikti anksčiau nei per  paskutinius </w:t>
      </w:r>
      <w:r w:rsidR="00150955">
        <w:rPr>
          <w:i/>
          <w:iCs/>
        </w:rPr>
        <w:t>3</w:t>
      </w:r>
      <w:r w:rsidRPr="00C8214D">
        <w:rPr>
          <w:i/>
          <w:iCs/>
        </w:rPr>
        <w:t xml:space="preserve"> metus iki pasiūlymo pateikimo termino pabaigos, tačiau pabaigtos teikti per paskutinius </w:t>
      </w:r>
      <w:r w:rsidR="00150955">
        <w:rPr>
          <w:i/>
          <w:iCs/>
        </w:rPr>
        <w:t>3</w:t>
      </w:r>
      <w:r w:rsidRPr="00C8214D">
        <w:rPr>
          <w:i/>
          <w:iCs/>
        </w:rPr>
        <w:t xml:space="preserve"> metus iki pasiūlymo pateikimo termino pabaigos, tokiu atveju laikoma, kad jo patirtis atitinka nustatytą reikalavimą;</w:t>
      </w:r>
    </w:p>
    <w:p w14:paraId="1799B4A9" w14:textId="1C15E32C" w:rsidR="0034016C" w:rsidRPr="00C8214D" w:rsidRDefault="00C8214D" w:rsidP="00C8214D">
      <w:pPr>
        <w:widowControl w:val="0"/>
        <w:suppressAutoHyphens/>
        <w:ind w:right="-598" w:firstLine="709"/>
        <w:jc w:val="both"/>
        <w:rPr>
          <w:i/>
          <w:highlight w:val="yellow"/>
        </w:rPr>
      </w:pPr>
      <w:r w:rsidRPr="00C8214D">
        <w:rPr>
          <w:i/>
          <w:iCs/>
        </w:rPr>
        <w:t xml:space="preserve">- </w:t>
      </w:r>
      <w:r w:rsidRPr="00C8214D">
        <w:rPr>
          <w:bCs/>
          <w:i/>
          <w:lang w:eastAsia="lt-LT"/>
        </w:rPr>
        <w:t>tiekėjui nedraudžiama remtis sutartimi, kurią tiekėjas vykdė ne vienas, bet kartu su kitais ūkio subjektais. Tačiau tokiu atveju bus vertinama būtent konkretaus tiekėjo, dalyvaujančio viešajame pirkime, suteiktos paslaugos, jų apimtis, vertė, o ne visas vykdytos sutarties objektas.</w:t>
      </w:r>
    </w:p>
    <w:sectPr w:rsidR="0034016C" w:rsidRPr="00C8214D" w:rsidSect="00335857">
      <w:pgSz w:w="16838" w:h="11906" w:orient="landscape"/>
      <w:pgMar w:top="1135" w:right="1701" w:bottom="567" w:left="1134"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PS"/>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793D99"/>
    <w:multiLevelType w:val="hybridMultilevel"/>
    <w:tmpl w:val="72245EFE"/>
    <w:lvl w:ilvl="0" w:tplc="5562E7AC">
      <w:start w:val="1"/>
      <w:numFmt w:val="bullet"/>
      <w:lvlText w:val=""/>
      <w:lvlJc w:val="left"/>
      <w:pPr>
        <w:ind w:left="4755" w:hanging="360"/>
      </w:pPr>
      <w:rPr>
        <w:rFonts w:ascii="Symbol" w:eastAsia="Times New Roman" w:hAnsi="Symbol" w:cs="Times New Roman" w:hint="default"/>
        <w:i/>
      </w:rPr>
    </w:lvl>
    <w:lvl w:ilvl="1" w:tplc="04270003" w:tentative="1">
      <w:start w:val="1"/>
      <w:numFmt w:val="bullet"/>
      <w:lvlText w:val="o"/>
      <w:lvlJc w:val="left"/>
      <w:pPr>
        <w:ind w:left="5475" w:hanging="360"/>
      </w:pPr>
      <w:rPr>
        <w:rFonts w:ascii="Courier New" w:hAnsi="Courier New" w:cs="Courier New" w:hint="default"/>
      </w:rPr>
    </w:lvl>
    <w:lvl w:ilvl="2" w:tplc="04270005" w:tentative="1">
      <w:start w:val="1"/>
      <w:numFmt w:val="bullet"/>
      <w:lvlText w:val=""/>
      <w:lvlJc w:val="left"/>
      <w:pPr>
        <w:ind w:left="6195" w:hanging="360"/>
      </w:pPr>
      <w:rPr>
        <w:rFonts w:ascii="Wingdings" w:hAnsi="Wingdings" w:hint="default"/>
      </w:rPr>
    </w:lvl>
    <w:lvl w:ilvl="3" w:tplc="04270001" w:tentative="1">
      <w:start w:val="1"/>
      <w:numFmt w:val="bullet"/>
      <w:lvlText w:val=""/>
      <w:lvlJc w:val="left"/>
      <w:pPr>
        <w:ind w:left="6915" w:hanging="360"/>
      </w:pPr>
      <w:rPr>
        <w:rFonts w:ascii="Symbol" w:hAnsi="Symbol" w:hint="default"/>
      </w:rPr>
    </w:lvl>
    <w:lvl w:ilvl="4" w:tplc="04270003" w:tentative="1">
      <w:start w:val="1"/>
      <w:numFmt w:val="bullet"/>
      <w:lvlText w:val="o"/>
      <w:lvlJc w:val="left"/>
      <w:pPr>
        <w:ind w:left="7635" w:hanging="360"/>
      </w:pPr>
      <w:rPr>
        <w:rFonts w:ascii="Courier New" w:hAnsi="Courier New" w:cs="Courier New" w:hint="default"/>
      </w:rPr>
    </w:lvl>
    <w:lvl w:ilvl="5" w:tplc="04270005" w:tentative="1">
      <w:start w:val="1"/>
      <w:numFmt w:val="bullet"/>
      <w:lvlText w:val=""/>
      <w:lvlJc w:val="left"/>
      <w:pPr>
        <w:ind w:left="8355" w:hanging="360"/>
      </w:pPr>
      <w:rPr>
        <w:rFonts w:ascii="Wingdings" w:hAnsi="Wingdings" w:hint="default"/>
      </w:rPr>
    </w:lvl>
    <w:lvl w:ilvl="6" w:tplc="04270001" w:tentative="1">
      <w:start w:val="1"/>
      <w:numFmt w:val="bullet"/>
      <w:lvlText w:val=""/>
      <w:lvlJc w:val="left"/>
      <w:pPr>
        <w:ind w:left="9075" w:hanging="360"/>
      </w:pPr>
      <w:rPr>
        <w:rFonts w:ascii="Symbol" w:hAnsi="Symbol" w:hint="default"/>
      </w:rPr>
    </w:lvl>
    <w:lvl w:ilvl="7" w:tplc="04270003" w:tentative="1">
      <w:start w:val="1"/>
      <w:numFmt w:val="bullet"/>
      <w:lvlText w:val="o"/>
      <w:lvlJc w:val="left"/>
      <w:pPr>
        <w:ind w:left="9795" w:hanging="360"/>
      </w:pPr>
      <w:rPr>
        <w:rFonts w:ascii="Courier New" w:hAnsi="Courier New" w:cs="Courier New" w:hint="default"/>
      </w:rPr>
    </w:lvl>
    <w:lvl w:ilvl="8" w:tplc="04270005" w:tentative="1">
      <w:start w:val="1"/>
      <w:numFmt w:val="bullet"/>
      <w:lvlText w:val=""/>
      <w:lvlJc w:val="left"/>
      <w:pPr>
        <w:ind w:left="10515" w:hanging="360"/>
      </w:pPr>
      <w:rPr>
        <w:rFonts w:ascii="Wingdings" w:hAnsi="Wingdings" w:hint="default"/>
      </w:rPr>
    </w:lvl>
  </w:abstractNum>
  <w:abstractNum w:abstractNumId="1" w15:restartNumberingAfterBreak="0">
    <w:nsid w:val="26F96641"/>
    <w:multiLevelType w:val="hybridMultilevel"/>
    <w:tmpl w:val="6108C470"/>
    <w:lvl w:ilvl="0" w:tplc="6E868ED2">
      <w:start w:val="13"/>
      <w:numFmt w:val="bullet"/>
      <w:lvlText w:val="-"/>
      <w:lvlJc w:val="left"/>
      <w:pPr>
        <w:ind w:left="720" w:hanging="360"/>
      </w:pPr>
      <w:rPr>
        <w:rFonts w:ascii="Times New Roman" w:eastAsia="Times New Roman" w:hAnsi="Times New Roman" w:cs="Times New Roman" w:hint="default"/>
        <w:color w:val="auto"/>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2" w15:restartNumberingAfterBreak="0">
    <w:nsid w:val="2DBE1DED"/>
    <w:multiLevelType w:val="hybridMultilevel"/>
    <w:tmpl w:val="C060A8F6"/>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5AA709AE"/>
    <w:multiLevelType w:val="hybridMultilevel"/>
    <w:tmpl w:val="61A690C0"/>
    <w:lvl w:ilvl="0" w:tplc="A15A9376">
      <w:numFmt w:val="bullet"/>
      <w:lvlText w:val="-"/>
      <w:lvlJc w:val="left"/>
      <w:pPr>
        <w:ind w:left="1778" w:hanging="360"/>
      </w:pPr>
      <w:rPr>
        <w:rFonts w:ascii="Times New Roman" w:eastAsia="Times New Roman" w:hAnsi="Times New Roman" w:cs="Times New Roman" w:hint="default"/>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7A446722"/>
    <w:multiLevelType w:val="hybridMultilevel"/>
    <w:tmpl w:val="E8DA7FB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241917565">
    <w:abstractNumId w:val="3"/>
  </w:num>
  <w:num w:numId="2" w16cid:durableId="100103082">
    <w:abstractNumId w:val="1"/>
  </w:num>
  <w:num w:numId="3" w16cid:durableId="42756513">
    <w:abstractNumId w:val="4"/>
  </w:num>
  <w:num w:numId="4" w16cid:durableId="1995527887">
    <w:abstractNumId w:val="2"/>
  </w:num>
  <w:num w:numId="5" w16cid:durableId="6980900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672B"/>
    <w:rsid w:val="00025133"/>
    <w:rsid w:val="000949D2"/>
    <w:rsid w:val="000B02FD"/>
    <w:rsid w:val="000D0B5E"/>
    <w:rsid w:val="00150955"/>
    <w:rsid w:val="001720B0"/>
    <w:rsid w:val="00176A3A"/>
    <w:rsid w:val="00184C16"/>
    <w:rsid w:val="00191033"/>
    <w:rsid w:val="00194233"/>
    <w:rsid w:val="001B5C3D"/>
    <w:rsid w:val="001D4F4B"/>
    <w:rsid w:val="001F06D8"/>
    <w:rsid w:val="00207D78"/>
    <w:rsid w:val="00210F01"/>
    <w:rsid w:val="00223802"/>
    <w:rsid w:val="00240BB6"/>
    <w:rsid w:val="002652AD"/>
    <w:rsid w:val="002D0AB8"/>
    <w:rsid w:val="00335857"/>
    <w:rsid w:val="0034016C"/>
    <w:rsid w:val="00361541"/>
    <w:rsid w:val="00394657"/>
    <w:rsid w:val="003C1555"/>
    <w:rsid w:val="003C1E0F"/>
    <w:rsid w:val="003D6737"/>
    <w:rsid w:val="003E6C12"/>
    <w:rsid w:val="004154CA"/>
    <w:rsid w:val="00444C63"/>
    <w:rsid w:val="00483ED7"/>
    <w:rsid w:val="004914EC"/>
    <w:rsid w:val="004C4A9F"/>
    <w:rsid w:val="004D5AD3"/>
    <w:rsid w:val="0052770A"/>
    <w:rsid w:val="005458C1"/>
    <w:rsid w:val="00560151"/>
    <w:rsid w:val="005741BE"/>
    <w:rsid w:val="005E48AE"/>
    <w:rsid w:val="005E6D96"/>
    <w:rsid w:val="00613D6C"/>
    <w:rsid w:val="00616754"/>
    <w:rsid w:val="006237F8"/>
    <w:rsid w:val="00685DAB"/>
    <w:rsid w:val="006A5337"/>
    <w:rsid w:val="006A738B"/>
    <w:rsid w:val="006C06A1"/>
    <w:rsid w:val="006E672B"/>
    <w:rsid w:val="006F2D60"/>
    <w:rsid w:val="006F4625"/>
    <w:rsid w:val="00774338"/>
    <w:rsid w:val="0077701F"/>
    <w:rsid w:val="00793D81"/>
    <w:rsid w:val="007C7200"/>
    <w:rsid w:val="00805A4A"/>
    <w:rsid w:val="0084410B"/>
    <w:rsid w:val="00887210"/>
    <w:rsid w:val="008C63DB"/>
    <w:rsid w:val="0093604B"/>
    <w:rsid w:val="00940501"/>
    <w:rsid w:val="00984088"/>
    <w:rsid w:val="009A209E"/>
    <w:rsid w:val="009B247E"/>
    <w:rsid w:val="009B41A9"/>
    <w:rsid w:val="009B6C7B"/>
    <w:rsid w:val="009C486A"/>
    <w:rsid w:val="009D4F2C"/>
    <w:rsid w:val="009D74AA"/>
    <w:rsid w:val="00A02815"/>
    <w:rsid w:val="00A03986"/>
    <w:rsid w:val="00A05328"/>
    <w:rsid w:val="00A54CD8"/>
    <w:rsid w:val="00A9597B"/>
    <w:rsid w:val="00AC7F2B"/>
    <w:rsid w:val="00AF52C2"/>
    <w:rsid w:val="00AF6DC5"/>
    <w:rsid w:val="00B13A0F"/>
    <w:rsid w:val="00B34A07"/>
    <w:rsid w:val="00B7510C"/>
    <w:rsid w:val="00B82FB0"/>
    <w:rsid w:val="00BC62AD"/>
    <w:rsid w:val="00BF68BE"/>
    <w:rsid w:val="00C0041A"/>
    <w:rsid w:val="00C1785D"/>
    <w:rsid w:val="00C8214D"/>
    <w:rsid w:val="00CB4F6F"/>
    <w:rsid w:val="00CD23D6"/>
    <w:rsid w:val="00CE6E38"/>
    <w:rsid w:val="00D5122C"/>
    <w:rsid w:val="00D72BAD"/>
    <w:rsid w:val="00D77F3D"/>
    <w:rsid w:val="00D97361"/>
    <w:rsid w:val="00DA472D"/>
    <w:rsid w:val="00DC16C8"/>
    <w:rsid w:val="00DE26DD"/>
    <w:rsid w:val="00E5310A"/>
    <w:rsid w:val="00E932F2"/>
    <w:rsid w:val="00EC2FA8"/>
    <w:rsid w:val="00EF7A74"/>
    <w:rsid w:val="00F10AE9"/>
    <w:rsid w:val="00F10FC9"/>
    <w:rsid w:val="00F14AA5"/>
    <w:rsid w:val="00F231F6"/>
    <w:rsid w:val="00F477E9"/>
    <w:rsid w:val="00F5345F"/>
    <w:rsid w:val="00F67F75"/>
    <w:rsid w:val="00F837BE"/>
    <w:rsid w:val="00F9414C"/>
    <w:rsid w:val="00F94B6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BF78B7"/>
  <w15:chartTrackingRefBased/>
  <w15:docId w15:val="{98B0A035-7FBA-4695-A5F0-67664C9893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9B41A9"/>
    <w:pPr>
      <w:spacing w:after="0" w:line="240" w:lineRule="auto"/>
    </w:pPr>
    <w:rPr>
      <w:rFonts w:ascii="Times New Roman" w:eastAsia="Times New Roman" w:hAnsi="Times New Roman" w:cs="Times New Roman"/>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aliases w:val="List Paragraph12,List Paragraph21,Lentele,List not in Table,punktai,Table of contents numbered,Bullet,Buletai,lp1,Bullet 1,Use Case List Paragraph,List Paragraph111,Medium Grid 1 - Accent 21,List Paragraph,Sąrašo pastraipa.Bullet,l"/>
    <w:basedOn w:val="prastasis"/>
    <w:link w:val="SraopastraipaDiagrama"/>
    <w:uiPriority w:val="34"/>
    <w:qFormat/>
    <w:rsid w:val="009B41A9"/>
    <w:pPr>
      <w:ind w:left="720"/>
      <w:contextualSpacing/>
    </w:pPr>
    <w:rPr>
      <w:sz w:val="20"/>
      <w:szCs w:val="20"/>
      <w:lang w:eastAsia="lt-LT"/>
    </w:rPr>
  </w:style>
  <w:style w:type="character" w:customStyle="1" w:styleId="SraopastraipaDiagrama">
    <w:name w:val="Sąrašo pastraipa Diagrama"/>
    <w:aliases w:val="List Paragraph12 Diagrama,List Paragraph21 Diagrama,Lentele Diagrama,List not in Table Diagrama,punktai Diagrama,Table of contents numbered Diagrama,Bullet Diagrama,Buletai Diagrama,lp1 Diagrama,Bullet 1 Diagrama,l Diagrama"/>
    <w:link w:val="Sraopastraipa"/>
    <w:uiPriority w:val="99"/>
    <w:qFormat/>
    <w:locked/>
    <w:rsid w:val="009B41A9"/>
    <w:rPr>
      <w:rFonts w:ascii="Times New Roman" w:eastAsia="Times New Roman" w:hAnsi="Times New Roman" w:cs="Times New Roman"/>
      <w:sz w:val="20"/>
      <w:szCs w:val="20"/>
      <w:lang w:eastAsia="lt-LT"/>
    </w:rPr>
  </w:style>
  <w:style w:type="character" w:styleId="Hipersaitas">
    <w:name w:val="Hyperlink"/>
    <w:aliases w:val="Alna,IVPK Hyperlink"/>
    <w:uiPriority w:val="99"/>
    <w:qFormat/>
    <w:rsid w:val="00BC62AD"/>
    <w:rPr>
      <w:rFonts w:cs="Times New Roman"/>
      <w:color w:val="0000FF"/>
      <w:u w:val="single"/>
    </w:rPr>
  </w:style>
  <w:style w:type="paragraph" w:customStyle="1" w:styleId="Sraopastraipa1">
    <w:name w:val="Sąrašo pastraipa1"/>
    <w:aliases w:val="Numbering,ERP-List Paragraph,List Paragraph11,Bullet EY,List Paragraph2,List Paragraph Red,List Paragraph1,Paragraph"/>
    <w:basedOn w:val="prastasis"/>
    <w:link w:val="ListParagraphChar"/>
    <w:uiPriority w:val="99"/>
    <w:qFormat/>
    <w:rsid w:val="00BC62AD"/>
    <w:pPr>
      <w:ind w:left="720"/>
      <w:contextualSpacing/>
    </w:pPr>
    <w:rPr>
      <w:rFonts w:eastAsia="Calibri"/>
      <w:sz w:val="20"/>
      <w:szCs w:val="20"/>
      <w:lang w:eastAsia="lt-LT"/>
    </w:rPr>
  </w:style>
  <w:style w:type="character" w:customStyle="1" w:styleId="ListParagraphChar">
    <w:name w:val="List Paragraph Char"/>
    <w:aliases w:val="Numbering Char,ERP-List Paragraph Char,List Paragraph11 Char,Bullet EY Char,List Paragraph2 Char,List Paragraph Red Char,List Paragraph1 Char,Sąrašo pastraipa1 Char,List Paragraph Char2,Buletai Char,lp1 Char,Bullet 1 Char,punktai Ch"/>
    <w:link w:val="Sraopastraipa1"/>
    <w:uiPriority w:val="99"/>
    <w:locked/>
    <w:rsid w:val="00BC62AD"/>
    <w:rPr>
      <w:rFonts w:ascii="Times New Roman" w:eastAsia="Calibri" w:hAnsi="Times New Roman" w:cs="Times New Roman"/>
      <w:sz w:val="20"/>
      <w:szCs w:val="20"/>
      <w:lang w:eastAsia="lt-LT"/>
    </w:rPr>
  </w:style>
  <w:style w:type="paragraph" w:styleId="Komentarotekstas">
    <w:name w:val="annotation text"/>
    <w:aliases w:val="Diagrama Diagrama Diagrama,Diagrama Diagrama, Diagrama Diagrama Diagrama, Diagrama Diagrama, Diagrama Diagrama Diagrama Diagrama, Diagrama Diagrama Char Char, Diagrama2 Diagrama Diagrama Diagrama,Diagrama Diagrama Char Char,Diagrama"/>
    <w:basedOn w:val="prastasis"/>
    <w:link w:val="KomentarotekstasDiagrama"/>
    <w:uiPriority w:val="99"/>
    <w:qFormat/>
    <w:rsid w:val="00BF68BE"/>
    <w:rPr>
      <w:rFonts w:eastAsia="Calibri"/>
      <w:sz w:val="20"/>
      <w:szCs w:val="20"/>
    </w:rPr>
  </w:style>
  <w:style w:type="character" w:customStyle="1" w:styleId="KomentarotekstasDiagrama">
    <w:name w:val="Komentaro tekstas Diagrama"/>
    <w:aliases w:val="Diagrama Diagrama Diagrama Diagrama,Diagrama Diagrama Diagrama1, Diagrama Diagrama Diagrama Diagrama1, Diagrama Diagrama Diagrama1, Diagrama Diagrama Diagrama Diagrama Diagrama, Diagrama Diagrama Char Char Diagrama"/>
    <w:basedOn w:val="Numatytasispastraiposriftas"/>
    <w:link w:val="Komentarotekstas"/>
    <w:uiPriority w:val="99"/>
    <w:rsid w:val="00BF68BE"/>
    <w:rPr>
      <w:rFonts w:ascii="Times New Roman" w:eastAsia="Calibri" w:hAnsi="Times New Roman" w:cs="Times New Roman"/>
      <w:sz w:val="20"/>
      <w:szCs w:val="20"/>
    </w:rPr>
  </w:style>
  <w:style w:type="character" w:styleId="Komentaronuoroda">
    <w:name w:val="annotation reference"/>
    <w:basedOn w:val="Numatytasispastraiposriftas"/>
    <w:uiPriority w:val="99"/>
    <w:unhideWhenUsed/>
    <w:qFormat/>
    <w:rsid w:val="00BF68BE"/>
    <w:rPr>
      <w:sz w:val="16"/>
      <w:szCs w:val="16"/>
    </w:rPr>
  </w:style>
  <w:style w:type="paragraph" w:styleId="Komentarotema">
    <w:name w:val="annotation subject"/>
    <w:basedOn w:val="Komentarotekstas"/>
    <w:next w:val="Komentarotekstas"/>
    <w:link w:val="KomentarotemaDiagrama"/>
    <w:uiPriority w:val="99"/>
    <w:semiHidden/>
    <w:unhideWhenUsed/>
    <w:rsid w:val="00207D78"/>
    <w:rPr>
      <w:rFonts w:eastAsia="Times New Roman"/>
      <w:b/>
      <w:bCs/>
    </w:rPr>
  </w:style>
  <w:style w:type="character" w:customStyle="1" w:styleId="KomentarotemaDiagrama">
    <w:name w:val="Komentaro tema Diagrama"/>
    <w:basedOn w:val="KomentarotekstasDiagrama"/>
    <w:link w:val="Komentarotema"/>
    <w:uiPriority w:val="99"/>
    <w:semiHidden/>
    <w:rsid w:val="00207D78"/>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424537">
      <w:bodyDiv w:val="1"/>
      <w:marLeft w:val="0"/>
      <w:marRight w:val="0"/>
      <w:marTop w:val="0"/>
      <w:marBottom w:val="0"/>
      <w:divBdr>
        <w:top w:val="none" w:sz="0" w:space="0" w:color="auto"/>
        <w:left w:val="none" w:sz="0" w:space="0" w:color="auto"/>
        <w:bottom w:val="none" w:sz="0" w:space="0" w:color="auto"/>
        <w:right w:val="none" w:sz="0" w:space="0" w:color="auto"/>
      </w:divBdr>
    </w:div>
    <w:div w:id="1620993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vpt.lrv.lt/lt/naujienos/lietuvos-auksciausiojo-teismo-2022-m-spalio-6-d-nutartis-civilineje-byloje-nr-e3k-3-328-469-2022"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1909</Words>
  <Characters>1089</Characters>
  <Application>Microsoft Office Word</Application>
  <DocSecurity>0</DocSecurity>
  <Lines>9</Lines>
  <Paragraphs>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Aurelija Umantaitė</dc:creator>
  <cp:keywords/>
  <dc:description/>
  <cp:lastModifiedBy>Dalia Kelpšienė</cp:lastModifiedBy>
  <cp:revision>3</cp:revision>
  <cp:lastPrinted>2024-04-26T10:51:00Z</cp:lastPrinted>
  <dcterms:created xsi:type="dcterms:W3CDTF">2026-09-15T08:56:00Z</dcterms:created>
  <dcterms:modified xsi:type="dcterms:W3CDTF">2026-09-15T12:31:00Z</dcterms:modified>
</cp:coreProperties>
</file>