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041D7F50" w:rsidR="009F56AA" w:rsidRDefault="00AD2288">
      <w:pPr>
        <w:jc w:val="both"/>
        <w:rPr>
          <w:color w:val="000000"/>
          <w:szCs w:val="24"/>
          <w:u w:val="single"/>
        </w:rPr>
      </w:pPr>
      <w:r>
        <w:rPr>
          <w:color w:val="000000"/>
          <w:szCs w:val="24"/>
        </w:rPr>
        <w:t xml:space="preserve">dalyvaujantis (-i) </w:t>
      </w:r>
      <w:r w:rsidR="00002CA5">
        <w:rPr>
          <w:color w:val="000000"/>
          <w:szCs w:val="24"/>
        </w:rPr>
        <w:t xml:space="preserve">                   VšĮ   CPO LT</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276F94A9" w:rsidR="009F56AA" w:rsidRDefault="00AD2288">
      <w:pPr>
        <w:jc w:val="both"/>
        <w:rPr>
          <w:color w:val="000000"/>
          <w:szCs w:val="24"/>
        </w:rPr>
      </w:pPr>
      <w:r>
        <w:rPr>
          <w:color w:val="000000"/>
          <w:szCs w:val="24"/>
        </w:rPr>
        <w:t xml:space="preserve">vykdomame </w:t>
      </w:r>
      <w:r w:rsidR="00002CA5">
        <w:rPr>
          <w:color w:val="000000"/>
          <w:szCs w:val="24"/>
        </w:rPr>
        <w:t xml:space="preserve">pirkime </w:t>
      </w:r>
      <w:r>
        <w:rPr>
          <w:color w:val="000000"/>
          <w:szCs w:val="24"/>
        </w:rPr>
        <w:t xml:space="preserve"> </w:t>
      </w:r>
      <w:r w:rsidR="00002CA5" w:rsidRPr="00002CA5">
        <w:rPr>
          <w:b/>
          <w:bCs/>
          <w:i/>
          <w:iCs/>
          <w:color w:val="000000"/>
          <w:szCs w:val="24"/>
        </w:rPr>
        <w:t>„</w:t>
      </w:r>
      <w:r w:rsidR="00FF3D07">
        <w:rPr>
          <w:b/>
          <w:bCs/>
          <w:i/>
          <w:iCs/>
          <w:color w:val="000000"/>
          <w:szCs w:val="24"/>
        </w:rPr>
        <w:t>Laboratorini</w:t>
      </w:r>
      <w:r w:rsidR="00761CCC">
        <w:rPr>
          <w:b/>
          <w:bCs/>
          <w:i/>
          <w:iCs/>
          <w:color w:val="000000"/>
          <w:szCs w:val="24"/>
        </w:rPr>
        <w:t>ų</w:t>
      </w:r>
      <w:r w:rsidR="00FF3D07">
        <w:rPr>
          <w:b/>
          <w:bCs/>
          <w:i/>
          <w:iCs/>
          <w:color w:val="000000"/>
          <w:szCs w:val="24"/>
        </w:rPr>
        <w:t xml:space="preserve"> reagent</w:t>
      </w:r>
      <w:r w:rsidR="00761CCC">
        <w:rPr>
          <w:b/>
          <w:bCs/>
          <w:i/>
          <w:iCs/>
          <w:color w:val="000000"/>
          <w:szCs w:val="24"/>
        </w:rPr>
        <w:t>ų pirkimas</w:t>
      </w:r>
      <w:r w:rsidR="00002CA5" w:rsidRPr="00002CA5">
        <w:rPr>
          <w:b/>
          <w:bCs/>
          <w:i/>
          <w:iCs/>
          <w:color w:val="000000"/>
          <w:szCs w:val="24"/>
        </w:rPr>
        <w:t>“</w:t>
      </w:r>
      <w:r w:rsidR="00002CA5">
        <w:rPr>
          <w:color w:val="000000"/>
          <w:szCs w:val="24"/>
        </w:rPr>
        <w:t xml:space="preserve">, pirkimo Nr. </w:t>
      </w:r>
      <w:r w:rsidR="00FF3D07" w:rsidRPr="00FF3D07">
        <w:rPr>
          <w:b/>
          <w:bCs/>
          <w:i/>
          <w:iCs/>
          <w:color w:val="000000"/>
          <w:szCs w:val="24"/>
        </w:rPr>
        <w:t>650328</w:t>
      </w:r>
      <w:r w:rsidR="00002CA5">
        <w:rPr>
          <w:color w:val="000000"/>
          <w:szCs w:val="24"/>
        </w:rPr>
        <w:t xml:space="preserve"> </w:t>
      </w:r>
      <w:r>
        <w:rPr>
          <w:color w:val="000000"/>
          <w:szCs w:val="24"/>
        </w:rPr>
        <w:t>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236C2F54" w14:textId="77777777" w:rsidR="00C74E09" w:rsidRDefault="00C74E09">
      <w:pPr>
        <w:ind w:firstLine="567"/>
        <w:jc w:val="both"/>
        <w:rPr>
          <w:i/>
          <w:iCs/>
          <w:highlight w:val="yellow"/>
        </w:rPr>
      </w:pPr>
    </w:p>
    <w:p w14:paraId="6215E69A" w14:textId="08605F18" w:rsidR="009F56AA" w:rsidRDefault="009F56AA">
      <w:pPr>
        <w:shd w:val="clear" w:color="auto" w:fill="FFFFFF"/>
        <w:ind w:firstLine="636"/>
        <w:jc w:val="both"/>
        <w:rPr>
          <w:color w:val="000000"/>
          <w:sz w:val="20"/>
        </w:rPr>
      </w:pPr>
    </w:p>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7C650CB4"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w:t>
            </w:r>
          </w:p>
          <w:p w14:paraId="75DE9EF4" w14:textId="735B7E12" w:rsidR="009F56AA" w:rsidRDefault="00B7188B" w:rsidP="00B7188B">
            <w:pPr>
              <w:shd w:val="clear" w:color="auto" w:fill="FFFFFF"/>
              <w:rPr>
                <w:i/>
                <w:sz w:val="20"/>
              </w:rPr>
            </w:pP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67B59BE0"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w:t>
            </w:r>
          </w:p>
          <w:p w14:paraId="71ED90A4" w14:textId="2CD5E803" w:rsidR="009F56AA" w:rsidRDefault="00AD2288">
            <w:pPr>
              <w:shd w:val="clear" w:color="auto" w:fill="FFFFFF"/>
              <w:spacing w:line="276" w:lineRule="auto"/>
              <w:jc w:val="both"/>
              <w:rPr>
                <w:i/>
                <w:iCs/>
                <w:sz w:val="20"/>
              </w:rPr>
            </w:pPr>
            <w:r>
              <w:rPr>
                <w:i/>
                <w:iCs/>
                <w:sz w:val="20"/>
              </w:rPr>
              <w:t xml:space="preserve">   </w:t>
            </w:r>
          </w:p>
          <w:p w14:paraId="50E113C4" w14:textId="658C5E1D" w:rsidR="009F56AA" w:rsidRDefault="001C0E71" w:rsidP="00002CA5">
            <w:pPr>
              <w:shd w:val="clear" w:color="auto" w:fill="FFFFFF"/>
              <w:spacing w:line="276" w:lineRule="auto"/>
              <w:rPr>
                <w:szCs w:val="24"/>
              </w:rPr>
            </w:pPr>
            <w:r>
              <w:rPr>
                <w:i/>
                <w:sz w:val="20"/>
              </w:rPr>
              <w:t xml:space="preserve"> </w:t>
            </w: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722C470" w14:textId="15BDCB74"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w:t>
            </w:r>
          </w:p>
          <w:p w14:paraId="2ED02A7E" w14:textId="7729B159" w:rsidR="000149F2" w:rsidRDefault="00CA5DDB" w:rsidP="00CA5DDB">
            <w:pPr>
              <w:shd w:val="clear" w:color="auto" w:fill="FFFFFF"/>
              <w:rPr>
                <w:i/>
                <w:sz w:val="20"/>
              </w:rPr>
            </w:pPr>
            <w:r>
              <w:rPr>
                <w:i/>
                <w:sz w:val="20"/>
                <w:szCs w:val="24"/>
              </w:rPr>
              <w:t xml:space="preserve">                </w:t>
            </w:r>
            <w:r w:rsidR="000149F2">
              <w:rPr>
                <w:i/>
                <w:sz w:val="20"/>
                <w:szCs w:val="24"/>
              </w:rPr>
              <w:t xml:space="preserve"> </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Ind w:w="5" w:type="dxa"/>
        <w:tblLook w:val="04A0" w:firstRow="1" w:lastRow="0" w:firstColumn="1" w:lastColumn="0" w:noHBand="0" w:noVBand="1"/>
      </w:tblPr>
      <w:tblGrid>
        <w:gridCol w:w="362"/>
        <w:gridCol w:w="9862"/>
      </w:tblGrid>
      <w:tr w:rsidR="009F56AA" w14:paraId="745DA2F0" w14:textId="77777777" w:rsidTr="00872C0A">
        <w:trPr>
          <w:trHeight w:val="1175"/>
        </w:trPr>
        <w:tc>
          <w:tcPr>
            <w:tcW w:w="362" w:type="dxa"/>
          </w:tcPr>
          <w:p w14:paraId="5C95DCE5" w14:textId="77777777" w:rsidR="009F56AA" w:rsidRDefault="009F56AA">
            <w:pPr>
              <w:rPr>
                <w:szCs w:val="24"/>
                <w:lang w:eastAsia="lt-LT"/>
              </w:rPr>
            </w:pPr>
          </w:p>
        </w:tc>
        <w:tc>
          <w:tcPr>
            <w:tcW w:w="0" w:type="auto"/>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2E5C" w14:textId="77777777" w:rsidR="00494684" w:rsidRDefault="00494684">
      <w:pPr>
        <w:suppressAutoHyphens/>
        <w:textAlignment w:val="baseline"/>
      </w:pPr>
      <w:r>
        <w:separator/>
      </w:r>
    </w:p>
  </w:endnote>
  <w:endnote w:type="continuationSeparator" w:id="0">
    <w:p w14:paraId="5E79246D" w14:textId="77777777" w:rsidR="00494684" w:rsidRDefault="00494684">
      <w:pPr>
        <w:suppressAutoHyphens/>
        <w:textAlignment w:val="baseline"/>
      </w:pPr>
      <w:r>
        <w:continuationSeparator/>
      </w:r>
    </w:p>
  </w:endnote>
  <w:endnote w:type="continuationNotice" w:id="1">
    <w:p w14:paraId="43F83F20" w14:textId="77777777" w:rsidR="00494684" w:rsidRDefault="00494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C3D82" w14:textId="77777777" w:rsidR="00494684" w:rsidRDefault="00494684">
      <w:pPr>
        <w:suppressAutoHyphens/>
        <w:textAlignment w:val="baseline"/>
      </w:pPr>
      <w:r>
        <w:rPr>
          <w:color w:val="000000"/>
        </w:rPr>
        <w:separator/>
      </w:r>
    </w:p>
  </w:footnote>
  <w:footnote w:type="continuationSeparator" w:id="0">
    <w:p w14:paraId="627B4D66" w14:textId="77777777" w:rsidR="00494684" w:rsidRDefault="00494684">
      <w:pPr>
        <w:suppressAutoHyphens/>
        <w:textAlignment w:val="baseline"/>
      </w:pPr>
      <w:r>
        <w:continuationSeparator/>
      </w:r>
    </w:p>
  </w:footnote>
  <w:footnote w:type="continuationNotice" w:id="1">
    <w:p w14:paraId="737FDF4B" w14:textId="77777777" w:rsidR="00494684" w:rsidRDefault="00494684"/>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9065636" w:rsidR="00AB2DB3" w:rsidRDefault="00AB2DB3" w:rsidP="00AB2DB3">
    <w:pPr>
      <w:pStyle w:val="Header"/>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00B1E32A" w:rsidR="00AB2DB3" w:rsidRDefault="00AB2DB3" w:rsidP="00AB2DB3">
    <w:pPr>
      <w:pStyle w:val="Header"/>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2CA5"/>
    <w:rsid w:val="00007EC5"/>
    <w:rsid w:val="000149F2"/>
    <w:rsid w:val="0003057B"/>
    <w:rsid w:val="00052F23"/>
    <w:rsid w:val="00065E88"/>
    <w:rsid w:val="00126115"/>
    <w:rsid w:val="00126EB9"/>
    <w:rsid w:val="00133809"/>
    <w:rsid w:val="001C0E71"/>
    <w:rsid w:val="002043EF"/>
    <w:rsid w:val="00231048"/>
    <w:rsid w:val="00266987"/>
    <w:rsid w:val="00376995"/>
    <w:rsid w:val="003E23F7"/>
    <w:rsid w:val="00463C20"/>
    <w:rsid w:val="00481370"/>
    <w:rsid w:val="00494684"/>
    <w:rsid w:val="004A5499"/>
    <w:rsid w:val="004E12CE"/>
    <w:rsid w:val="004E20E9"/>
    <w:rsid w:val="0051349F"/>
    <w:rsid w:val="00535F66"/>
    <w:rsid w:val="00551A1E"/>
    <w:rsid w:val="00557EC8"/>
    <w:rsid w:val="0060769A"/>
    <w:rsid w:val="00630B1A"/>
    <w:rsid w:val="00636A63"/>
    <w:rsid w:val="006C6B8B"/>
    <w:rsid w:val="00761CCC"/>
    <w:rsid w:val="007A1B2A"/>
    <w:rsid w:val="00862DE2"/>
    <w:rsid w:val="00872C0A"/>
    <w:rsid w:val="009A68D2"/>
    <w:rsid w:val="009F56AA"/>
    <w:rsid w:val="00AB2DB3"/>
    <w:rsid w:val="00AD2288"/>
    <w:rsid w:val="00B06D7B"/>
    <w:rsid w:val="00B43FA8"/>
    <w:rsid w:val="00B7188B"/>
    <w:rsid w:val="00BC6317"/>
    <w:rsid w:val="00BD458A"/>
    <w:rsid w:val="00C5303C"/>
    <w:rsid w:val="00C5568E"/>
    <w:rsid w:val="00C74E09"/>
    <w:rsid w:val="00C908DF"/>
    <w:rsid w:val="00CA5DDB"/>
    <w:rsid w:val="00CF58FD"/>
    <w:rsid w:val="00D41E9D"/>
    <w:rsid w:val="00DB1FDB"/>
    <w:rsid w:val="00E128F6"/>
    <w:rsid w:val="00E223B0"/>
    <w:rsid w:val="00F02A36"/>
    <w:rsid w:val="00F25EA9"/>
    <w:rsid w:val="00F46FC4"/>
    <w:rsid w:val="00FA622C"/>
    <w:rsid w:val="00FD6D64"/>
    <w:rsid w:val="00FF3D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815917ED-F701-406F-8030-BC7C1C28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393</Words>
  <Characters>2244</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2017-06-22T06:38:00Z</cp:lastPrinted>
  <dcterms:created xsi:type="dcterms:W3CDTF">2023-03-01T15:17:00Z</dcterms:created>
  <dcterms:modified xsi:type="dcterms:W3CDTF">2023-03-07T17:39:00Z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y fmtid="{D5CDD505-2E9C-101B-9397-08002B2CF9AE}" pid="3" name="MediaServiceImageTags">
    <vt:lpwstr/>
  </property>
</Properties>
</file>